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bookmarkStart w:id="0" w:name="_Hlk57883707"/>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bookmarkEnd w:id="0"/>
    <w:p>
      <w:pPr>
        <w:adjustRightInd w:val="0"/>
        <w:snapToGrid w:val="0"/>
        <w:jc w:val="center"/>
        <w:outlineLvl w:val="0"/>
        <w:rPr>
          <w:rFonts w:hint="eastAsia" w:ascii="方正小标宋_GBK" w:hAnsi="Times New Roman" w:eastAsia="方正小标宋_GBK" w:cs="Times New Roman"/>
          <w:b/>
          <w:bCs w:val="0"/>
          <w:sz w:val="72"/>
          <w:szCs w:val="72"/>
        </w:rPr>
      </w:pPr>
      <w:bookmarkStart w:id="1" w:name="_Toc29599"/>
      <w:r>
        <w:rPr>
          <w:rFonts w:hint="eastAsia" w:ascii="方正小标宋_GBK" w:hAnsi="Times New Roman" w:eastAsia="方正小标宋_GBK" w:cs="Times New Roman"/>
          <w:b/>
          <w:bCs w:val="0"/>
          <w:sz w:val="72"/>
          <w:szCs w:val="72"/>
        </w:rPr>
        <w:t>建设项目环境影响报告表</w:t>
      </w:r>
      <w:bookmarkEnd w:id="1"/>
    </w:p>
    <w:p>
      <w:pPr>
        <w:keepNext w:val="0"/>
        <w:keepLines w:val="0"/>
        <w:pageBreakBefore w:val="0"/>
        <w:widowControl w:val="0"/>
        <w:kinsoku/>
        <w:wordWrap/>
        <w:overflowPunct/>
        <w:topLinePunct w:val="0"/>
        <w:autoSpaceDE/>
        <w:autoSpaceDN/>
        <w:bidi w:val="0"/>
        <w:jc w:val="center"/>
        <w:textAlignment w:val="auto"/>
        <w:outlineLvl w:val="9"/>
        <w:rPr>
          <w:rFonts w:ascii="Times New Roman" w:hAnsi="Times New Roman" w:eastAsia="宋体" w:cs="Times New Roman"/>
          <w:b/>
          <w:bCs w:val="0"/>
        </w:rPr>
      </w:pPr>
      <w:bookmarkStart w:id="2" w:name="_Hlk57883728"/>
      <w:r>
        <w:rPr>
          <w:rFonts w:hint="eastAsia" w:ascii="Times New Roman" w:hAnsi="Times New Roman" w:eastAsia="仿宋" w:cs="Times New Roman"/>
          <w:b/>
          <w:bCs w:val="0"/>
          <w:sz w:val="52"/>
          <w:szCs w:val="52"/>
        </w:rPr>
        <w:t>（生态影响类）</w:t>
      </w:r>
    </w:p>
    <w:p>
      <w:pPr>
        <w:keepNext w:val="0"/>
        <w:keepLines w:val="0"/>
        <w:pageBreakBefore w:val="0"/>
        <w:widowControl w:val="0"/>
        <w:kinsoku/>
        <w:wordWrap/>
        <w:overflowPunct/>
        <w:topLinePunct w:val="0"/>
        <w:autoSpaceDE/>
        <w:autoSpaceDN/>
        <w:bidi w:val="0"/>
        <w:jc w:val="center"/>
        <w:textAlignment w:val="auto"/>
        <w:outlineLvl w:val="9"/>
        <w:rPr>
          <w:rFonts w:ascii="Times New Roman" w:hAnsi="Times New Roman" w:eastAsia="仿宋" w:cs="Times New Roman"/>
          <w:sz w:val="52"/>
          <w:szCs w:val="52"/>
        </w:rPr>
      </w:pPr>
    </w:p>
    <w:p>
      <w:pPr>
        <w:keepNext w:val="0"/>
        <w:keepLines w:val="0"/>
        <w:pageBreakBefore w:val="0"/>
        <w:widowControl w:val="0"/>
        <w:kinsoku/>
        <w:wordWrap/>
        <w:overflowPunct/>
        <w:topLinePunct w:val="0"/>
        <w:autoSpaceDE/>
        <w:autoSpaceDN/>
        <w:bidi w:val="0"/>
        <w:textAlignment w:val="auto"/>
        <w:outlineLvl w:val="9"/>
        <w:rPr>
          <w:rFonts w:ascii="Times New Roman" w:hAnsi="Times New Roman" w:eastAsia="仿宋" w:cs="Times New Roman"/>
          <w:sz w:val="44"/>
          <w:szCs w:val="44"/>
        </w:rPr>
      </w:pPr>
    </w:p>
    <w:p>
      <w:pPr>
        <w:keepNext w:val="0"/>
        <w:keepLines w:val="0"/>
        <w:pageBreakBefore w:val="0"/>
        <w:widowControl w:val="0"/>
        <w:kinsoku/>
        <w:wordWrap/>
        <w:overflowPunct/>
        <w:topLinePunct w:val="0"/>
        <w:autoSpaceDE/>
        <w:autoSpaceDN/>
        <w:bidi w:val="0"/>
        <w:textAlignment w:val="auto"/>
        <w:outlineLvl w:val="9"/>
        <w:rPr>
          <w:rFonts w:ascii="Times New Roman" w:hAnsi="Times New Roman" w:eastAsia="仿宋" w:cs="Times New Roman"/>
          <w:sz w:val="44"/>
          <w:szCs w:val="44"/>
        </w:rPr>
      </w:pPr>
    </w:p>
    <w:p>
      <w:pPr>
        <w:keepNext w:val="0"/>
        <w:keepLines w:val="0"/>
        <w:pageBreakBefore w:val="0"/>
        <w:widowControl w:val="0"/>
        <w:kinsoku/>
        <w:wordWrap/>
        <w:overflowPunct/>
        <w:topLinePunct w:val="0"/>
        <w:autoSpaceDE/>
        <w:autoSpaceDN/>
        <w:bidi w:val="0"/>
        <w:textAlignment w:val="auto"/>
        <w:outlineLvl w:val="9"/>
        <w:rPr>
          <w:rFonts w:ascii="Times New Roman" w:hAnsi="Times New Roman" w:eastAsia="仿宋" w:cs="Times New Roman"/>
          <w:sz w:val="44"/>
          <w:szCs w:val="44"/>
        </w:rPr>
      </w:pPr>
    </w:p>
    <w:p>
      <w:pPr>
        <w:keepNext w:val="0"/>
        <w:keepLines w:val="0"/>
        <w:pageBreakBefore w:val="0"/>
        <w:widowControl w:val="0"/>
        <w:kinsoku/>
        <w:wordWrap/>
        <w:overflowPunct/>
        <w:topLinePunct w:val="0"/>
        <w:autoSpaceDE/>
        <w:autoSpaceDN/>
        <w:bidi w:val="0"/>
        <w:textAlignment w:val="auto"/>
        <w:outlineLvl w:val="9"/>
        <w:rPr>
          <w:rFonts w:ascii="Times New Roman" w:hAnsi="Times New Roman" w:eastAsia="仿宋" w:cs="Times New Roman"/>
          <w:sz w:val="44"/>
          <w:szCs w:val="44"/>
        </w:rPr>
      </w:pPr>
    </w:p>
    <w:p>
      <w:pPr>
        <w:keepNext w:val="0"/>
        <w:keepLines w:val="0"/>
        <w:pageBreakBefore w:val="0"/>
        <w:widowControl w:val="0"/>
        <w:kinsoku/>
        <w:wordWrap/>
        <w:overflowPunct/>
        <w:topLinePunct w:val="0"/>
        <w:autoSpaceDE/>
        <w:autoSpaceDN/>
        <w:bidi w:val="0"/>
        <w:textAlignment w:val="auto"/>
        <w:outlineLvl w:val="9"/>
        <w:rPr>
          <w:rFonts w:ascii="Times New Roman" w:hAnsi="Times New Roman" w:eastAsia="仿宋" w:cs="Times New Roman"/>
          <w:sz w:val="44"/>
          <w:szCs w:val="44"/>
        </w:rPr>
      </w:pPr>
    </w:p>
    <w:bookmarkEnd w:id="2"/>
    <w:p>
      <w:pPr>
        <w:keepNext w:val="0"/>
        <w:keepLines w:val="0"/>
        <w:pageBreakBefore w:val="0"/>
        <w:widowControl w:val="0"/>
        <w:kinsoku/>
        <w:wordWrap/>
        <w:overflowPunct/>
        <w:topLinePunct w:val="0"/>
        <w:autoSpaceDE/>
        <w:autoSpaceDN/>
        <w:bidi w:val="0"/>
        <w:adjustRightInd w:val="0"/>
        <w:snapToGrid w:val="0"/>
        <w:spacing w:line="288" w:lineRule="auto"/>
        <w:ind w:leftChars="400" w:firstLine="161" w:firstLineChars="50"/>
        <w:jc w:val="both"/>
        <w:textAlignment w:val="auto"/>
        <w:outlineLvl w:val="9"/>
        <w:rPr>
          <w:rFonts w:ascii="仿宋_GB2312" w:hAnsi="Times New Roman" w:eastAsia="仿宋_GB2312" w:cs="Times New Roman"/>
          <w:b/>
          <w:bCs/>
          <w:sz w:val="32"/>
          <w:szCs w:val="32"/>
          <w:u w:val="single"/>
        </w:rPr>
      </w:pPr>
      <w:r>
        <w:rPr>
          <w:rFonts w:hint="eastAsia" w:ascii="仿宋_GB2312" w:hAnsi="Times New Roman" w:eastAsia="仿宋_GB2312" w:cs="Times New Roman"/>
          <w:b/>
          <w:bCs/>
          <w:sz w:val="32"/>
          <w:szCs w:val="32"/>
        </w:rPr>
        <w:t>项目名称：</w:t>
      </w:r>
      <w:r>
        <w:rPr>
          <w:rFonts w:hint="eastAsia" w:ascii="仿宋_GB2312" w:hAnsi="Times New Roman" w:eastAsia="仿宋_GB2312" w:cs="Times New Roman"/>
          <w:b/>
          <w:bCs/>
          <w:sz w:val="32"/>
          <w:szCs w:val="32"/>
          <w:u w:val="single"/>
        </w:rPr>
        <w:t xml:space="preserve">  </w:t>
      </w:r>
      <w:r>
        <w:rPr>
          <w:rFonts w:hint="eastAsia" w:ascii="仿宋_GB2312" w:eastAsia="仿宋_GB2312" w:cs="Times New Roman"/>
          <w:b/>
          <w:bCs/>
          <w:sz w:val="32"/>
          <w:szCs w:val="32"/>
          <w:u w:val="single"/>
          <w:lang w:val="en-US" w:eastAsia="zh-CN"/>
        </w:rPr>
        <w:t xml:space="preserve"> </w:t>
      </w:r>
      <w:r>
        <w:rPr>
          <w:rFonts w:hint="eastAsia" w:ascii="仿宋_GB2312" w:hAnsi="Times New Roman" w:eastAsia="仿宋_GB2312" w:cs="Times New Roman"/>
          <w:b/>
          <w:bCs/>
          <w:sz w:val="32"/>
          <w:szCs w:val="32"/>
          <w:u w:val="single"/>
        </w:rPr>
        <w:t xml:space="preserve"> </w:t>
      </w:r>
      <w:r>
        <w:rPr>
          <w:rFonts w:hint="eastAsia" w:ascii="仿宋_GB2312" w:hAnsi="Times New Roman" w:eastAsia="仿宋_GB2312" w:cs="Times New Roman"/>
          <w:b/>
          <w:bCs/>
          <w:spacing w:val="-28"/>
          <w:sz w:val="32"/>
          <w:szCs w:val="32"/>
          <w:u w:val="single"/>
        </w:rPr>
        <w:t>华能元谋</w:t>
      </w:r>
      <w:r>
        <w:rPr>
          <w:rFonts w:hint="eastAsia" w:ascii="宋体" w:hAnsi="宋体" w:eastAsia="宋体" w:cs="宋体"/>
          <w:b/>
          <w:bCs/>
          <w:spacing w:val="-28"/>
          <w:sz w:val="32"/>
          <w:szCs w:val="32"/>
          <w:u w:val="single"/>
        </w:rPr>
        <w:t>马头地</w:t>
      </w:r>
      <w:r>
        <w:rPr>
          <w:rFonts w:hint="eastAsia" w:ascii="仿宋_GB2312" w:hAnsi="Times New Roman" w:eastAsia="仿宋_GB2312" w:cs="Times New Roman"/>
          <w:b/>
          <w:bCs/>
          <w:spacing w:val="-28"/>
          <w:sz w:val="32"/>
          <w:szCs w:val="32"/>
          <w:u w:val="single"/>
        </w:rPr>
        <w:t>光伏电站</w:t>
      </w:r>
      <w:r>
        <w:rPr>
          <w:rFonts w:hint="eastAsia" w:ascii="仿宋_GB2312" w:eastAsia="仿宋_GB2312" w:cs="Times New Roman"/>
          <w:b/>
          <w:bCs/>
          <w:spacing w:val="-28"/>
          <w:sz w:val="32"/>
          <w:szCs w:val="32"/>
          <w:u w:val="single"/>
          <w:lang w:eastAsia="zh-CN"/>
        </w:rPr>
        <w:t>（</w:t>
      </w:r>
      <w:r>
        <w:rPr>
          <w:rFonts w:hint="eastAsia" w:ascii="仿宋_GB2312" w:eastAsia="仿宋_GB2312" w:cs="Times New Roman"/>
          <w:b/>
          <w:bCs/>
          <w:spacing w:val="-28"/>
          <w:sz w:val="32"/>
          <w:szCs w:val="32"/>
          <w:u w:val="single"/>
          <w:lang w:val="en-US" w:eastAsia="zh-CN"/>
        </w:rPr>
        <w:t>变更</w:t>
      </w:r>
      <w:r>
        <w:rPr>
          <w:rFonts w:hint="eastAsia" w:ascii="仿宋_GB2312" w:eastAsia="仿宋_GB2312" w:cs="Times New Roman"/>
          <w:b/>
          <w:bCs/>
          <w:spacing w:val="-28"/>
          <w:sz w:val="32"/>
          <w:szCs w:val="32"/>
          <w:u w:val="single"/>
          <w:lang w:eastAsia="zh-CN"/>
        </w:rPr>
        <w:t>）</w:t>
      </w:r>
      <w:r>
        <w:rPr>
          <w:rFonts w:hint="eastAsia" w:ascii="仿宋_GB2312" w:eastAsia="仿宋_GB2312" w:cs="Times New Roman"/>
          <w:b/>
          <w:bCs/>
          <w:spacing w:val="-28"/>
          <w:sz w:val="32"/>
          <w:szCs w:val="32"/>
          <w:u w:val="single"/>
          <w:lang w:val="en-US" w:eastAsia="zh-CN"/>
        </w:rPr>
        <w:t xml:space="preserve">   </w:t>
      </w:r>
      <w:r>
        <w:rPr>
          <w:rFonts w:hint="eastAsia" w:ascii="仿宋_GB2312" w:hAnsi="Times New Roman" w:eastAsia="仿宋_GB2312" w:cs="Times New Roman"/>
          <w:b/>
          <w:bCs/>
          <w:spacing w:val="-28"/>
          <w:sz w:val="32"/>
          <w:szCs w:val="32"/>
          <w:u w:val="single"/>
        </w:rPr>
        <w:t xml:space="preserve"> </w:t>
      </w:r>
      <w:r>
        <w:rPr>
          <w:rFonts w:hint="eastAsia" w:ascii="仿宋_GB2312" w:hAnsi="Times New Roman" w:eastAsia="仿宋_GB2312" w:cs="Times New Roman"/>
          <w:b/>
          <w:bCs/>
          <w:sz w:val="32"/>
          <w:szCs w:val="32"/>
          <w:u w:val="single"/>
        </w:rPr>
        <w:t xml:space="preserve"> </w:t>
      </w:r>
      <w:r>
        <w:rPr>
          <w:rFonts w:hint="eastAsia" w:ascii="仿宋_GB2312" w:eastAsia="仿宋_GB2312" w:cs="Times New Roman"/>
          <w:b/>
          <w:bCs/>
          <w:sz w:val="32"/>
          <w:szCs w:val="32"/>
          <w:u w:val="single"/>
          <w:lang w:val="en-US" w:eastAsia="zh-CN"/>
        </w:rPr>
        <w:t xml:space="preserve"> </w:t>
      </w:r>
      <w:r>
        <w:rPr>
          <w:rFonts w:hint="eastAsia" w:ascii="仿宋_GB2312" w:hAnsi="Times New Roman" w:eastAsia="仿宋_GB2312" w:cs="Times New Roman"/>
          <w:b/>
          <w:bCs/>
          <w:sz w:val="32"/>
          <w:szCs w:val="32"/>
          <w:u w:val="single"/>
        </w:rPr>
        <w:t xml:space="preserve">  </w:t>
      </w:r>
    </w:p>
    <w:p>
      <w:pPr>
        <w:keepNext w:val="0"/>
        <w:keepLines w:val="0"/>
        <w:pageBreakBefore w:val="0"/>
        <w:widowControl w:val="0"/>
        <w:kinsoku/>
        <w:wordWrap/>
        <w:overflowPunct/>
        <w:topLinePunct w:val="0"/>
        <w:autoSpaceDE/>
        <w:autoSpaceDN/>
        <w:bidi w:val="0"/>
        <w:adjustRightInd w:val="0"/>
        <w:snapToGrid w:val="0"/>
        <w:spacing w:line="288" w:lineRule="auto"/>
        <w:ind w:leftChars="400" w:firstLine="161" w:firstLineChars="50"/>
        <w:jc w:val="both"/>
        <w:textAlignment w:val="auto"/>
        <w:outlineLvl w:val="9"/>
        <w:rPr>
          <w:rFonts w:hint="eastAsia" w:ascii="仿宋_GB2312" w:hAnsi="Times New Roman" w:eastAsia="仿宋_GB2312" w:cs="Times New Roman"/>
          <w:b/>
          <w:bCs/>
          <w:sz w:val="32"/>
          <w:szCs w:val="32"/>
        </w:rPr>
      </w:pPr>
    </w:p>
    <w:p>
      <w:pPr>
        <w:keepNext w:val="0"/>
        <w:keepLines w:val="0"/>
        <w:pageBreakBefore w:val="0"/>
        <w:widowControl w:val="0"/>
        <w:kinsoku/>
        <w:wordWrap/>
        <w:overflowPunct/>
        <w:topLinePunct w:val="0"/>
        <w:autoSpaceDE/>
        <w:autoSpaceDN/>
        <w:bidi w:val="0"/>
        <w:adjustRightInd w:val="0"/>
        <w:snapToGrid w:val="0"/>
        <w:spacing w:line="288" w:lineRule="auto"/>
        <w:ind w:leftChars="400" w:firstLine="161" w:firstLineChars="50"/>
        <w:jc w:val="both"/>
        <w:textAlignment w:val="auto"/>
        <w:outlineLvl w:val="9"/>
        <w:rPr>
          <w:rFonts w:hint="eastAsia" w:ascii="仿宋_GB2312" w:hAnsi="Times New Roman" w:eastAsia="仿宋_GB2312" w:cs="Times New Roman"/>
          <w:b/>
          <w:bCs/>
          <w:sz w:val="32"/>
          <w:szCs w:val="32"/>
          <w:u w:val="single"/>
          <w:lang w:val="en-US" w:eastAsia="zh-CN"/>
        </w:rPr>
      </w:pPr>
      <w:r>
        <w:rPr>
          <w:rFonts w:hint="eastAsia" w:ascii="仿宋_GB2312" w:hAnsi="Times New Roman" w:eastAsia="仿宋_GB2312" w:cs="Times New Roman"/>
          <w:b/>
          <w:bCs/>
          <w:sz w:val="32"/>
          <w:szCs w:val="32"/>
        </w:rPr>
        <w:t>建设单位（盖章）：</w:t>
      </w:r>
      <w:r>
        <w:rPr>
          <w:rFonts w:hint="eastAsia" w:ascii="仿宋_GB2312" w:eastAsia="仿宋_GB2312" w:cs="Times New Roman"/>
          <w:b/>
          <w:bCs/>
          <w:sz w:val="32"/>
          <w:szCs w:val="32"/>
          <w:u w:val="single"/>
          <w:lang w:val="en-US" w:eastAsia="zh-CN"/>
        </w:rPr>
        <w:t xml:space="preserve"> </w:t>
      </w:r>
      <w:r>
        <w:rPr>
          <w:rFonts w:hint="eastAsia" w:ascii="仿宋_GB2312" w:hAnsi="Times New Roman" w:eastAsia="仿宋_GB2312" w:cs="Times New Roman"/>
          <w:b/>
          <w:bCs/>
          <w:sz w:val="32"/>
          <w:szCs w:val="32"/>
          <w:u w:val="single"/>
        </w:rPr>
        <w:t>华能新能源（元谋）有限公司</w:t>
      </w:r>
      <w:r>
        <w:rPr>
          <w:rFonts w:hint="eastAsia" w:ascii="仿宋_GB2312" w:eastAsia="仿宋_GB2312" w:cs="Times New Roman"/>
          <w:b/>
          <w:bCs/>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88" w:lineRule="auto"/>
        <w:ind w:leftChars="400" w:firstLine="161" w:firstLineChars="50"/>
        <w:jc w:val="both"/>
        <w:textAlignment w:val="auto"/>
        <w:outlineLvl w:val="9"/>
        <w:rPr>
          <w:rFonts w:hint="eastAsia" w:ascii="仿宋_GB2312" w:hAnsi="Times New Roman" w:eastAsia="仿宋_GB2312" w:cs="Times New Roman"/>
          <w:b/>
          <w:bCs/>
          <w:sz w:val="32"/>
          <w:szCs w:val="32"/>
        </w:rPr>
      </w:pPr>
    </w:p>
    <w:p>
      <w:pPr>
        <w:keepNext w:val="0"/>
        <w:keepLines w:val="0"/>
        <w:pageBreakBefore w:val="0"/>
        <w:widowControl w:val="0"/>
        <w:kinsoku/>
        <w:wordWrap/>
        <w:overflowPunct/>
        <w:topLinePunct w:val="0"/>
        <w:autoSpaceDE/>
        <w:autoSpaceDN/>
        <w:bidi w:val="0"/>
        <w:adjustRightInd w:val="0"/>
        <w:snapToGrid w:val="0"/>
        <w:spacing w:line="288" w:lineRule="auto"/>
        <w:ind w:leftChars="400" w:firstLine="161" w:firstLineChars="50"/>
        <w:jc w:val="both"/>
        <w:textAlignment w:val="auto"/>
        <w:outlineLvl w:val="9"/>
        <w:rPr>
          <w:rFonts w:hint="eastAsia" w:ascii="仿宋_GB2312" w:hAnsi="Times New Roman" w:eastAsia="仿宋_GB2312" w:cs="Times New Roman"/>
          <w:b/>
          <w:bCs/>
          <w:sz w:val="32"/>
          <w:szCs w:val="32"/>
          <w:u w:val="single"/>
        </w:rPr>
      </w:pPr>
      <w:r>
        <w:rPr>
          <w:rFonts w:hint="eastAsia" w:ascii="仿宋_GB2312" w:hAnsi="Times New Roman" w:eastAsia="仿宋_GB2312" w:cs="Times New Roman"/>
          <w:b/>
          <w:bCs/>
          <w:sz w:val="32"/>
          <w:szCs w:val="32"/>
        </w:rPr>
        <w:t>编制日期：</w:t>
      </w:r>
      <w:r>
        <w:rPr>
          <w:rFonts w:hint="eastAsia" w:ascii="仿宋_GB2312" w:hAnsi="Times New Roman" w:eastAsia="仿宋_GB2312" w:cs="Times New Roman"/>
          <w:b/>
          <w:bCs/>
          <w:sz w:val="32"/>
          <w:szCs w:val="32"/>
          <w:u w:val="single"/>
        </w:rPr>
        <w:t xml:space="preserve"> </w:t>
      </w:r>
      <w:r>
        <w:rPr>
          <w:rFonts w:ascii="仿宋_GB2312" w:hAnsi="Times New Roman" w:eastAsia="仿宋_GB2312" w:cs="Times New Roman"/>
          <w:b/>
          <w:bCs/>
          <w:sz w:val="32"/>
          <w:szCs w:val="32"/>
          <w:u w:val="single"/>
        </w:rPr>
        <w:t xml:space="preserve"> </w:t>
      </w:r>
      <w:r>
        <w:rPr>
          <w:rFonts w:hint="eastAsia" w:ascii="仿宋_GB2312" w:hAnsi="Times New Roman" w:eastAsia="仿宋_GB2312" w:cs="Times New Roman"/>
          <w:b/>
          <w:bCs/>
          <w:sz w:val="32"/>
          <w:szCs w:val="32"/>
          <w:u w:val="single"/>
        </w:rPr>
        <w:t xml:space="preserve"> </w:t>
      </w:r>
      <w:r>
        <w:rPr>
          <w:rFonts w:hint="eastAsia" w:ascii="仿宋_GB2312" w:eastAsia="仿宋_GB2312" w:cs="Times New Roman"/>
          <w:b/>
          <w:bCs/>
          <w:sz w:val="32"/>
          <w:szCs w:val="32"/>
          <w:u w:val="single"/>
          <w:lang w:val="en-US" w:eastAsia="zh-CN"/>
        </w:rPr>
        <w:t xml:space="preserve">     </w:t>
      </w:r>
      <w:r>
        <w:rPr>
          <w:rFonts w:hint="eastAsia" w:ascii="仿宋_GB2312" w:hAnsi="Times New Roman" w:eastAsia="仿宋_GB2312" w:cs="Times New Roman"/>
          <w:b/>
          <w:bCs/>
          <w:sz w:val="32"/>
          <w:szCs w:val="32"/>
          <w:u w:val="single"/>
        </w:rPr>
        <w:t xml:space="preserve"> 202</w:t>
      </w:r>
      <w:r>
        <w:rPr>
          <w:rFonts w:hint="eastAsia" w:ascii="仿宋_GB2312" w:eastAsia="仿宋_GB2312" w:cs="Times New Roman"/>
          <w:b/>
          <w:bCs/>
          <w:sz w:val="32"/>
          <w:szCs w:val="32"/>
          <w:u w:val="single"/>
          <w:lang w:val="en-US" w:eastAsia="zh-CN"/>
        </w:rPr>
        <w:t>4</w:t>
      </w:r>
      <w:r>
        <w:rPr>
          <w:rFonts w:hint="eastAsia" w:ascii="仿宋_GB2312" w:hAnsi="Times New Roman" w:eastAsia="仿宋_GB2312" w:cs="Times New Roman"/>
          <w:b/>
          <w:bCs/>
          <w:sz w:val="32"/>
          <w:szCs w:val="32"/>
          <w:u w:val="single"/>
        </w:rPr>
        <w:t>年</w:t>
      </w:r>
      <w:r>
        <w:rPr>
          <w:rFonts w:hint="eastAsia" w:ascii="宋体" w:hAnsi="宋体" w:eastAsia="仿宋_GB2312" w:cs="宋体"/>
          <w:b/>
          <w:bCs/>
          <w:sz w:val="32"/>
          <w:szCs w:val="32"/>
          <w:u w:val="single"/>
        </w:rPr>
        <w:t>0</w:t>
      </w:r>
      <w:r>
        <w:rPr>
          <w:rFonts w:hint="eastAsia" w:ascii="宋体" w:hAnsi="宋体" w:eastAsia="仿宋_GB2312" w:cs="宋体"/>
          <w:b/>
          <w:bCs/>
          <w:sz w:val="32"/>
          <w:szCs w:val="32"/>
          <w:u w:val="single"/>
          <w:lang w:val="en-US" w:eastAsia="zh-CN"/>
        </w:rPr>
        <w:t>3</w:t>
      </w:r>
      <w:r>
        <w:rPr>
          <w:rFonts w:hint="eastAsia" w:ascii="仿宋_GB2312" w:hAnsi="Times New Roman" w:eastAsia="仿宋_GB2312" w:cs="Times New Roman"/>
          <w:b/>
          <w:bCs/>
          <w:sz w:val="32"/>
          <w:szCs w:val="32"/>
          <w:u w:val="single"/>
        </w:rPr>
        <w:t>月</w:t>
      </w:r>
      <w:r>
        <w:rPr>
          <w:rFonts w:hint="eastAsia" w:ascii="仿宋_GB2312" w:eastAsia="仿宋_GB2312" w:cs="Times New Roman"/>
          <w:b/>
          <w:bCs/>
          <w:sz w:val="32"/>
          <w:szCs w:val="32"/>
          <w:u w:val="single"/>
          <w:lang w:val="en-US" w:eastAsia="zh-CN"/>
        </w:rPr>
        <w:t xml:space="preserve">    </w:t>
      </w:r>
      <w:r>
        <w:rPr>
          <w:rFonts w:ascii="仿宋_GB2312" w:hAnsi="Times New Roman" w:eastAsia="仿宋_GB2312" w:cs="Times New Roman"/>
          <w:b/>
          <w:bCs/>
          <w:sz w:val="32"/>
          <w:szCs w:val="32"/>
          <w:u w:val="single"/>
        </w:rPr>
        <w:t xml:space="preserve"> </w:t>
      </w:r>
      <w:r>
        <w:rPr>
          <w:rFonts w:hint="eastAsia" w:ascii="仿宋_GB2312" w:eastAsia="仿宋_GB2312" w:cs="Times New Roman"/>
          <w:b/>
          <w:bCs/>
          <w:sz w:val="32"/>
          <w:szCs w:val="32"/>
          <w:u w:val="single"/>
          <w:lang w:val="en-US" w:eastAsia="zh-CN"/>
        </w:rPr>
        <w:t xml:space="preserve">         </w:t>
      </w:r>
      <w:r>
        <w:rPr>
          <w:rFonts w:ascii="仿宋_GB2312" w:hAnsi="Times New Roman" w:eastAsia="仿宋_GB2312" w:cs="Times New Roman"/>
          <w:b/>
          <w:bCs/>
          <w:sz w:val="32"/>
          <w:szCs w:val="32"/>
          <w:u w:val="single"/>
        </w:rPr>
        <w:t xml:space="preserve"> </w:t>
      </w:r>
    </w:p>
    <w:p>
      <w:pPr>
        <w:keepNext w:val="0"/>
        <w:keepLines w:val="0"/>
        <w:pageBreakBefore w:val="0"/>
        <w:widowControl w:val="0"/>
        <w:kinsoku/>
        <w:wordWrap/>
        <w:overflowPunct/>
        <w:topLinePunct w:val="0"/>
        <w:autoSpaceDE/>
        <w:autoSpaceDN/>
        <w:bidi w:val="0"/>
        <w:adjustRightInd w:val="0"/>
        <w:snapToGrid w:val="0"/>
        <w:spacing w:line="288" w:lineRule="auto"/>
        <w:textAlignment w:val="auto"/>
        <w:outlineLvl w:val="9"/>
        <w:rPr>
          <w:rFonts w:ascii="仿宋_GB2312" w:hAnsi="Times New Roman" w:eastAsia="仿宋_GB2312" w:cs="Times New Roman"/>
          <w:sz w:val="36"/>
          <w:szCs w:val="36"/>
          <w:u w:val="single"/>
        </w:rPr>
      </w:pPr>
    </w:p>
    <w:p>
      <w:pPr>
        <w:keepNext w:val="0"/>
        <w:keepLines w:val="0"/>
        <w:pageBreakBefore w:val="0"/>
        <w:widowControl w:val="0"/>
        <w:kinsoku/>
        <w:wordWrap/>
        <w:overflowPunct/>
        <w:topLinePunct w:val="0"/>
        <w:autoSpaceDE/>
        <w:autoSpaceDN/>
        <w:bidi w:val="0"/>
        <w:adjustRightInd w:val="0"/>
        <w:snapToGrid w:val="0"/>
        <w:spacing w:line="288" w:lineRule="auto"/>
        <w:textAlignment w:val="auto"/>
        <w:outlineLvl w:val="9"/>
        <w:rPr>
          <w:rFonts w:ascii="仿宋_GB2312" w:hAnsi="Times New Roman" w:eastAsia="仿宋_GB2312" w:cs="Times New Roman"/>
          <w:sz w:val="36"/>
          <w:szCs w:val="36"/>
        </w:rPr>
      </w:pPr>
    </w:p>
    <w:p>
      <w:pPr>
        <w:keepNext w:val="0"/>
        <w:keepLines w:val="0"/>
        <w:pageBreakBefore w:val="0"/>
        <w:widowControl w:val="0"/>
        <w:kinsoku/>
        <w:wordWrap/>
        <w:overflowPunct/>
        <w:topLinePunct w:val="0"/>
        <w:autoSpaceDE/>
        <w:autoSpaceDN/>
        <w:bidi w:val="0"/>
        <w:adjustRightInd w:val="0"/>
        <w:snapToGrid w:val="0"/>
        <w:spacing w:line="288" w:lineRule="auto"/>
        <w:textAlignment w:val="auto"/>
        <w:outlineLvl w:val="9"/>
        <w:rPr>
          <w:rFonts w:ascii="仿宋_GB2312" w:hAnsi="Times New Roman" w:eastAsia="仿宋_GB2312" w:cs="Times New Roman"/>
          <w:sz w:val="36"/>
          <w:szCs w:val="36"/>
        </w:rPr>
      </w:pPr>
    </w:p>
    <w:p>
      <w:pPr>
        <w:keepNext w:val="0"/>
        <w:keepLines w:val="0"/>
        <w:pageBreakBefore w:val="0"/>
        <w:widowControl w:val="0"/>
        <w:kinsoku/>
        <w:wordWrap/>
        <w:overflowPunct/>
        <w:topLinePunct w:val="0"/>
        <w:autoSpaceDE/>
        <w:autoSpaceDN/>
        <w:bidi w:val="0"/>
        <w:adjustRightInd w:val="0"/>
        <w:snapToGrid w:val="0"/>
        <w:spacing w:line="288" w:lineRule="auto"/>
        <w:textAlignment w:val="auto"/>
        <w:outlineLvl w:val="9"/>
        <w:rPr>
          <w:rFonts w:hint="eastAsia" w:ascii="仿宋_GB2312" w:hAnsi="Times New Roman" w:eastAsia="仿宋_GB2312" w:cs="Times New Roman"/>
          <w:sz w:val="36"/>
          <w:szCs w:val="36"/>
        </w:rPr>
      </w:pPr>
    </w:p>
    <w:p>
      <w:pPr>
        <w:keepNext w:val="0"/>
        <w:keepLines w:val="0"/>
        <w:pageBreakBefore w:val="0"/>
        <w:widowControl w:val="0"/>
        <w:kinsoku/>
        <w:wordWrap/>
        <w:overflowPunct/>
        <w:topLinePunct w:val="0"/>
        <w:autoSpaceDE/>
        <w:autoSpaceDN/>
        <w:bidi w:val="0"/>
        <w:adjustRightInd w:val="0"/>
        <w:snapToGrid w:val="0"/>
        <w:spacing w:line="288" w:lineRule="auto"/>
        <w:textAlignment w:val="auto"/>
        <w:outlineLvl w:val="9"/>
        <w:rPr>
          <w:rFonts w:hint="eastAsia" w:ascii="仿宋_GB2312" w:hAnsi="Times New Roman" w:eastAsia="仿宋_GB2312" w:cs="Times New Roman"/>
          <w:sz w:val="36"/>
          <w:szCs w:val="36"/>
        </w:rPr>
      </w:pPr>
    </w:p>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eastAsia" w:ascii="楷体_GB2312" w:hAnsi="Times New Roman" w:eastAsia="楷体_GB2312" w:cs="Times New Roman"/>
          <w:sz w:val="36"/>
          <w:szCs w:val="36"/>
        </w:rPr>
      </w:pPr>
      <w:r>
        <w:rPr>
          <w:rFonts w:hint="eastAsia" w:ascii="楷体_GB2312" w:hAnsi="Times New Roman" w:eastAsia="楷体_GB2312" w:cs="Times New Roman"/>
          <w:sz w:val="36"/>
          <w:szCs w:val="36"/>
        </w:rPr>
        <w:t>中华人民共和国生态环境部制</w:t>
      </w:r>
    </w:p>
    <w:p>
      <w:pPr>
        <w:adjustRightInd w:val="0"/>
        <w:snapToGrid w:val="0"/>
        <w:spacing w:line="288" w:lineRule="auto"/>
        <w:jc w:val="center"/>
        <w:rPr>
          <w:rFonts w:ascii="楷体_GB2312" w:hAnsi="Times New Roman" w:eastAsia="楷体_GB2312" w:cs="Times New Roman"/>
          <w:sz w:val="36"/>
          <w:szCs w:val="36"/>
        </w:rPr>
      </w:pPr>
    </w:p>
    <w:p>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sdt>
      <w:sdtPr>
        <w:rPr>
          <w:rFonts w:ascii="宋体" w:hAnsi="宋体" w:eastAsia="宋体" w:cs="Times New Roman"/>
          <w:kern w:val="2"/>
          <w:sz w:val="21"/>
          <w:szCs w:val="24"/>
          <w:lang w:val="en-US" w:eastAsia="zh-CN" w:bidi="ar-SA"/>
        </w:rPr>
        <w:id w:val="147478548"/>
        <w15:color w:val="DBDBDB"/>
        <w:docPartObj>
          <w:docPartGallery w:val="Table of Contents"/>
          <w:docPartUnique/>
        </w:docPartObj>
      </w:sdtPr>
      <w:sdtEndPr>
        <w:rPr>
          <w:rFonts w:ascii="Times New Roman" w:hAnsi="Times New Roman" w:eastAsia="宋体" w:cs="Times New Roman"/>
          <w:kern w:val="2"/>
          <w:sz w:val="28"/>
          <w:szCs w:val="24"/>
          <w:lang w:val="en-US" w:eastAsia="zh-CN" w:bidi="ar-SA"/>
        </w:rPr>
      </w:sdtEndPr>
      <w:sdtContent>
        <w:p>
          <w:pPr>
            <w:spacing w:before="0" w:beforeLines="0" w:after="0" w:afterLines="0" w:line="240" w:lineRule="auto"/>
            <w:ind w:left="0" w:leftChars="0" w:right="0" w:rightChars="0" w:firstLine="0" w:firstLineChars="0"/>
            <w:jc w:val="center"/>
            <w:rPr>
              <w:rFonts w:ascii="Times New Roman" w:hAnsi="Times New Roman" w:eastAsia="宋体"/>
              <w:sz w:val="28"/>
            </w:rPr>
          </w:pPr>
          <w:r>
            <w:rPr>
              <w:rFonts w:ascii="Times New Roman" w:hAnsi="Times New Roman" w:eastAsia="宋体"/>
              <w:sz w:val="28"/>
            </w:rPr>
            <w:t>目录</w:t>
          </w:r>
        </w:p>
        <w:p>
          <w:pPr>
            <w:pStyle w:val="13"/>
            <w:tabs>
              <w:tab w:val="right" w:leader="dot" w:pos="8844"/>
              <w:tab w:val="clear" w:pos="8834"/>
            </w:tabs>
            <w:rPr>
              <w:rFonts w:ascii="Times New Roman" w:hAnsi="Times New Roman" w:eastAsia="宋体"/>
              <w:sz w:val="28"/>
            </w:rPr>
          </w:pPr>
          <w:r>
            <w:rPr>
              <w:rFonts w:ascii="Times New Roman" w:hAnsi="Times New Roman" w:eastAsia="宋体"/>
              <w:sz w:val="28"/>
            </w:rPr>
            <w:fldChar w:fldCharType="begin"/>
          </w:r>
          <w:r>
            <w:rPr>
              <w:rFonts w:ascii="Times New Roman" w:hAnsi="Times New Roman" w:eastAsia="宋体"/>
              <w:sz w:val="28"/>
            </w:rPr>
            <w:instrText xml:space="preserve">TOC \o "1-1" \h \u </w:instrText>
          </w:r>
          <w:r>
            <w:rPr>
              <w:rFonts w:ascii="Times New Roman" w:hAnsi="Times New Roman" w:eastAsia="宋体"/>
              <w:sz w:val="28"/>
            </w:rPr>
            <w:fldChar w:fldCharType="separate"/>
          </w:r>
          <w:r>
            <w:rPr>
              <w:rFonts w:ascii="Times New Roman" w:hAnsi="Times New Roman" w:eastAsia="宋体"/>
              <w:sz w:val="28"/>
            </w:rPr>
            <w:fldChar w:fldCharType="begin"/>
          </w:r>
          <w:r>
            <w:rPr>
              <w:rFonts w:ascii="Times New Roman" w:hAnsi="Times New Roman" w:eastAsia="宋体"/>
              <w:sz w:val="28"/>
            </w:rPr>
            <w:instrText xml:space="preserve"> HYPERLINK \l _Toc31865 </w:instrText>
          </w:r>
          <w:r>
            <w:rPr>
              <w:rFonts w:ascii="Times New Roman" w:hAnsi="Times New Roman" w:eastAsia="宋体"/>
              <w:sz w:val="28"/>
            </w:rPr>
            <w:fldChar w:fldCharType="separate"/>
          </w:r>
          <w:r>
            <w:rPr>
              <w:rFonts w:hint="eastAsia" w:ascii="Times New Roman" w:hAnsi="Times New Roman" w:eastAsia="宋体"/>
              <w:bCs/>
              <w:sz w:val="28"/>
              <w:szCs w:val="36"/>
              <w:lang w:val="en-US" w:eastAsia="zh-CN"/>
            </w:rPr>
            <w:t>前言</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_Toc31865 \h </w:instrText>
          </w:r>
          <w:r>
            <w:rPr>
              <w:rFonts w:ascii="Times New Roman" w:hAnsi="Times New Roman" w:eastAsia="宋体"/>
              <w:sz w:val="28"/>
            </w:rPr>
            <w:fldChar w:fldCharType="separate"/>
          </w:r>
          <w:r>
            <w:rPr>
              <w:rFonts w:ascii="Times New Roman" w:hAnsi="Times New Roman" w:eastAsia="宋体"/>
              <w:sz w:val="28"/>
            </w:rPr>
            <w:t>1</w:t>
          </w:r>
          <w:r>
            <w:rPr>
              <w:rFonts w:ascii="Times New Roman" w:hAnsi="Times New Roman" w:eastAsia="宋体"/>
              <w:sz w:val="28"/>
            </w:rPr>
            <w:fldChar w:fldCharType="end"/>
          </w:r>
          <w:r>
            <w:rPr>
              <w:rFonts w:ascii="Times New Roman" w:hAnsi="Times New Roman" w:eastAsia="宋体"/>
              <w:sz w:val="28"/>
            </w:rPr>
            <w:fldChar w:fldCharType="end"/>
          </w:r>
        </w:p>
        <w:p>
          <w:pPr>
            <w:pStyle w:val="13"/>
            <w:tabs>
              <w:tab w:val="right" w:leader="dot" w:pos="8844"/>
              <w:tab w:val="clear" w:pos="8834"/>
            </w:tabs>
            <w:rPr>
              <w:rFonts w:ascii="Times New Roman" w:hAnsi="Times New Roman" w:eastAsia="宋体"/>
              <w:sz w:val="28"/>
            </w:rPr>
          </w:pPr>
          <w:r>
            <w:rPr>
              <w:rFonts w:ascii="Times New Roman" w:hAnsi="Times New Roman" w:eastAsia="宋体"/>
              <w:sz w:val="28"/>
            </w:rPr>
            <w:fldChar w:fldCharType="begin"/>
          </w:r>
          <w:r>
            <w:rPr>
              <w:rFonts w:ascii="Times New Roman" w:hAnsi="Times New Roman" w:eastAsia="宋体"/>
              <w:sz w:val="28"/>
            </w:rPr>
            <w:instrText xml:space="preserve"> HYPERLINK \l _Toc16156 </w:instrText>
          </w:r>
          <w:r>
            <w:rPr>
              <w:rFonts w:ascii="Times New Roman" w:hAnsi="Times New Roman" w:eastAsia="宋体"/>
              <w:sz w:val="28"/>
            </w:rPr>
            <w:fldChar w:fldCharType="separate"/>
          </w:r>
          <w:r>
            <w:rPr>
              <w:rFonts w:hint="eastAsia" w:ascii="Times New Roman" w:hAnsi="Times New Roman" w:eastAsia="宋体"/>
              <w:snapToGrid w:val="0"/>
              <w:sz w:val="28"/>
              <w:szCs w:val="30"/>
            </w:rPr>
            <w:t>一、建设项目基本情况</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_Toc16156 \h </w:instrText>
          </w:r>
          <w:r>
            <w:rPr>
              <w:rFonts w:ascii="Times New Roman" w:hAnsi="Times New Roman" w:eastAsia="宋体"/>
              <w:sz w:val="28"/>
            </w:rPr>
            <w:fldChar w:fldCharType="separate"/>
          </w:r>
          <w:r>
            <w:rPr>
              <w:rFonts w:ascii="Times New Roman" w:hAnsi="Times New Roman" w:eastAsia="宋体"/>
              <w:sz w:val="28"/>
            </w:rPr>
            <w:t>1</w:t>
          </w:r>
          <w:r>
            <w:rPr>
              <w:rFonts w:ascii="Times New Roman" w:hAnsi="Times New Roman" w:eastAsia="宋体"/>
              <w:sz w:val="28"/>
            </w:rPr>
            <w:fldChar w:fldCharType="end"/>
          </w:r>
          <w:r>
            <w:rPr>
              <w:rFonts w:ascii="Times New Roman" w:hAnsi="Times New Roman" w:eastAsia="宋体"/>
              <w:sz w:val="28"/>
            </w:rPr>
            <w:fldChar w:fldCharType="end"/>
          </w:r>
        </w:p>
        <w:p>
          <w:pPr>
            <w:pStyle w:val="13"/>
            <w:tabs>
              <w:tab w:val="right" w:leader="dot" w:pos="8844"/>
              <w:tab w:val="clear" w:pos="8834"/>
            </w:tabs>
            <w:rPr>
              <w:rFonts w:ascii="Times New Roman" w:hAnsi="Times New Roman" w:eastAsia="宋体"/>
              <w:sz w:val="28"/>
            </w:rPr>
          </w:pPr>
          <w:r>
            <w:rPr>
              <w:rFonts w:ascii="Times New Roman" w:hAnsi="Times New Roman" w:eastAsia="宋体"/>
              <w:sz w:val="28"/>
            </w:rPr>
            <w:fldChar w:fldCharType="begin"/>
          </w:r>
          <w:r>
            <w:rPr>
              <w:rFonts w:ascii="Times New Roman" w:hAnsi="Times New Roman" w:eastAsia="宋体"/>
              <w:sz w:val="28"/>
            </w:rPr>
            <w:instrText xml:space="preserve"> HYPERLINK \l _Toc23503 </w:instrText>
          </w:r>
          <w:r>
            <w:rPr>
              <w:rFonts w:ascii="Times New Roman" w:hAnsi="Times New Roman" w:eastAsia="宋体"/>
              <w:sz w:val="28"/>
            </w:rPr>
            <w:fldChar w:fldCharType="separate"/>
          </w:r>
          <w:r>
            <w:rPr>
              <w:rFonts w:hint="eastAsia" w:ascii="Times New Roman" w:hAnsi="Times New Roman" w:eastAsia="宋体" w:cs="Times New Roman"/>
              <w:snapToGrid w:val="0"/>
              <w:sz w:val="28"/>
              <w:szCs w:val="30"/>
              <w:lang w:val="en-US" w:eastAsia="zh-CN"/>
            </w:rPr>
            <w:t>二、建设内容</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_Toc23503 \h </w:instrText>
          </w:r>
          <w:r>
            <w:rPr>
              <w:rFonts w:ascii="Times New Roman" w:hAnsi="Times New Roman" w:eastAsia="宋体"/>
              <w:sz w:val="28"/>
            </w:rPr>
            <w:fldChar w:fldCharType="separate"/>
          </w:r>
          <w:r>
            <w:rPr>
              <w:rFonts w:ascii="Times New Roman" w:hAnsi="Times New Roman" w:eastAsia="宋体"/>
              <w:sz w:val="28"/>
            </w:rPr>
            <w:t>22</w:t>
          </w:r>
          <w:r>
            <w:rPr>
              <w:rFonts w:ascii="Times New Roman" w:hAnsi="Times New Roman" w:eastAsia="宋体"/>
              <w:sz w:val="28"/>
            </w:rPr>
            <w:fldChar w:fldCharType="end"/>
          </w:r>
          <w:r>
            <w:rPr>
              <w:rFonts w:ascii="Times New Roman" w:hAnsi="Times New Roman" w:eastAsia="宋体"/>
              <w:sz w:val="28"/>
            </w:rPr>
            <w:fldChar w:fldCharType="end"/>
          </w:r>
        </w:p>
        <w:p>
          <w:pPr>
            <w:pStyle w:val="13"/>
            <w:tabs>
              <w:tab w:val="right" w:leader="dot" w:pos="8844"/>
              <w:tab w:val="clear" w:pos="8834"/>
            </w:tabs>
            <w:rPr>
              <w:rFonts w:ascii="Times New Roman" w:hAnsi="Times New Roman" w:eastAsia="宋体"/>
              <w:sz w:val="28"/>
            </w:rPr>
          </w:pPr>
          <w:r>
            <w:rPr>
              <w:rFonts w:ascii="Times New Roman" w:hAnsi="Times New Roman" w:eastAsia="宋体"/>
              <w:sz w:val="28"/>
            </w:rPr>
            <w:fldChar w:fldCharType="begin"/>
          </w:r>
          <w:r>
            <w:rPr>
              <w:rFonts w:ascii="Times New Roman" w:hAnsi="Times New Roman" w:eastAsia="宋体"/>
              <w:sz w:val="28"/>
            </w:rPr>
            <w:instrText xml:space="preserve"> HYPERLINK \l _Toc9041 </w:instrText>
          </w:r>
          <w:r>
            <w:rPr>
              <w:rFonts w:ascii="Times New Roman" w:hAnsi="Times New Roman" w:eastAsia="宋体"/>
              <w:sz w:val="28"/>
            </w:rPr>
            <w:fldChar w:fldCharType="separate"/>
          </w:r>
          <w:r>
            <w:rPr>
              <w:rFonts w:hint="default" w:ascii="Times New Roman" w:hAnsi="Times New Roman" w:eastAsia="宋体" w:cs="Times New Roman"/>
              <w:snapToGrid w:val="0"/>
              <w:sz w:val="28"/>
              <w:szCs w:val="30"/>
              <w:lang w:val="en-US" w:eastAsia="zh-CN"/>
            </w:rPr>
            <w:t>三、生态环境现状、保护目标及评价标准</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_Toc9041 \h </w:instrText>
          </w:r>
          <w:r>
            <w:rPr>
              <w:rFonts w:ascii="Times New Roman" w:hAnsi="Times New Roman" w:eastAsia="宋体"/>
              <w:sz w:val="28"/>
            </w:rPr>
            <w:fldChar w:fldCharType="separate"/>
          </w:r>
          <w:r>
            <w:rPr>
              <w:rFonts w:ascii="Times New Roman" w:hAnsi="Times New Roman" w:eastAsia="宋体"/>
              <w:sz w:val="28"/>
            </w:rPr>
            <w:t>61</w:t>
          </w:r>
          <w:r>
            <w:rPr>
              <w:rFonts w:ascii="Times New Roman" w:hAnsi="Times New Roman" w:eastAsia="宋体"/>
              <w:sz w:val="28"/>
            </w:rPr>
            <w:fldChar w:fldCharType="end"/>
          </w:r>
          <w:r>
            <w:rPr>
              <w:rFonts w:ascii="Times New Roman" w:hAnsi="Times New Roman" w:eastAsia="宋体"/>
              <w:sz w:val="28"/>
            </w:rPr>
            <w:fldChar w:fldCharType="end"/>
          </w:r>
        </w:p>
        <w:p>
          <w:pPr>
            <w:pStyle w:val="13"/>
            <w:tabs>
              <w:tab w:val="right" w:leader="dot" w:pos="8844"/>
              <w:tab w:val="clear" w:pos="8834"/>
            </w:tabs>
            <w:rPr>
              <w:rFonts w:ascii="Times New Roman" w:hAnsi="Times New Roman" w:eastAsia="宋体"/>
              <w:sz w:val="28"/>
            </w:rPr>
          </w:pPr>
          <w:r>
            <w:rPr>
              <w:rFonts w:ascii="Times New Roman" w:hAnsi="Times New Roman" w:eastAsia="宋体"/>
              <w:sz w:val="28"/>
            </w:rPr>
            <w:fldChar w:fldCharType="begin"/>
          </w:r>
          <w:r>
            <w:rPr>
              <w:rFonts w:ascii="Times New Roman" w:hAnsi="Times New Roman" w:eastAsia="宋体"/>
              <w:sz w:val="28"/>
            </w:rPr>
            <w:instrText xml:space="preserve"> HYPERLINK \l _Toc20906 </w:instrText>
          </w:r>
          <w:r>
            <w:rPr>
              <w:rFonts w:ascii="Times New Roman" w:hAnsi="Times New Roman" w:eastAsia="宋体"/>
              <w:sz w:val="28"/>
            </w:rPr>
            <w:fldChar w:fldCharType="separate"/>
          </w:r>
          <w:r>
            <w:rPr>
              <w:rFonts w:hint="eastAsia" w:ascii="Times New Roman" w:hAnsi="Times New Roman" w:eastAsia="宋体" w:cs="Times New Roman"/>
              <w:snapToGrid w:val="0"/>
              <w:kern w:val="0"/>
              <w:sz w:val="28"/>
              <w:szCs w:val="30"/>
              <w:lang w:val="en-US" w:eastAsia="zh-CN" w:bidi="ar-SA"/>
            </w:rPr>
            <w:t>四、生态环境影响分析</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_Toc20906 \h </w:instrText>
          </w:r>
          <w:r>
            <w:rPr>
              <w:rFonts w:ascii="Times New Roman" w:hAnsi="Times New Roman" w:eastAsia="宋体"/>
              <w:sz w:val="28"/>
            </w:rPr>
            <w:fldChar w:fldCharType="separate"/>
          </w:r>
          <w:r>
            <w:rPr>
              <w:rFonts w:ascii="Times New Roman" w:hAnsi="Times New Roman" w:eastAsia="宋体"/>
              <w:sz w:val="28"/>
            </w:rPr>
            <w:t>89</w:t>
          </w:r>
          <w:r>
            <w:rPr>
              <w:rFonts w:ascii="Times New Roman" w:hAnsi="Times New Roman" w:eastAsia="宋体"/>
              <w:sz w:val="28"/>
            </w:rPr>
            <w:fldChar w:fldCharType="end"/>
          </w:r>
          <w:r>
            <w:rPr>
              <w:rFonts w:ascii="Times New Roman" w:hAnsi="Times New Roman" w:eastAsia="宋体"/>
              <w:sz w:val="28"/>
            </w:rPr>
            <w:fldChar w:fldCharType="end"/>
          </w:r>
        </w:p>
        <w:p>
          <w:pPr>
            <w:pStyle w:val="13"/>
            <w:tabs>
              <w:tab w:val="right" w:leader="dot" w:pos="8844"/>
              <w:tab w:val="clear" w:pos="8834"/>
            </w:tabs>
            <w:rPr>
              <w:rFonts w:ascii="Times New Roman" w:hAnsi="Times New Roman" w:eastAsia="宋体"/>
              <w:sz w:val="28"/>
            </w:rPr>
          </w:pPr>
          <w:r>
            <w:rPr>
              <w:rFonts w:ascii="Times New Roman" w:hAnsi="Times New Roman" w:eastAsia="宋体"/>
              <w:sz w:val="28"/>
            </w:rPr>
            <w:fldChar w:fldCharType="begin"/>
          </w:r>
          <w:r>
            <w:rPr>
              <w:rFonts w:ascii="Times New Roman" w:hAnsi="Times New Roman" w:eastAsia="宋体"/>
              <w:sz w:val="28"/>
            </w:rPr>
            <w:instrText xml:space="preserve"> HYPERLINK \l _Toc24311 </w:instrText>
          </w:r>
          <w:r>
            <w:rPr>
              <w:rFonts w:ascii="Times New Roman" w:hAnsi="Times New Roman" w:eastAsia="宋体"/>
              <w:sz w:val="28"/>
            </w:rPr>
            <w:fldChar w:fldCharType="separate"/>
          </w:r>
          <w:r>
            <w:rPr>
              <w:rFonts w:hint="eastAsia" w:ascii="Times New Roman" w:hAnsi="Times New Roman" w:eastAsia="宋体" w:cs="Times New Roman"/>
              <w:snapToGrid w:val="0"/>
              <w:kern w:val="0"/>
              <w:sz w:val="28"/>
              <w:szCs w:val="30"/>
              <w:lang w:val="en-US" w:eastAsia="zh-CN" w:bidi="ar-SA"/>
            </w:rPr>
            <w:t>五、主要生态环境保护措施</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_Toc24311 \h </w:instrText>
          </w:r>
          <w:r>
            <w:rPr>
              <w:rFonts w:ascii="Times New Roman" w:hAnsi="Times New Roman" w:eastAsia="宋体"/>
              <w:sz w:val="28"/>
            </w:rPr>
            <w:fldChar w:fldCharType="separate"/>
          </w:r>
          <w:r>
            <w:rPr>
              <w:rFonts w:ascii="Times New Roman" w:hAnsi="Times New Roman" w:eastAsia="宋体"/>
              <w:sz w:val="28"/>
            </w:rPr>
            <w:t>120</w:t>
          </w:r>
          <w:r>
            <w:rPr>
              <w:rFonts w:ascii="Times New Roman" w:hAnsi="Times New Roman" w:eastAsia="宋体"/>
              <w:sz w:val="28"/>
            </w:rPr>
            <w:fldChar w:fldCharType="end"/>
          </w:r>
          <w:r>
            <w:rPr>
              <w:rFonts w:ascii="Times New Roman" w:hAnsi="Times New Roman" w:eastAsia="宋体"/>
              <w:sz w:val="28"/>
            </w:rPr>
            <w:fldChar w:fldCharType="end"/>
          </w:r>
        </w:p>
        <w:p>
          <w:pPr>
            <w:pStyle w:val="13"/>
            <w:tabs>
              <w:tab w:val="right" w:leader="dot" w:pos="8844"/>
              <w:tab w:val="clear" w:pos="8834"/>
            </w:tabs>
            <w:rPr>
              <w:rFonts w:ascii="Times New Roman" w:hAnsi="Times New Roman" w:eastAsia="宋体"/>
              <w:sz w:val="28"/>
            </w:rPr>
          </w:pPr>
          <w:r>
            <w:rPr>
              <w:rFonts w:ascii="Times New Roman" w:hAnsi="Times New Roman" w:eastAsia="宋体"/>
              <w:sz w:val="28"/>
            </w:rPr>
            <w:fldChar w:fldCharType="begin"/>
          </w:r>
          <w:r>
            <w:rPr>
              <w:rFonts w:ascii="Times New Roman" w:hAnsi="Times New Roman" w:eastAsia="宋体"/>
              <w:sz w:val="28"/>
            </w:rPr>
            <w:instrText xml:space="preserve"> HYPERLINK \l _Toc14644 </w:instrText>
          </w:r>
          <w:r>
            <w:rPr>
              <w:rFonts w:ascii="Times New Roman" w:hAnsi="Times New Roman" w:eastAsia="宋体"/>
              <w:sz w:val="28"/>
            </w:rPr>
            <w:fldChar w:fldCharType="separate"/>
          </w:r>
          <w:r>
            <w:rPr>
              <w:rFonts w:hint="eastAsia" w:ascii="Times New Roman" w:hAnsi="Times New Roman" w:eastAsia="宋体" w:cs="Times New Roman"/>
              <w:snapToGrid w:val="0"/>
              <w:kern w:val="0"/>
              <w:sz w:val="28"/>
              <w:szCs w:val="30"/>
              <w:lang w:val="en-US" w:eastAsia="zh-CN" w:bidi="ar-SA"/>
            </w:rPr>
            <w:t>六、生态环境保护措施监督检查清单</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_Toc14644 \h </w:instrText>
          </w:r>
          <w:r>
            <w:rPr>
              <w:rFonts w:ascii="Times New Roman" w:hAnsi="Times New Roman" w:eastAsia="宋体"/>
              <w:sz w:val="28"/>
            </w:rPr>
            <w:fldChar w:fldCharType="separate"/>
          </w:r>
          <w:r>
            <w:rPr>
              <w:rFonts w:ascii="Times New Roman" w:hAnsi="Times New Roman" w:eastAsia="宋体"/>
              <w:sz w:val="28"/>
            </w:rPr>
            <w:t>135</w:t>
          </w:r>
          <w:r>
            <w:rPr>
              <w:rFonts w:ascii="Times New Roman" w:hAnsi="Times New Roman" w:eastAsia="宋体"/>
              <w:sz w:val="28"/>
            </w:rPr>
            <w:fldChar w:fldCharType="end"/>
          </w:r>
          <w:r>
            <w:rPr>
              <w:rFonts w:ascii="Times New Roman" w:hAnsi="Times New Roman" w:eastAsia="宋体"/>
              <w:sz w:val="28"/>
            </w:rPr>
            <w:fldChar w:fldCharType="end"/>
          </w:r>
        </w:p>
        <w:p>
          <w:pPr>
            <w:pStyle w:val="13"/>
            <w:tabs>
              <w:tab w:val="right" w:leader="dot" w:pos="8844"/>
              <w:tab w:val="clear" w:pos="8834"/>
            </w:tabs>
            <w:rPr>
              <w:rFonts w:ascii="Times New Roman" w:hAnsi="Times New Roman" w:eastAsia="宋体"/>
              <w:sz w:val="28"/>
            </w:rPr>
          </w:pPr>
          <w:r>
            <w:rPr>
              <w:rFonts w:ascii="Times New Roman" w:hAnsi="Times New Roman" w:eastAsia="宋体"/>
              <w:sz w:val="28"/>
            </w:rPr>
            <w:fldChar w:fldCharType="begin"/>
          </w:r>
          <w:r>
            <w:rPr>
              <w:rFonts w:ascii="Times New Roman" w:hAnsi="Times New Roman" w:eastAsia="宋体"/>
              <w:sz w:val="28"/>
            </w:rPr>
            <w:instrText xml:space="preserve"> HYPERLINK \l _Toc638 </w:instrText>
          </w:r>
          <w:r>
            <w:rPr>
              <w:rFonts w:ascii="Times New Roman" w:hAnsi="Times New Roman" w:eastAsia="宋体"/>
              <w:sz w:val="28"/>
            </w:rPr>
            <w:fldChar w:fldCharType="separate"/>
          </w:r>
          <w:r>
            <w:rPr>
              <w:rFonts w:hint="eastAsia" w:ascii="Times New Roman" w:hAnsi="Times New Roman" w:eastAsia="宋体" w:cs="Times New Roman"/>
              <w:snapToGrid w:val="0"/>
              <w:kern w:val="0"/>
              <w:sz w:val="28"/>
              <w:szCs w:val="30"/>
              <w:lang w:val="en-US" w:eastAsia="zh-CN" w:bidi="ar-SA"/>
            </w:rPr>
            <w:t>七、结论</w:t>
          </w:r>
          <w:r>
            <w:rPr>
              <w:rFonts w:ascii="Times New Roman" w:hAnsi="Times New Roman" w:eastAsia="宋体"/>
              <w:sz w:val="28"/>
            </w:rPr>
            <w:tab/>
          </w:r>
          <w:r>
            <w:rPr>
              <w:rFonts w:ascii="Times New Roman" w:hAnsi="Times New Roman" w:eastAsia="宋体"/>
              <w:sz w:val="28"/>
            </w:rPr>
            <w:fldChar w:fldCharType="begin"/>
          </w:r>
          <w:r>
            <w:rPr>
              <w:rFonts w:ascii="Times New Roman" w:hAnsi="Times New Roman" w:eastAsia="宋体"/>
              <w:sz w:val="28"/>
            </w:rPr>
            <w:instrText xml:space="preserve"> PAGEREF _Toc638 \h </w:instrText>
          </w:r>
          <w:r>
            <w:rPr>
              <w:rFonts w:ascii="Times New Roman" w:hAnsi="Times New Roman" w:eastAsia="宋体"/>
              <w:sz w:val="28"/>
            </w:rPr>
            <w:fldChar w:fldCharType="separate"/>
          </w:r>
          <w:r>
            <w:rPr>
              <w:rFonts w:ascii="Times New Roman" w:hAnsi="Times New Roman" w:eastAsia="宋体"/>
              <w:sz w:val="28"/>
            </w:rPr>
            <w:t>139</w:t>
          </w:r>
          <w:r>
            <w:rPr>
              <w:rFonts w:ascii="Times New Roman" w:hAnsi="Times New Roman" w:eastAsia="宋体"/>
              <w:sz w:val="28"/>
            </w:rPr>
            <w:fldChar w:fldCharType="end"/>
          </w:r>
          <w:r>
            <w:rPr>
              <w:rFonts w:ascii="Times New Roman" w:hAnsi="Times New Roman" w:eastAsia="宋体"/>
              <w:sz w:val="28"/>
            </w:rPr>
            <w:fldChar w:fldCharType="end"/>
          </w:r>
        </w:p>
        <w:p>
          <w:pPr>
            <w:pStyle w:val="17"/>
            <w:adjustRightInd w:val="0"/>
            <w:snapToGrid w:val="0"/>
            <w:spacing w:after="0" w:line="360" w:lineRule="auto"/>
            <w:ind w:left="0" w:leftChars="0" w:firstLine="0" w:firstLineChars="0"/>
            <w:rPr>
              <w:rFonts w:ascii="Times New Roman" w:hAnsi="Times New Roman" w:eastAsia="宋体"/>
              <w:sz w:val="28"/>
            </w:rPr>
          </w:pPr>
          <w:r>
            <w:rPr>
              <w:rFonts w:ascii="Times New Roman" w:hAnsi="Times New Roman" w:eastAsia="宋体"/>
              <w:sz w:val="28"/>
            </w:rPr>
            <w:fldChar w:fldCharType="end"/>
          </w:r>
          <w:r>
            <w:rPr>
              <w:rFonts w:hint="eastAsia"/>
              <w:sz w:val="28"/>
              <w:lang w:val="en-US" w:eastAsia="zh-CN"/>
            </w:rPr>
            <w:t xml:space="preserve">电磁环境影响专项评价                           </w:t>
          </w:r>
          <w:bookmarkStart w:id="59" w:name="_GoBack"/>
          <w:bookmarkEnd w:id="59"/>
          <w:r>
            <w:rPr>
              <w:rFonts w:hint="eastAsia"/>
              <w:sz w:val="28"/>
              <w:lang w:val="en-US" w:eastAsia="zh-CN"/>
            </w:rPr>
            <w:t xml:space="preserve">             140</w:t>
          </w:r>
        </w:p>
      </w:sdtContent>
    </w:sdt>
    <w:p>
      <w:r>
        <w:br w:type="page"/>
      </w:r>
    </w:p>
    <w:p>
      <w:pPr>
        <w:pStyle w:val="13"/>
        <w:keepNext w:val="0"/>
        <w:keepLines w:val="0"/>
        <w:pageBreakBefore w:val="0"/>
        <w:widowControl w:val="0"/>
        <w:tabs>
          <w:tab w:val="right" w:leader="dot" w:pos="8844"/>
          <w:tab w:val="clear" w:pos="8834"/>
        </w:tabs>
        <w:kinsoku/>
        <w:wordWrap/>
        <w:overflowPunct/>
        <w:topLinePunct w:val="0"/>
        <w:autoSpaceDE/>
        <w:autoSpaceDN/>
        <w:bidi w:val="0"/>
        <w:spacing w:line="360" w:lineRule="auto"/>
        <w:jc w:val="both"/>
        <w:textAlignment w:val="auto"/>
        <w:outlineLvl w:val="9"/>
        <w:rPr>
          <w:rFonts w:hint="default" w:ascii="Times New Roman" w:hAnsi="Times New Roman" w:eastAsia="宋体" w:cs="Times New Roman"/>
          <w:b/>
          <w:bCs/>
          <w:snapToGrid w:val="0"/>
          <w:sz w:val="24"/>
          <w:lang w:val="en-US" w:eastAsia="zh-CN"/>
        </w:rPr>
      </w:pPr>
      <w:r>
        <w:rPr>
          <w:rFonts w:hint="eastAsia" w:cs="Times New Roman"/>
          <w:b/>
          <w:bCs/>
          <w:snapToGrid w:val="0"/>
          <w:sz w:val="24"/>
          <w:lang w:val="en-US" w:eastAsia="zh-CN"/>
        </w:rPr>
        <w:t>附录：</w:t>
      </w:r>
    </w:p>
    <w:p>
      <w:pPr>
        <w:pStyle w:val="4"/>
        <w:spacing w:line="360" w:lineRule="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附录1</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植物名录</w:t>
      </w:r>
    </w:p>
    <w:p>
      <w:pPr>
        <w:pStyle w:val="4"/>
        <w:spacing w:line="360" w:lineRule="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附录2</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动物名录</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eastAsia="宋体" w:cs="Times New Roman"/>
          <w:snapToGrid w:val="0"/>
          <w:sz w:val="24"/>
          <w:lang w:val="en-US" w:eastAsia="zh-CN"/>
        </w:rPr>
      </w:pPr>
    </w:p>
    <w:p>
      <w:pPr>
        <w:pStyle w:val="13"/>
        <w:keepNext w:val="0"/>
        <w:keepLines w:val="0"/>
        <w:pageBreakBefore w:val="0"/>
        <w:widowControl w:val="0"/>
        <w:tabs>
          <w:tab w:val="right" w:leader="dot" w:pos="8844"/>
          <w:tab w:val="clear" w:pos="8834"/>
        </w:tabs>
        <w:kinsoku/>
        <w:wordWrap/>
        <w:overflowPunct/>
        <w:topLinePunct w:val="0"/>
        <w:autoSpaceDE/>
        <w:autoSpaceDN/>
        <w:bidi w:val="0"/>
        <w:spacing w:line="360" w:lineRule="auto"/>
        <w:jc w:val="both"/>
        <w:textAlignment w:val="auto"/>
        <w:outlineLvl w:val="9"/>
        <w:rPr>
          <w:rFonts w:hint="eastAsia" w:ascii="Times New Roman" w:hAnsi="Times New Roman" w:eastAsia="宋体" w:cs="Times New Roman"/>
          <w:b/>
          <w:bCs/>
          <w:snapToGrid w:val="0"/>
          <w:sz w:val="24"/>
          <w:lang w:val="en-US" w:eastAsia="zh-CN"/>
        </w:rPr>
      </w:pPr>
      <w:r>
        <w:rPr>
          <w:rFonts w:hint="eastAsia" w:ascii="Times New Roman" w:hAnsi="Times New Roman" w:eastAsia="宋体" w:cs="Times New Roman"/>
          <w:b/>
          <w:bCs/>
          <w:snapToGrid w:val="0"/>
          <w:sz w:val="24"/>
          <w:lang w:val="en-US" w:eastAsia="zh-CN"/>
        </w:rPr>
        <w:t>附件</w:t>
      </w:r>
      <w:r>
        <w:rPr>
          <w:rFonts w:hint="eastAsia" w:cs="Times New Roman"/>
          <w:b/>
          <w:bCs/>
          <w:snapToGrid w:val="0"/>
          <w:sz w:val="24"/>
          <w:lang w:val="en-US"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eastAsia="宋体" w:cs="Times New Roman"/>
          <w:snapToGrid w:val="0"/>
          <w:sz w:val="24"/>
          <w:lang w:val="en-US" w:eastAsia="zh-CN"/>
        </w:rPr>
      </w:pPr>
      <w:r>
        <w:rPr>
          <w:rFonts w:hint="eastAsia" w:ascii="Times New Roman" w:hAnsi="Times New Roman" w:eastAsia="宋体" w:cs="Times New Roman"/>
          <w:snapToGrid w:val="0"/>
          <w:sz w:val="24"/>
          <w:lang w:val="en-US" w:eastAsia="zh-CN"/>
        </w:rPr>
        <w:t>附件1 委托书；</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eastAsia="宋体" w:cs="Times New Roman"/>
          <w:snapToGrid w:val="0"/>
          <w:sz w:val="24"/>
          <w:lang w:val="en-US" w:eastAsia="zh-CN"/>
        </w:rPr>
      </w:pPr>
      <w:r>
        <w:rPr>
          <w:rFonts w:hint="eastAsia" w:ascii="Times New Roman" w:hAnsi="Times New Roman" w:eastAsia="宋体" w:cs="Times New Roman"/>
          <w:snapToGrid w:val="0"/>
          <w:sz w:val="24"/>
          <w:lang w:val="en-US" w:eastAsia="zh-CN"/>
        </w:rPr>
        <w:t>附件2 项目投资备案证；</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eastAsia="宋体" w:cs="Times New Roman"/>
          <w:snapToGrid w:val="0"/>
          <w:sz w:val="24"/>
          <w:lang w:val="en-US" w:eastAsia="zh-CN"/>
        </w:rPr>
      </w:pPr>
      <w:r>
        <w:rPr>
          <w:rFonts w:hint="eastAsia" w:ascii="Times New Roman" w:hAnsi="Times New Roman" w:eastAsia="宋体" w:cs="Times New Roman"/>
          <w:snapToGrid w:val="0"/>
          <w:sz w:val="24"/>
          <w:lang w:val="en-US" w:eastAsia="zh-CN"/>
        </w:rPr>
        <w:t>附件3 《云南省能源局关于加快推进“十四五”规划新能源项目配套接网工程有关工作的通知》（云能源办水电[2022]70号）；</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eastAsia="宋体" w:cs="Times New Roman"/>
          <w:snapToGrid w:val="0"/>
          <w:sz w:val="24"/>
          <w:lang w:val="en-US" w:eastAsia="zh-CN"/>
        </w:rPr>
      </w:pPr>
      <w:r>
        <w:rPr>
          <w:rFonts w:hint="eastAsia" w:ascii="Times New Roman" w:hAnsi="Times New Roman" w:eastAsia="宋体" w:cs="Times New Roman"/>
          <w:snapToGrid w:val="0"/>
          <w:sz w:val="24"/>
          <w:lang w:val="en-US" w:eastAsia="zh-CN"/>
        </w:rPr>
        <w:t>附件4 马头地选址意见自然资源局复函；</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snapToGrid w:val="0"/>
          <w:sz w:val="24"/>
          <w:lang w:val="en-US" w:eastAsia="zh-CN"/>
        </w:rPr>
      </w:pPr>
      <w:r>
        <w:rPr>
          <w:rFonts w:hint="eastAsia" w:ascii="Times New Roman" w:hAnsi="Times New Roman" w:eastAsia="宋体" w:cs="Times New Roman"/>
          <w:snapToGrid w:val="0"/>
          <w:sz w:val="24"/>
          <w:lang w:val="en-US" w:eastAsia="zh-CN"/>
        </w:rPr>
        <w:t>附件5 元谋县自然资源局“三区三线”查询情况复函</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eastAsia="宋体" w:cs="Times New Roman"/>
          <w:snapToGrid w:val="0"/>
          <w:sz w:val="24"/>
          <w:lang w:val="en-US" w:eastAsia="zh-CN"/>
        </w:rPr>
      </w:pPr>
      <w:r>
        <w:rPr>
          <w:rFonts w:hint="eastAsia" w:ascii="Times New Roman" w:hAnsi="Times New Roman" w:eastAsia="宋体" w:cs="Times New Roman"/>
          <w:snapToGrid w:val="0"/>
          <w:sz w:val="24"/>
          <w:lang w:val="en-US" w:eastAsia="zh-CN"/>
        </w:rPr>
        <w:t>附件6 马头地选址意见林业局复函；</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eastAsia="宋体" w:cs="Times New Roman"/>
          <w:snapToGrid w:val="0"/>
          <w:sz w:val="24"/>
          <w:lang w:val="en-US" w:eastAsia="zh-CN"/>
        </w:rPr>
      </w:pPr>
      <w:r>
        <w:rPr>
          <w:rFonts w:hint="eastAsia" w:ascii="Times New Roman" w:hAnsi="Times New Roman" w:eastAsia="宋体" w:cs="Times New Roman"/>
          <w:snapToGrid w:val="0"/>
          <w:sz w:val="24"/>
          <w:lang w:val="en-US" w:eastAsia="zh-CN"/>
        </w:rPr>
        <w:t>附件7 马头地选址意见水务局复函；</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snapToGrid w:val="0"/>
          <w:sz w:val="24"/>
          <w:lang w:val="en-US" w:eastAsia="zh-CN"/>
        </w:rPr>
      </w:pPr>
      <w:r>
        <w:rPr>
          <w:rFonts w:hint="eastAsia" w:ascii="Times New Roman" w:hAnsi="Times New Roman" w:eastAsia="宋体" w:cs="Times New Roman"/>
          <w:snapToGrid w:val="0"/>
          <w:sz w:val="24"/>
          <w:lang w:val="en-US" w:eastAsia="zh-CN"/>
        </w:rPr>
        <w:t>附件8 项目原环评批复</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eastAsia="宋体" w:cs="Times New Roman"/>
          <w:snapToGrid w:val="0"/>
          <w:sz w:val="24"/>
          <w:lang w:val="en-US" w:eastAsia="zh-CN"/>
        </w:rPr>
      </w:pPr>
      <w:r>
        <w:rPr>
          <w:rFonts w:hint="eastAsia" w:ascii="Times New Roman" w:hAnsi="Times New Roman" w:eastAsia="宋体" w:cs="Times New Roman"/>
          <w:snapToGrid w:val="0"/>
          <w:sz w:val="24"/>
          <w:lang w:val="en-US" w:eastAsia="zh-CN"/>
        </w:rPr>
        <w:t>附件9 马头地电磁辐射、噪声监测报告；</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eastAsia="宋体" w:cs="Times New Roman"/>
          <w:snapToGrid w:val="0"/>
          <w:sz w:val="24"/>
          <w:lang w:val="en-US" w:eastAsia="zh-CN"/>
        </w:rPr>
      </w:pPr>
    </w:p>
    <w:p>
      <w:pPr>
        <w:pStyle w:val="13"/>
        <w:keepNext w:val="0"/>
        <w:keepLines w:val="0"/>
        <w:pageBreakBefore w:val="0"/>
        <w:widowControl w:val="0"/>
        <w:tabs>
          <w:tab w:val="right" w:leader="dot" w:pos="8844"/>
          <w:tab w:val="clear" w:pos="8834"/>
        </w:tabs>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b/>
          <w:bCs/>
          <w:snapToGrid w:val="0"/>
          <w:sz w:val="24"/>
          <w:lang w:val="en-US" w:eastAsia="zh-CN"/>
        </w:rPr>
      </w:pPr>
      <w:r>
        <w:rPr>
          <w:rFonts w:hint="eastAsia" w:ascii="Times New Roman" w:hAnsi="Times New Roman" w:eastAsia="宋体" w:cs="Times New Roman"/>
          <w:b/>
          <w:bCs/>
          <w:snapToGrid w:val="0"/>
          <w:sz w:val="24"/>
          <w:lang w:val="en-US" w:eastAsia="zh-CN"/>
        </w:rPr>
        <w:t>附图</w:t>
      </w:r>
      <w:r>
        <w:rPr>
          <w:rFonts w:hint="eastAsia" w:cs="Times New Roman"/>
          <w:b/>
          <w:bCs/>
          <w:snapToGrid w:val="0"/>
          <w:sz w:val="24"/>
          <w:lang w:val="en-US"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eastAsia="宋体" w:cs="Times New Roman"/>
          <w:snapToGrid w:val="0"/>
          <w:sz w:val="24"/>
          <w:lang w:val="en-US" w:eastAsia="zh-CN"/>
        </w:rPr>
      </w:pPr>
      <w:r>
        <w:rPr>
          <w:rFonts w:hint="eastAsia" w:ascii="Times New Roman" w:hAnsi="Times New Roman" w:eastAsia="宋体" w:cs="Times New Roman"/>
          <w:snapToGrid w:val="0"/>
          <w:sz w:val="24"/>
          <w:lang w:val="en-US" w:eastAsia="zh-CN"/>
        </w:rPr>
        <w:t>附图1 地理位置图</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eastAsia="宋体" w:cs="Times New Roman"/>
          <w:snapToGrid w:val="0"/>
          <w:sz w:val="24"/>
          <w:lang w:val="en-US" w:eastAsia="zh-CN"/>
        </w:rPr>
      </w:pPr>
      <w:r>
        <w:rPr>
          <w:rFonts w:hint="eastAsia" w:ascii="Times New Roman" w:hAnsi="Times New Roman" w:eastAsia="宋体" w:cs="Times New Roman"/>
          <w:snapToGrid w:val="0"/>
          <w:sz w:val="24"/>
          <w:lang w:val="en-US" w:eastAsia="zh-CN"/>
        </w:rPr>
        <w:t>附图2 项目区水系图</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eastAsia="宋体" w:cs="Times New Roman"/>
          <w:snapToGrid w:val="0"/>
          <w:sz w:val="24"/>
          <w:lang w:val="en-US" w:eastAsia="zh-CN"/>
        </w:rPr>
      </w:pPr>
      <w:r>
        <w:rPr>
          <w:rFonts w:hint="eastAsia" w:ascii="Times New Roman" w:hAnsi="Times New Roman" w:eastAsia="宋体" w:cs="Times New Roman"/>
          <w:snapToGrid w:val="0"/>
          <w:sz w:val="24"/>
          <w:lang w:val="en-US" w:eastAsia="zh-CN"/>
        </w:rPr>
        <w:t>附图3-1 原环评项目总平面布置图</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eastAsia="宋体" w:cs="Times New Roman"/>
          <w:snapToGrid w:val="0"/>
          <w:sz w:val="24"/>
          <w:lang w:val="en-US" w:eastAsia="zh-CN"/>
        </w:rPr>
      </w:pPr>
      <w:r>
        <w:rPr>
          <w:rFonts w:hint="eastAsia" w:ascii="Times New Roman" w:hAnsi="Times New Roman" w:eastAsia="宋体" w:cs="Times New Roman"/>
          <w:snapToGrid w:val="0"/>
          <w:sz w:val="24"/>
          <w:lang w:val="en-US" w:eastAsia="zh-CN"/>
        </w:rPr>
        <w:t>附图3-2 变更后项目总平面布置图</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eastAsia="宋体" w:cs="Times New Roman"/>
          <w:snapToGrid w:val="0"/>
          <w:sz w:val="24"/>
          <w:lang w:val="en-US" w:eastAsia="zh-CN"/>
        </w:rPr>
      </w:pPr>
      <w:r>
        <w:rPr>
          <w:rFonts w:hint="eastAsia" w:ascii="Times New Roman" w:hAnsi="Times New Roman" w:eastAsia="宋体" w:cs="Times New Roman"/>
          <w:snapToGrid w:val="0"/>
          <w:sz w:val="24"/>
          <w:lang w:val="en-US" w:eastAsia="zh-CN"/>
        </w:rPr>
        <w:t>附图4-1 原环评升压站总平图</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eastAsia="宋体" w:cs="Times New Roman"/>
          <w:snapToGrid w:val="0"/>
          <w:sz w:val="24"/>
          <w:lang w:val="en-US" w:eastAsia="zh-CN"/>
        </w:rPr>
      </w:pPr>
      <w:r>
        <w:rPr>
          <w:rFonts w:hint="eastAsia" w:ascii="Times New Roman" w:hAnsi="Times New Roman" w:eastAsia="宋体" w:cs="Times New Roman"/>
          <w:snapToGrid w:val="0"/>
          <w:sz w:val="24"/>
          <w:lang w:val="en-US" w:eastAsia="zh-CN"/>
        </w:rPr>
        <w:t>附图4-2 变更后升压站总平图</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eastAsia="宋体" w:cs="Times New Roman"/>
          <w:snapToGrid w:val="0"/>
          <w:sz w:val="24"/>
          <w:lang w:val="en-US" w:eastAsia="zh-CN"/>
        </w:rPr>
      </w:pPr>
      <w:r>
        <w:rPr>
          <w:rFonts w:hint="eastAsia" w:ascii="Times New Roman" w:hAnsi="Times New Roman" w:eastAsia="宋体" w:cs="Times New Roman"/>
          <w:snapToGrid w:val="0"/>
          <w:sz w:val="24"/>
          <w:lang w:val="en-US" w:eastAsia="zh-CN"/>
        </w:rPr>
        <w:t>附图5 项目变更前后升压站位置对比图</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eastAsia="宋体" w:cs="Times New Roman"/>
          <w:snapToGrid w:val="0"/>
          <w:sz w:val="24"/>
          <w:lang w:val="en-US" w:eastAsia="zh-CN"/>
        </w:rPr>
      </w:pPr>
      <w:r>
        <w:rPr>
          <w:rFonts w:hint="eastAsia" w:ascii="Times New Roman" w:hAnsi="Times New Roman" w:eastAsia="宋体" w:cs="Times New Roman"/>
          <w:snapToGrid w:val="0"/>
          <w:sz w:val="24"/>
          <w:lang w:val="en-US" w:eastAsia="zh-CN"/>
        </w:rPr>
        <w:t>附图6 项目与自然保护区、风景名胜区位置关系图</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eastAsia="宋体" w:cs="Times New Roman"/>
          <w:snapToGrid w:val="0"/>
          <w:sz w:val="24"/>
          <w:lang w:val="en-US" w:eastAsia="zh-CN"/>
        </w:rPr>
      </w:pPr>
      <w:r>
        <w:rPr>
          <w:rFonts w:hint="eastAsia" w:ascii="Times New Roman" w:hAnsi="Times New Roman" w:eastAsia="宋体" w:cs="Times New Roman"/>
          <w:snapToGrid w:val="0"/>
          <w:sz w:val="24"/>
          <w:lang w:val="en-US" w:eastAsia="zh-CN"/>
        </w:rPr>
        <w:t>附图7 项目周边关系图</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snapToGrid w:val="0"/>
          <w:color w:val="auto"/>
          <w:sz w:val="24"/>
          <w:lang w:val="en-US" w:eastAsia="zh-CN"/>
        </w:rPr>
      </w:pPr>
      <w:r>
        <w:rPr>
          <w:rFonts w:hint="eastAsia" w:ascii="Times New Roman" w:hAnsi="Times New Roman" w:eastAsia="宋体" w:cs="Times New Roman"/>
          <w:snapToGrid w:val="0"/>
          <w:color w:val="auto"/>
          <w:sz w:val="24"/>
          <w:lang w:val="en-US" w:eastAsia="zh-CN"/>
        </w:rPr>
        <w:t>附图8 项目区植被类型图</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snapToGrid w:val="0"/>
          <w:color w:val="auto"/>
          <w:sz w:val="24"/>
          <w:lang w:val="en-US" w:eastAsia="zh-CN"/>
        </w:rPr>
      </w:pPr>
      <w:r>
        <w:rPr>
          <w:rFonts w:hint="eastAsia" w:ascii="Times New Roman" w:hAnsi="Times New Roman" w:eastAsia="宋体" w:cs="Times New Roman"/>
          <w:snapToGrid w:val="0"/>
          <w:color w:val="auto"/>
          <w:sz w:val="24"/>
          <w:lang w:val="en-US" w:eastAsia="zh-CN"/>
        </w:rPr>
        <w:t>附图9 项目区土地利用类型图</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eastAsia="宋体" w:cs="Times New Roman"/>
          <w:snapToGrid w:val="0"/>
          <w:sz w:val="24"/>
          <w:lang w:val="en-US" w:eastAsia="zh-CN"/>
        </w:rPr>
      </w:pPr>
      <w:r>
        <w:rPr>
          <w:rFonts w:hint="eastAsia" w:ascii="Times New Roman" w:hAnsi="Times New Roman" w:eastAsia="宋体" w:cs="Times New Roman"/>
          <w:snapToGrid w:val="0"/>
          <w:sz w:val="24"/>
          <w:lang w:val="en-US" w:eastAsia="zh-CN"/>
        </w:rPr>
        <w:t>附图10 华能元谋马光地光伏电站项目现状监测布点图</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eastAsia="宋体" w:cs="Times New Roman"/>
          <w:snapToGrid w:val="0"/>
          <w:sz w:val="24"/>
          <w:lang w:val="en-US" w:eastAsia="zh-CN"/>
        </w:rPr>
      </w:pPr>
      <w:r>
        <w:rPr>
          <w:rFonts w:hint="eastAsia" w:ascii="Times New Roman" w:hAnsi="Times New Roman" w:eastAsia="宋体" w:cs="Times New Roman"/>
          <w:snapToGrid w:val="0"/>
          <w:sz w:val="24"/>
          <w:lang w:val="en-US" w:eastAsia="zh-CN"/>
        </w:rPr>
        <w:t>附图11 项目与主体功能、生态功能区划位置关系图</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eastAsia="宋体" w:cs="Times New Roman"/>
          <w:snapToGrid w:val="0"/>
          <w:sz w:val="24"/>
          <w:lang w:val="en-US" w:eastAsia="zh-CN"/>
        </w:rPr>
      </w:pPr>
      <w:r>
        <w:rPr>
          <w:rFonts w:hint="eastAsia" w:ascii="Times New Roman" w:hAnsi="Times New Roman" w:eastAsia="宋体" w:cs="Times New Roman"/>
          <w:snapToGrid w:val="0"/>
          <w:sz w:val="24"/>
          <w:lang w:val="en-US" w:eastAsia="zh-CN"/>
        </w:rPr>
        <w:t>附图12 项目与生物多样性优先保护区位置关系</w:t>
      </w:r>
    </w:p>
    <w:p>
      <w:pPr>
        <w:rPr>
          <w:rFonts w:hint="eastAsia"/>
          <w:lang w:val="en-US" w:eastAsia="zh-CN"/>
        </w:rPr>
      </w:pPr>
    </w:p>
    <w:p>
      <w:pPr>
        <w:ind w:left="0" w:leftChars="0" w:right="0" w:rightChars="0" w:firstLine="0" w:firstLineChars="0"/>
        <w:jc w:val="center"/>
        <w:outlineLvl w:val="0"/>
        <w:rPr>
          <w:rFonts w:hint="eastAsia"/>
          <w:b/>
          <w:bCs/>
          <w:sz w:val="28"/>
          <w:szCs w:val="36"/>
          <w:lang w:val="en-US" w:eastAsia="zh-CN"/>
        </w:rPr>
        <w:sectPr>
          <w:pgSz w:w="11906" w:h="16838"/>
          <w:pgMar w:top="1701" w:right="1531" w:bottom="1701" w:left="1531" w:header="851" w:footer="992" w:gutter="0"/>
          <w:pgBorders>
            <w:top w:val="none" w:sz="0" w:space="0"/>
            <w:left w:val="none" w:sz="0" w:space="0"/>
            <w:bottom w:val="none" w:sz="0" w:space="0"/>
            <w:right w:val="none" w:sz="0" w:space="0"/>
          </w:pgBorders>
          <w:cols w:space="425" w:num="1"/>
          <w:docGrid w:type="lines" w:linePitch="312" w:charSpace="0"/>
        </w:sectPr>
      </w:pPr>
      <w:bookmarkStart w:id="3" w:name="_Toc31865"/>
    </w:p>
    <w:p>
      <w:pPr>
        <w:ind w:left="0" w:leftChars="0" w:right="0" w:rightChars="0" w:firstLine="0" w:firstLineChars="0"/>
        <w:jc w:val="center"/>
        <w:outlineLvl w:val="0"/>
        <w:rPr>
          <w:rFonts w:hint="eastAsia"/>
          <w:b/>
          <w:bCs/>
          <w:sz w:val="28"/>
          <w:szCs w:val="36"/>
          <w:lang w:val="en-US" w:eastAsia="zh-CN"/>
        </w:rPr>
      </w:pPr>
      <w:r>
        <w:rPr>
          <w:rFonts w:hint="eastAsia"/>
          <w:b/>
          <w:bCs/>
          <w:sz w:val="28"/>
          <w:szCs w:val="36"/>
          <w:lang w:val="en-US" w:eastAsia="zh-CN"/>
        </w:rPr>
        <w:t>前言</w:t>
      </w:r>
      <w:bookmarkEnd w:id="3"/>
    </w:p>
    <w:p>
      <w:pPr>
        <w:widowControl w:val="0"/>
        <w:adjustRightInd w:val="0"/>
        <w:snapToGrid w:val="0"/>
        <w:spacing w:after="0" w:line="360" w:lineRule="auto"/>
        <w:ind w:left="0" w:leftChars="0" w:firstLine="480" w:firstLineChars="200"/>
        <w:jc w:val="both"/>
        <w:rPr>
          <w:rFonts w:hint="default" w:ascii="Times New Roman" w:hAnsi="Times New Roman" w:eastAsia="宋体" w:cs="Times New Roman"/>
          <w:color w:val="000000"/>
          <w:kern w:val="2"/>
          <w:sz w:val="24"/>
          <w:szCs w:val="24"/>
          <w:shd w:val="clear" w:color="auto" w:fill="FFFFFF"/>
          <w:lang w:val="en-US" w:eastAsia="zh-CN" w:bidi="ar-SA"/>
        </w:rPr>
      </w:pPr>
      <w:bookmarkStart w:id="4" w:name="_Hlk90917533"/>
      <w:r>
        <w:rPr>
          <w:rFonts w:hint="default" w:ascii="Times New Roman" w:hAnsi="Times New Roman" w:eastAsia="宋体" w:cs="Times New Roman"/>
          <w:color w:val="000000"/>
          <w:kern w:val="2"/>
          <w:sz w:val="24"/>
          <w:szCs w:val="24"/>
          <w:shd w:val="clear" w:color="auto" w:fill="FFFFFF"/>
          <w:lang w:val="en-US" w:eastAsia="zh-CN" w:bidi="ar-SA"/>
        </w:rPr>
        <w:t>能源是社会经济发展的重要物质基础。随着我国社会经济的不断发展，能源需求持续增长，增加能源供应、保障能源安全、保护生态环境、促进社会经济可持续发展是我国的一项重大战略任务。太阳能是清洁的可再生能源，太阳能发电是新能源中技术成熟、具备规模开发条件和商业化发展前景的发电方式之一。开发利用太阳能资源对调整能源结构、缓解环境污染等方面有着重要的意义。</w:t>
      </w:r>
    </w:p>
    <w:p>
      <w:pPr>
        <w:widowControl w:val="0"/>
        <w:adjustRightInd w:val="0"/>
        <w:snapToGrid w:val="0"/>
        <w:spacing w:after="0" w:line="360" w:lineRule="auto"/>
        <w:ind w:left="0" w:leftChars="0" w:firstLine="480" w:firstLineChars="200"/>
        <w:jc w:val="both"/>
        <w:rPr>
          <w:rFonts w:hint="eastAsia" w:ascii="Times New Roman" w:hAnsi="Times New Roman" w:eastAsia="宋体" w:cs="Times New Roman"/>
          <w:color w:val="000000"/>
          <w:kern w:val="2"/>
          <w:sz w:val="24"/>
          <w:szCs w:val="24"/>
          <w:shd w:val="clear" w:color="auto" w:fill="FFFFFF"/>
          <w:lang w:val="zh-CN" w:eastAsia="zh-CN" w:bidi="ar-SA"/>
        </w:rPr>
      </w:pPr>
      <w:r>
        <w:rPr>
          <w:rFonts w:hint="eastAsia" w:ascii="Times New Roman" w:hAnsi="Times New Roman" w:eastAsia="宋体" w:cs="Times New Roman"/>
          <w:color w:val="000000"/>
          <w:kern w:val="2"/>
          <w:sz w:val="24"/>
          <w:szCs w:val="24"/>
          <w:shd w:val="clear" w:color="auto" w:fill="FFFFFF"/>
          <w:lang w:val="zh-CN" w:eastAsia="zh-CN" w:bidi="ar-SA"/>
        </w:rPr>
        <w:t>华能元谋马头地光伏电站</w:t>
      </w:r>
      <w:bookmarkEnd w:id="4"/>
      <w:r>
        <w:rPr>
          <w:rFonts w:hint="eastAsia" w:ascii="Times New Roman" w:hAnsi="Times New Roman" w:eastAsia="宋体" w:cs="Times New Roman"/>
          <w:color w:val="000000"/>
          <w:kern w:val="2"/>
          <w:sz w:val="24"/>
          <w:szCs w:val="24"/>
          <w:shd w:val="clear" w:color="auto" w:fill="FFFFFF"/>
          <w:lang w:val="en-US" w:eastAsia="zh-CN" w:bidi="ar-SA"/>
        </w:rPr>
        <w:t>（变更）项目</w:t>
      </w:r>
      <w:r>
        <w:rPr>
          <w:rFonts w:hint="eastAsia" w:ascii="Times New Roman" w:hAnsi="Times New Roman" w:eastAsia="宋体" w:cs="Times New Roman"/>
          <w:color w:val="000000"/>
          <w:kern w:val="2"/>
          <w:sz w:val="24"/>
          <w:szCs w:val="24"/>
          <w:shd w:val="clear" w:color="auto" w:fill="FFFFFF"/>
          <w:lang w:val="zh-CN" w:eastAsia="zh-CN" w:bidi="ar-SA"/>
        </w:rPr>
        <w:t>（以下简称“马头地光伏电站”）</w:t>
      </w:r>
      <w:r>
        <w:rPr>
          <w:rFonts w:hint="eastAsia" w:ascii="Times New Roman" w:hAnsi="Times New Roman" w:eastAsia="宋体" w:cs="Times New Roman"/>
          <w:color w:val="000000"/>
          <w:kern w:val="2"/>
          <w:sz w:val="24"/>
          <w:szCs w:val="24"/>
          <w:shd w:val="clear" w:color="auto" w:fill="FFFFFF"/>
          <w:lang w:val="en-US" w:eastAsia="zh-CN" w:bidi="ar-SA"/>
        </w:rPr>
        <w:t>是云南省发展和改革委员会、云南省能源局《云南省能源局关于加快推进“十四五”规划新能源项目配套接网工程有关工作的通知》（云能源办水电[2022]70号）中的规划光伏发电项目之一。</w:t>
      </w:r>
      <w:r>
        <w:rPr>
          <w:rFonts w:hint="eastAsia" w:ascii="Times New Roman" w:hAnsi="Times New Roman" w:eastAsia="宋体" w:cs="Times New Roman"/>
          <w:color w:val="000000"/>
          <w:kern w:val="2"/>
          <w:sz w:val="24"/>
          <w:szCs w:val="24"/>
          <w:shd w:val="clear" w:color="auto" w:fill="FFFFFF"/>
          <w:lang w:val="zh-CN" w:eastAsia="zh-CN" w:bidi="ar-SA"/>
        </w:rPr>
        <w:t>华能元谋马头地光伏电站</w:t>
      </w:r>
      <w:r>
        <w:rPr>
          <w:rFonts w:hint="eastAsia" w:ascii="Times New Roman" w:hAnsi="Times New Roman" w:eastAsia="宋体" w:cs="Times New Roman"/>
          <w:color w:val="000000"/>
          <w:kern w:val="2"/>
          <w:sz w:val="24"/>
          <w:szCs w:val="24"/>
          <w:shd w:val="clear" w:color="auto" w:fill="FFFFFF"/>
          <w:lang w:val="en-US" w:eastAsia="zh-CN" w:bidi="ar-SA"/>
        </w:rPr>
        <w:t>（变更）</w:t>
      </w:r>
      <w:r>
        <w:rPr>
          <w:rFonts w:hint="eastAsia" w:ascii="Times New Roman" w:hAnsi="Times New Roman" w:eastAsia="宋体" w:cs="Times New Roman"/>
          <w:color w:val="000000"/>
          <w:sz w:val="24"/>
          <w:shd w:val="clear" w:color="auto" w:fill="FFFFFF"/>
          <w:lang w:val="en-US" w:eastAsia="zh-CN"/>
        </w:rPr>
        <w:t>项目</w:t>
      </w:r>
      <w:r>
        <w:rPr>
          <w:rFonts w:hint="eastAsia" w:ascii="Times New Roman" w:hAnsi="Times New Roman" w:eastAsia="宋体" w:cs="Times New Roman"/>
          <w:color w:val="000000"/>
          <w:kern w:val="2"/>
          <w:sz w:val="24"/>
          <w:szCs w:val="24"/>
          <w:shd w:val="clear" w:color="auto" w:fill="FFFFFF"/>
          <w:lang w:val="zh-CN" w:eastAsia="zh-CN" w:bidi="ar-SA"/>
        </w:rPr>
        <w:t>（以下简称“马头地光伏电站”）位于云南省楚雄州元谋县老城乡、元马镇，项目利用国家允许光伏使用林地建设光伏发电项目，规划容量170MW。项目场址范围位于东经101</w:t>
      </w:r>
      <w:r>
        <w:rPr>
          <w:rFonts w:hint="eastAsia" w:ascii="Times New Roman" w:hAnsi="Times New Roman" w:eastAsia="宋体" w:cs="Times New Roman"/>
          <w:color w:val="000000"/>
          <w:kern w:val="2"/>
          <w:sz w:val="24"/>
          <w:szCs w:val="24"/>
          <w:shd w:val="clear" w:color="auto" w:fill="FFFFFF"/>
          <w:lang w:val="en-US" w:eastAsia="zh-CN" w:bidi="ar-SA"/>
        </w:rPr>
        <w:t>.78</w:t>
      </w:r>
      <w:r>
        <w:rPr>
          <w:rFonts w:hint="eastAsia" w:ascii="Times New Roman" w:hAnsi="Times New Roman" w:eastAsia="宋体" w:cs="Times New Roman"/>
          <w:color w:val="000000"/>
          <w:kern w:val="2"/>
          <w:sz w:val="24"/>
          <w:szCs w:val="24"/>
          <w:shd w:val="clear" w:color="auto" w:fill="FFFFFF"/>
          <w:lang w:val="zh-CN" w:eastAsia="zh-CN" w:bidi="ar-SA"/>
        </w:rPr>
        <w:t>°～101</w:t>
      </w:r>
      <w:r>
        <w:rPr>
          <w:rFonts w:hint="eastAsia" w:ascii="Times New Roman" w:hAnsi="Times New Roman" w:eastAsia="宋体" w:cs="Times New Roman"/>
          <w:color w:val="000000"/>
          <w:kern w:val="2"/>
          <w:sz w:val="24"/>
          <w:szCs w:val="24"/>
          <w:shd w:val="clear" w:color="auto" w:fill="FFFFFF"/>
          <w:lang w:val="en-US" w:eastAsia="zh-CN" w:bidi="ar-SA"/>
        </w:rPr>
        <w:t>.85</w:t>
      </w:r>
      <w:r>
        <w:rPr>
          <w:rFonts w:hint="eastAsia" w:ascii="Times New Roman" w:hAnsi="Times New Roman" w:eastAsia="宋体" w:cs="Times New Roman"/>
          <w:color w:val="000000"/>
          <w:kern w:val="2"/>
          <w:sz w:val="24"/>
          <w:szCs w:val="24"/>
          <w:shd w:val="clear" w:color="auto" w:fill="FFFFFF"/>
          <w:lang w:val="zh-CN" w:eastAsia="zh-CN" w:bidi="ar-SA"/>
        </w:rPr>
        <w:t>°，北纬25</w:t>
      </w:r>
      <w:r>
        <w:rPr>
          <w:rFonts w:hint="eastAsia" w:ascii="Times New Roman" w:hAnsi="Times New Roman" w:eastAsia="宋体" w:cs="Times New Roman"/>
          <w:color w:val="000000"/>
          <w:kern w:val="2"/>
          <w:sz w:val="24"/>
          <w:szCs w:val="24"/>
          <w:shd w:val="clear" w:color="auto" w:fill="FFFFFF"/>
          <w:lang w:val="en-US" w:eastAsia="zh-CN" w:bidi="ar-SA"/>
        </w:rPr>
        <w:t>.64</w:t>
      </w:r>
      <w:r>
        <w:rPr>
          <w:rFonts w:hint="eastAsia" w:ascii="Times New Roman" w:hAnsi="Times New Roman" w:eastAsia="宋体" w:cs="Times New Roman"/>
          <w:color w:val="000000"/>
          <w:kern w:val="2"/>
          <w:sz w:val="24"/>
          <w:szCs w:val="24"/>
          <w:shd w:val="clear" w:color="auto" w:fill="FFFFFF"/>
          <w:lang w:val="zh-CN" w:eastAsia="zh-CN" w:bidi="ar-SA"/>
        </w:rPr>
        <w:t>°～25</w:t>
      </w:r>
      <w:r>
        <w:rPr>
          <w:rFonts w:hint="eastAsia" w:ascii="Times New Roman" w:hAnsi="Times New Roman" w:eastAsia="宋体" w:cs="Times New Roman"/>
          <w:color w:val="000000"/>
          <w:kern w:val="2"/>
          <w:sz w:val="24"/>
          <w:szCs w:val="24"/>
          <w:shd w:val="clear" w:color="auto" w:fill="FFFFFF"/>
          <w:lang w:val="en-US" w:eastAsia="zh-CN" w:bidi="ar-SA"/>
        </w:rPr>
        <w:t>.60</w:t>
      </w:r>
      <w:r>
        <w:rPr>
          <w:rFonts w:hint="eastAsia" w:ascii="Times New Roman" w:hAnsi="Times New Roman" w:eastAsia="宋体" w:cs="Times New Roman"/>
          <w:color w:val="000000"/>
          <w:kern w:val="2"/>
          <w:sz w:val="24"/>
          <w:szCs w:val="24"/>
          <w:shd w:val="clear" w:color="auto" w:fill="FFFFFF"/>
          <w:lang w:val="zh-CN" w:eastAsia="zh-CN" w:bidi="ar-SA"/>
        </w:rPr>
        <w:t>°之间，高程在1200m～1800m之间。</w:t>
      </w:r>
    </w:p>
    <w:p>
      <w:pPr>
        <w:widowControl w:val="0"/>
        <w:adjustRightInd w:val="0"/>
        <w:snapToGrid w:val="0"/>
        <w:spacing w:after="0" w:line="360" w:lineRule="auto"/>
        <w:ind w:left="0" w:leftChars="0" w:firstLine="480" w:firstLineChars="200"/>
        <w:jc w:val="both"/>
        <w:rPr>
          <w:rFonts w:hint="eastAsia" w:ascii="Times New Roman" w:hAnsi="Times New Roman" w:eastAsia="宋体" w:cs="Times New Roman"/>
          <w:color w:val="000000"/>
          <w:kern w:val="2"/>
          <w:sz w:val="24"/>
          <w:szCs w:val="24"/>
          <w:shd w:val="clear" w:color="auto" w:fill="FFFFFF"/>
          <w:lang w:val="en-US" w:eastAsia="zh-CN" w:bidi="ar-SA"/>
        </w:rPr>
      </w:pPr>
      <w:r>
        <w:rPr>
          <w:rFonts w:hint="eastAsia" w:ascii="Times New Roman" w:hAnsi="Times New Roman" w:eastAsia="宋体" w:cs="Times New Roman"/>
          <w:color w:val="000000"/>
          <w:kern w:val="2"/>
          <w:sz w:val="24"/>
          <w:szCs w:val="24"/>
          <w:shd w:val="clear" w:color="auto" w:fill="FFFFFF"/>
          <w:lang w:val="zh-CN" w:eastAsia="zh-CN" w:bidi="ar-SA"/>
        </w:rPr>
        <w:t>华能元谋马头地光伏电站项目于2022年</w:t>
      </w:r>
      <w:r>
        <w:rPr>
          <w:rFonts w:hint="eastAsia" w:ascii="Times New Roman" w:hAnsi="Times New Roman" w:eastAsia="宋体" w:cs="Times New Roman"/>
          <w:color w:val="000000"/>
          <w:kern w:val="2"/>
          <w:sz w:val="24"/>
          <w:szCs w:val="24"/>
          <w:shd w:val="clear" w:color="auto" w:fill="FFFFFF"/>
          <w:lang w:val="en-US" w:eastAsia="zh-CN" w:bidi="ar-SA"/>
        </w:rPr>
        <w:t>4</w:t>
      </w:r>
      <w:r>
        <w:rPr>
          <w:rFonts w:hint="eastAsia" w:ascii="Times New Roman" w:hAnsi="Times New Roman" w:eastAsia="宋体" w:cs="Times New Roman"/>
          <w:color w:val="000000"/>
          <w:kern w:val="2"/>
          <w:sz w:val="24"/>
          <w:szCs w:val="24"/>
          <w:shd w:val="clear" w:color="auto" w:fill="FFFFFF"/>
          <w:lang w:val="zh-CN" w:eastAsia="zh-CN" w:bidi="ar-SA"/>
        </w:rPr>
        <w:t>月委托云南湖柏环保科技有限公司编制完成了该项目的环境影响评价工作，云南湖柏环保科技有限公司根据</w:t>
      </w:r>
      <w:r>
        <w:rPr>
          <w:rFonts w:hint="eastAsia" w:ascii="Times New Roman" w:hAnsi="Times New Roman" w:eastAsia="宋体" w:cs="Times New Roman"/>
          <w:color w:val="000000"/>
          <w:kern w:val="2"/>
          <w:sz w:val="24"/>
          <w:szCs w:val="24"/>
          <w:shd w:val="clear" w:color="auto" w:fill="FFFFFF"/>
          <w:lang w:val="en-US" w:eastAsia="zh-CN" w:bidi="ar-SA"/>
        </w:rPr>
        <w:t>项目可研设计资料</w:t>
      </w:r>
      <w:r>
        <w:rPr>
          <w:rFonts w:hint="eastAsia" w:ascii="Times New Roman" w:hAnsi="Times New Roman" w:eastAsia="宋体" w:cs="Times New Roman"/>
          <w:color w:val="000000"/>
          <w:kern w:val="2"/>
          <w:sz w:val="24"/>
          <w:szCs w:val="24"/>
          <w:shd w:val="clear" w:color="auto" w:fill="FFFFFF"/>
          <w:lang w:val="zh-CN" w:eastAsia="zh-CN" w:bidi="ar-SA"/>
        </w:rPr>
        <w:t>开展了该项目的环境影响评价工作。同年6月2</w:t>
      </w:r>
      <w:r>
        <w:rPr>
          <w:rFonts w:hint="eastAsia" w:ascii="Times New Roman" w:hAnsi="Times New Roman" w:eastAsia="宋体" w:cs="Times New Roman"/>
          <w:color w:val="000000"/>
          <w:kern w:val="2"/>
          <w:sz w:val="24"/>
          <w:szCs w:val="24"/>
          <w:shd w:val="clear" w:color="auto" w:fill="FFFFFF"/>
          <w:lang w:val="en-US" w:eastAsia="zh-CN" w:bidi="ar-SA"/>
        </w:rPr>
        <w:t>9</w:t>
      </w:r>
      <w:r>
        <w:rPr>
          <w:rFonts w:hint="eastAsia" w:ascii="Times New Roman" w:hAnsi="Times New Roman" w:eastAsia="宋体" w:cs="Times New Roman"/>
          <w:color w:val="000000"/>
          <w:kern w:val="2"/>
          <w:sz w:val="24"/>
          <w:szCs w:val="24"/>
          <w:shd w:val="clear" w:color="auto" w:fill="FFFFFF"/>
          <w:lang w:val="zh-CN" w:eastAsia="zh-CN" w:bidi="ar-SA"/>
        </w:rPr>
        <w:t>日，楚雄州生态环境局以“楚环许准﹝2022﹞2</w:t>
      </w:r>
      <w:r>
        <w:rPr>
          <w:rFonts w:hint="eastAsia" w:ascii="Times New Roman" w:hAnsi="Times New Roman" w:eastAsia="宋体" w:cs="Times New Roman"/>
          <w:color w:val="000000"/>
          <w:kern w:val="2"/>
          <w:sz w:val="24"/>
          <w:szCs w:val="24"/>
          <w:shd w:val="clear" w:color="auto" w:fill="FFFFFF"/>
          <w:lang w:val="en-US" w:eastAsia="zh-CN" w:bidi="ar-SA"/>
        </w:rPr>
        <w:t>4</w:t>
      </w:r>
      <w:r>
        <w:rPr>
          <w:rFonts w:hint="eastAsia" w:ascii="Times New Roman" w:hAnsi="Times New Roman" w:eastAsia="宋体" w:cs="Times New Roman"/>
          <w:color w:val="000000"/>
          <w:kern w:val="2"/>
          <w:sz w:val="24"/>
          <w:szCs w:val="24"/>
          <w:shd w:val="clear" w:color="auto" w:fill="FFFFFF"/>
          <w:lang w:val="zh-CN" w:eastAsia="zh-CN" w:bidi="ar-SA"/>
        </w:rPr>
        <w:t>号”批复了</w:t>
      </w:r>
      <w:r>
        <w:rPr>
          <w:rFonts w:hint="eastAsia" w:ascii="Times New Roman" w:hAnsi="Times New Roman" w:eastAsia="宋体" w:cs="Times New Roman"/>
          <w:color w:val="000000"/>
          <w:kern w:val="2"/>
          <w:sz w:val="24"/>
          <w:szCs w:val="24"/>
          <w:shd w:val="clear" w:color="auto" w:fill="FFFFFF"/>
          <w:lang w:val="en-US" w:eastAsia="zh-CN" w:bidi="ar-SA"/>
        </w:rPr>
        <w:t>华能元谋马头地</w:t>
      </w:r>
      <w:r>
        <w:rPr>
          <w:rFonts w:hint="eastAsia" w:ascii="Times New Roman" w:hAnsi="Times New Roman" w:eastAsia="宋体" w:cs="Times New Roman"/>
          <w:color w:val="000000"/>
          <w:kern w:val="2"/>
          <w:sz w:val="24"/>
          <w:szCs w:val="24"/>
          <w:shd w:val="clear" w:color="auto" w:fill="FFFFFF"/>
          <w:lang w:val="zh-CN" w:eastAsia="zh-CN" w:bidi="ar-SA"/>
        </w:rPr>
        <w:t>光伏电站项目环境影响报告表。</w:t>
      </w:r>
    </w:p>
    <w:p>
      <w:pPr>
        <w:widowControl w:val="0"/>
        <w:adjustRightInd w:val="0"/>
        <w:snapToGrid w:val="0"/>
        <w:spacing w:after="0" w:line="360" w:lineRule="auto"/>
        <w:ind w:left="0" w:leftChars="0" w:firstLine="480" w:firstLineChars="200"/>
        <w:jc w:val="both"/>
        <w:rPr>
          <w:rFonts w:hint="default" w:ascii="Times New Roman" w:hAnsi="Times New Roman" w:eastAsia="宋体" w:cs="Times New Roman"/>
          <w:color w:val="000000"/>
          <w:kern w:val="2"/>
          <w:sz w:val="24"/>
          <w:szCs w:val="24"/>
          <w:shd w:val="clear" w:color="auto" w:fill="FFFFFF"/>
          <w:lang w:val="en-US" w:eastAsia="zh-CN" w:bidi="ar-SA"/>
        </w:rPr>
      </w:pPr>
      <w:r>
        <w:rPr>
          <w:rFonts w:hint="eastAsia" w:ascii="Times New Roman" w:hAnsi="Times New Roman" w:eastAsia="宋体" w:cs="Times New Roman"/>
          <w:color w:val="000000"/>
          <w:sz w:val="24"/>
          <w:shd w:val="clear" w:color="auto" w:fill="FFFFFF"/>
          <w:lang w:val="zh-CN" w:eastAsia="zh-CN"/>
        </w:rPr>
        <w:t>根据现场勘查，华能元谋马头地光伏电站项目</w:t>
      </w:r>
      <w:r>
        <w:rPr>
          <w:rFonts w:hint="eastAsia" w:ascii="Times New Roman" w:hAnsi="Times New Roman" w:eastAsia="宋体" w:cs="Times New Roman"/>
          <w:color w:val="auto"/>
          <w:sz w:val="24"/>
          <w:shd w:val="clear" w:color="auto" w:fill="FFFFFF"/>
          <w:lang w:val="zh-CN" w:eastAsia="zh-CN"/>
        </w:rPr>
        <w:t>于2022年</w:t>
      </w:r>
      <w:r>
        <w:rPr>
          <w:rFonts w:hint="eastAsia" w:cs="Times New Roman"/>
          <w:color w:val="auto"/>
          <w:sz w:val="24"/>
          <w:shd w:val="clear" w:color="auto" w:fill="FFFFFF"/>
          <w:lang w:val="en-US" w:eastAsia="zh-CN"/>
        </w:rPr>
        <w:t>7</w:t>
      </w:r>
      <w:r>
        <w:rPr>
          <w:rFonts w:hint="eastAsia" w:ascii="Times New Roman" w:hAnsi="Times New Roman" w:eastAsia="宋体" w:cs="Times New Roman"/>
          <w:color w:val="auto"/>
          <w:sz w:val="24"/>
          <w:shd w:val="clear" w:color="auto" w:fill="FFFFFF"/>
          <w:lang w:val="zh-CN" w:eastAsia="zh-CN"/>
        </w:rPr>
        <w:t>月开</w:t>
      </w:r>
      <w:r>
        <w:rPr>
          <w:rFonts w:hint="eastAsia" w:ascii="Times New Roman" w:hAnsi="Times New Roman" w:eastAsia="宋体" w:cs="Times New Roman"/>
          <w:color w:val="000000"/>
          <w:sz w:val="24"/>
          <w:shd w:val="clear" w:color="auto" w:fill="FFFFFF"/>
          <w:lang w:val="zh-CN" w:eastAsia="zh-CN"/>
        </w:rPr>
        <w:t>始施工，目前光伏板区电池板工程完成部分施工。项目施工至今未收到环保投诉。在该项目施工阶段，建设单位对片区电网规划设计发生变化，以及考虑到节约工程投资成本，</w:t>
      </w:r>
      <w:r>
        <w:rPr>
          <w:rFonts w:hint="eastAsia" w:ascii="Times New Roman" w:hAnsi="Times New Roman" w:eastAsia="宋体" w:cs="Times New Roman"/>
          <w:color w:val="000000"/>
          <w:kern w:val="2"/>
          <w:sz w:val="24"/>
          <w:szCs w:val="24"/>
          <w:shd w:val="clear" w:color="auto" w:fill="FFFFFF"/>
          <w:lang w:val="zh-CN" w:eastAsia="zh-CN" w:bidi="ar-SA"/>
        </w:rPr>
        <w:t>华能元谋马头地光伏电站</w:t>
      </w:r>
      <w:r>
        <w:rPr>
          <w:rFonts w:hint="eastAsia" w:ascii="Times New Roman" w:hAnsi="Times New Roman" w:eastAsia="宋体" w:cs="Times New Roman"/>
          <w:color w:val="000000"/>
          <w:kern w:val="2"/>
          <w:sz w:val="24"/>
          <w:szCs w:val="24"/>
          <w:lang w:val="en-US" w:eastAsia="zh-CN" w:bidi="ar-SA"/>
        </w:rPr>
        <w:t>项目</w:t>
      </w:r>
      <w:r>
        <w:rPr>
          <w:rFonts w:hint="eastAsia" w:ascii="Times New Roman" w:hAnsi="Times New Roman" w:eastAsia="宋体" w:cs="Times New Roman"/>
          <w:color w:val="000000"/>
          <w:sz w:val="24"/>
          <w:shd w:val="clear" w:color="auto" w:fill="FFFFFF"/>
          <w:lang w:val="zh-CN" w:eastAsia="zh-CN"/>
        </w:rPr>
        <w:t>升压站</w:t>
      </w:r>
      <w:r>
        <w:rPr>
          <w:rFonts w:hint="eastAsia" w:ascii="Times New Roman" w:hAnsi="Times New Roman" w:eastAsia="宋体" w:cs="Times New Roman"/>
          <w:color w:val="000000"/>
          <w:sz w:val="24"/>
          <w:shd w:val="clear" w:color="auto" w:fill="FFFFFF"/>
          <w:lang w:val="en-US" w:eastAsia="zh-CN"/>
        </w:rPr>
        <w:t>位置、</w:t>
      </w:r>
      <w:r>
        <w:rPr>
          <w:rFonts w:hint="eastAsia" w:ascii="Times New Roman" w:hAnsi="Times New Roman" w:eastAsia="宋体" w:cs="Times New Roman"/>
          <w:color w:val="000000"/>
          <w:sz w:val="24"/>
          <w:shd w:val="clear" w:color="auto" w:fill="FFFFFF"/>
          <w:lang w:val="zh-CN" w:eastAsia="zh-CN"/>
        </w:rPr>
        <w:t>规模较原环评阶段发生变动，重新设计后配套建设1座</w:t>
      </w:r>
      <w:r>
        <w:rPr>
          <w:rFonts w:hint="eastAsia" w:ascii="Times New Roman" w:hAnsi="Times New Roman" w:eastAsia="宋体" w:cs="Times New Roman"/>
          <w:color w:val="000000"/>
          <w:sz w:val="24"/>
          <w:shd w:val="clear" w:color="auto" w:fill="FFFFFF"/>
          <w:lang w:val="en-US" w:eastAsia="zh-CN"/>
        </w:rPr>
        <w:t>110</w:t>
      </w:r>
      <w:r>
        <w:rPr>
          <w:rFonts w:hint="eastAsia" w:ascii="Times New Roman" w:hAnsi="Times New Roman" w:eastAsia="宋体" w:cs="Times New Roman"/>
          <w:color w:val="000000"/>
          <w:sz w:val="24"/>
          <w:shd w:val="clear" w:color="auto" w:fill="FFFFFF"/>
          <w:lang w:val="zh-CN" w:eastAsia="zh-CN"/>
        </w:rPr>
        <w:t>kV升压站，原环评设计为1座</w:t>
      </w:r>
      <w:r>
        <w:rPr>
          <w:rFonts w:hint="eastAsia" w:ascii="Times New Roman" w:hAnsi="Times New Roman" w:eastAsia="宋体" w:cs="Times New Roman"/>
          <w:color w:val="000000"/>
          <w:sz w:val="24"/>
          <w:shd w:val="clear" w:color="auto" w:fill="FFFFFF"/>
          <w:lang w:val="en-US" w:eastAsia="zh-CN"/>
        </w:rPr>
        <w:t>220</w:t>
      </w:r>
      <w:r>
        <w:rPr>
          <w:rFonts w:hint="eastAsia" w:ascii="Times New Roman" w:hAnsi="Times New Roman" w:eastAsia="宋体" w:cs="Times New Roman"/>
          <w:color w:val="000000"/>
          <w:sz w:val="24"/>
          <w:shd w:val="clear" w:color="auto" w:fill="FFFFFF"/>
          <w:lang w:val="zh-CN" w:eastAsia="zh-CN"/>
        </w:rPr>
        <w:t>kv升压站，变更后为1座</w:t>
      </w:r>
      <w:r>
        <w:rPr>
          <w:rFonts w:hint="eastAsia" w:ascii="Times New Roman" w:hAnsi="Times New Roman" w:eastAsia="宋体" w:cs="Times New Roman"/>
          <w:color w:val="000000"/>
          <w:sz w:val="24"/>
          <w:shd w:val="clear" w:color="auto" w:fill="FFFFFF"/>
          <w:lang w:val="en-US" w:eastAsia="zh-CN"/>
        </w:rPr>
        <w:t>110</w:t>
      </w:r>
      <w:r>
        <w:rPr>
          <w:rFonts w:hint="eastAsia" w:ascii="Times New Roman" w:hAnsi="Times New Roman" w:eastAsia="宋体" w:cs="Times New Roman"/>
          <w:color w:val="000000"/>
          <w:sz w:val="24"/>
          <w:shd w:val="clear" w:color="auto" w:fill="FFFFFF"/>
          <w:lang w:val="zh-CN" w:eastAsia="zh-CN"/>
        </w:rPr>
        <w:t>kv升压站，较原环评阶段在升压站电压等级进行</w:t>
      </w:r>
      <w:r>
        <w:rPr>
          <w:rFonts w:hint="eastAsia" w:ascii="Times New Roman" w:hAnsi="Times New Roman" w:eastAsia="宋体" w:cs="Times New Roman"/>
          <w:color w:val="000000"/>
          <w:sz w:val="24"/>
          <w:shd w:val="clear" w:color="auto" w:fill="FFFFFF"/>
          <w:lang w:val="en-US" w:eastAsia="zh-CN"/>
        </w:rPr>
        <w:t>降低，现升压站位置较原环评升压站位置变化超500m，</w:t>
      </w:r>
      <w:r>
        <w:rPr>
          <w:rFonts w:hint="eastAsia" w:ascii="Times New Roman" w:hAnsi="Times New Roman" w:eastAsia="宋体" w:cs="Times New Roman"/>
          <w:color w:val="000000"/>
          <w:sz w:val="24"/>
          <w:shd w:val="clear" w:color="auto" w:fill="FFFFFF"/>
          <w:lang w:val="zh-CN" w:eastAsia="zh-CN"/>
        </w:rPr>
        <w:t>本次评价重新报批环评报告。</w:t>
      </w:r>
    </w:p>
    <w:p>
      <w:pPr>
        <w:widowControl w:val="0"/>
        <w:adjustRightInd w:val="0"/>
        <w:snapToGrid w:val="0"/>
        <w:spacing w:after="0" w:line="360" w:lineRule="auto"/>
        <w:ind w:left="0" w:leftChars="0" w:firstLine="482" w:firstLineChars="200"/>
        <w:jc w:val="both"/>
        <w:rPr>
          <w:rFonts w:hint="eastAsia" w:ascii="Times New Roman" w:hAnsi="Times New Roman" w:eastAsia="宋体" w:cs="Times New Roman"/>
          <w:color w:val="000000"/>
          <w:kern w:val="2"/>
          <w:sz w:val="24"/>
          <w:szCs w:val="24"/>
          <w:shd w:val="clear" w:color="auto" w:fill="FFFFFF"/>
          <w:lang w:val="en-US" w:eastAsia="zh-CN" w:bidi="ar-SA"/>
        </w:rPr>
      </w:pPr>
      <w:r>
        <w:rPr>
          <w:rFonts w:hint="eastAsia" w:ascii="Times New Roman" w:eastAsia="宋体"/>
          <w:b/>
          <w:bCs/>
          <w:color w:val="000000"/>
          <w:sz w:val="24"/>
          <w:shd w:val="clear" w:color="auto" w:fill="FFFFFF"/>
          <w:lang w:val="en-US" w:eastAsia="zh-CN"/>
        </w:rPr>
        <w:t>项目原环评阶段，</w:t>
      </w:r>
      <w:r>
        <w:rPr>
          <w:rFonts w:hint="eastAsia" w:ascii="Times New Roman"/>
          <w:color w:val="000000"/>
          <w:sz w:val="24"/>
          <w:shd w:val="clear" w:color="auto" w:fill="FFFFFF"/>
          <w:lang w:val="zh-CN"/>
        </w:rPr>
        <w:t>马头地光伏电站场址范围位于东经101°45</w:t>
      </w:r>
      <w:r>
        <w:rPr>
          <w:rFonts w:hint="eastAsia" w:ascii="Times New Roman"/>
          <w:color w:val="000000"/>
          <w:sz w:val="24"/>
          <w:shd w:val="clear" w:color="auto" w:fill="FFFFFF"/>
          <w:lang w:val="en-US" w:eastAsia="zh-CN"/>
        </w:rPr>
        <w:t>′</w:t>
      </w:r>
      <w:r>
        <w:rPr>
          <w:rFonts w:hint="eastAsia" w:ascii="Times New Roman"/>
          <w:color w:val="000000"/>
          <w:sz w:val="24"/>
          <w:shd w:val="clear" w:color="auto" w:fill="FFFFFF"/>
          <w:lang w:val="zh-CN"/>
        </w:rPr>
        <w:t>46</w:t>
      </w:r>
      <w:r>
        <w:rPr>
          <w:rFonts w:hint="eastAsia" w:ascii="Times New Roman"/>
          <w:color w:val="000000"/>
          <w:sz w:val="24"/>
          <w:shd w:val="clear" w:color="auto" w:fill="FFFFFF"/>
          <w:lang w:val="en-US" w:eastAsia="zh-CN"/>
        </w:rPr>
        <w:t>″</w:t>
      </w:r>
      <w:r>
        <w:rPr>
          <w:rFonts w:hint="eastAsia" w:ascii="Times New Roman"/>
          <w:color w:val="000000"/>
          <w:sz w:val="24"/>
          <w:shd w:val="clear" w:color="auto" w:fill="FFFFFF"/>
          <w:lang w:val="zh-CN"/>
        </w:rPr>
        <w:t>～101°58</w:t>
      </w:r>
      <w:r>
        <w:rPr>
          <w:rFonts w:hint="eastAsia" w:ascii="Times New Roman"/>
          <w:color w:val="000000"/>
          <w:sz w:val="24"/>
          <w:shd w:val="clear" w:color="auto" w:fill="FFFFFF"/>
          <w:lang w:val="en-US" w:eastAsia="zh-CN"/>
        </w:rPr>
        <w:t>′</w:t>
      </w:r>
      <w:r>
        <w:rPr>
          <w:rFonts w:hint="eastAsia" w:ascii="Times New Roman"/>
          <w:color w:val="000000"/>
          <w:sz w:val="24"/>
          <w:shd w:val="clear" w:color="auto" w:fill="FFFFFF"/>
          <w:lang w:val="zh-CN"/>
        </w:rPr>
        <w:t>03</w:t>
      </w:r>
      <w:r>
        <w:rPr>
          <w:rFonts w:hint="eastAsia" w:ascii="Times New Roman"/>
          <w:color w:val="000000"/>
          <w:sz w:val="24"/>
          <w:shd w:val="clear" w:color="auto" w:fill="FFFFFF"/>
          <w:lang w:val="en-US" w:eastAsia="zh-CN"/>
        </w:rPr>
        <w:t>″</w:t>
      </w:r>
      <w:r>
        <w:rPr>
          <w:rFonts w:hint="eastAsia" w:ascii="Times New Roman"/>
          <w:color w:val="000000"/>
          <w:sz w:val="24"/>
          <w:shd w:val="clear" w:color="auto" w:fill="FFFFFF"/>
          <w:lang w:val="zh-CN"/>
        </w:rPr>
        <w:t>，北纬25°33</w:t>
      </w:r>
      <w:r>
        <w:rPr>
          <w:rFonts w:hint="eastAsia" w:ascii="Times New Roman"/>
          <w:color w:val="000000"/>
          <w:sz w:val="24"/>
          <w:shd w:val="clear" w:color="auto" w:fill="FFFFFF"/>
          <w:lang w:val="en-US" w:eastAsia="zh-CN"/>
        </w:rPr>
        <w:t>′</w:t>
      </w:r>
      <w:r>
        <w:rPr>
          <w:rFonts w:hint="eastAsia" w:ascii="Times New Roman"/>
          <w:color w:val="000000"/>
          <w:sz w:val="24"/>
          <w:shd w:val="clear" w:color="auto" w:fill="FFFFFF"/>
          <w:lang w:val="zh-CN"/>
        </w:rPr>
        <w:t>17</w:t>
      </w:r>
      <w:r>
        <w:rPr>
          <w:rFonts w:hint="eastAsia" w:ascii="Times New Roman"/>
          <w:color w:val="000000"/>
          <w:sz w:val="24"/>
          <w:shd w:val="clear" w:color="auto" w:fill="FFFFFF"/>
          <w:lang w:val="en-US" w:eastAsia="zh-CN"/>
        </w:rPr>
        <w:t>″</w:t>
      </w:r>
      <w:r>
        <w:rPr>
          <w:rFonts w:hint="eastAsia" w:ascii="Times New Roman"/>
          <w:color w:val="000000"/>
          <w:sz w:val="24"/>
          <w:shd w:val="clear" w:color="auto" w:fill="FFFFFF"/>
          <w:lang w:val="zh-CN"/>
        </w:rPr>
        <w:t>～25°39</w:t>
      </w:r>
      <w:r>
        <w:rPr>
          <w:rFonts w:hint="eastAsia" w:ascii="Times New Roman"/>
          <w:color w:val="000000"/>
          <w:sz w:val="24"/>
          <w:shd w:val="clear" w:color="auto" w:fill="FFFFFF"/>
          <w:lang w:val="en-US" w:eastAsia="zh-CN"/>
        </w:rPr>
        <w:t>′</w:t>
      </w:r>
      <w:r>
        <w:rPr>
          <w:rFonts w:hint="eastAsia" w:ascii="Times New Roman"/>
          <w:color w:val="000000"/>
          <w:sz w:val="24"/>
          <w:shd w:val="clear" w:color="auto" w:fill="FFFFFF"/>
          <w:lang w:val="zh-CN"/>
        </w:rPr>
        <w:t>06</w:t>
      </w:r>
      <w:r>
        <w:rPr>
          <w:rFonts w:hint="eastAsia" w:ascii="Times New Roman"/>
          <w:color w:val="000000"/>
          <w:sz w:val="24"/>
          <w:shd w:val="clear" w:color="auto" w:fill="FFFFFF"/>
          <w:lang w:val="en-US" w:eastAsia="zh-CN"/>
        </w:rPr>
        <w:t>″</w:t>
      </w:r>
      <w:r>
        <w:rPr>
          <w:rFonts w:hint="eastAsia" w:ascii="Times New Roman"/>
          <w:color w:val="000000"/>
          <w:sz w:val="24"/>
          <w:shd w:val="clear" w:color="auto" w:fill="FFFFFF"/>
          <w:lang w:val="zh-CN"/>
        </w:rPr>
        <w:t>之间，高程在1200m～1800m之间。</w:t>
      </w:r>
      <w:r>
        <w:rPr>
          <w:rFonts w:hint="eastAsia" w:ascii="Times New Roman" w:eastAsia="宋体"/>
          <w:color w:val="000000"/>
          <w:sz w:val="24"/>
          <w:shd w:val="clear" w:color="auto" w:fill="FFFFFF"/>
          <w:lang w:val="en-US" w:eastAsia="zh-CN"/>
        </w:rPr>
        <w:t>项目</w:t>
      </w:r>
      <w:r>
        <w:rPr>
          <w:rFonts w:hint="eastAsia"/>
          <w:sz w:val="24"/>
        </w:rPr>
        <w:t>规划交流容量170.128MW，直流容量209.98656MWp，共布置标称容量为3150kW的光伏方阵52个以及标称容量为3500kW的光伏方阵2个，</w:t>
      </w:r>
      <w:r>
        <w:rPr>
          <w:color w:val="000000"/>
          <w:sz w:val="24"/>
          <w:shd w:val="clear" w:color="auto" w:fill="FFFFFF"/>
          <w:lang w:val="zh-CN"/>
        </w:rPr>
        <w:t>配套在马头地片区建设</w:t>
      </w:r>
      <w:r>
        <w:rPr>
          <w:rFonts w:hint="eastAsia" w:ascii="Times New Roman"/>
          <w:color w:val="000000"/>
          <w:sz w:val="24"/>
          <w:shd w:val="clear" w:color="auto" w:fill="FFFFFF"/>
          <w:lang w:val="zh-CN"/>
        </w:rPr>
        <w:t>一座220kV升压站（</w:t>
      </w:r>
      <w:r>
        <w:rPr>
          <w:rFonts w:hint="eastAsia" w:ascii="Times New Roman"/>
          <w:color w:val="000000"/>
          <w:sz w:val="24"/>
          <w:shd w:val="clear" w:color="auto" w:fill="FFFFFF"/>
          <w:lang w:val="en-US" w:eastAsia="zh-CN"/>
        </w:rPr>
        <w:t>坐标：101°51′27.467″，25°35′0.170″</w:t>
      </w:r>
      <w:r>
        <w:rPr>
          <w:rFonts w:hint="eastAsia" w:ascii="Times New Roman"/>
          <w:color w:val="000000"/>
          <w:sz w:val="24"/>
          <w:shd w:val="clear" w:color="auto" w:fill="FFFFFF"/>
          <w:lang w:val="zh-CN"/>
        </w:rPr>
        <w:t>），预留1回110kV间隔（后续帕地光伏送出）接入本升压站主变中压侧。马头地光伏电站共分为六个片区，自北向南依次是老凹塘片区</w:t>
      </w:r>
      <w:r>
        <w:rPr>
          <w:rFonts w:hint="eastAsia"/>
          <w:color w:val="000000"/>
          <w:sz w:val="24"/>
          <w:shd w:val="clear" w:color="auto" w:fill="FFFFFF"/>
          <w:lang w:val="zh-CN"/>
        </w:rPr>
        <w:t>、</w:t>
      </w:r>
      <w:r>
        <w:rPr>
          <w:rFonts w:hint="eastAsia" w:ascii="Times New Roman"/>
          <w:color w:val="000000"/>
          <w:sz w:val="24"/>
          <w:shd w:val="clear" w:color="auto" w:fill="FFFFFF"/>
          <w:lang w:val="zh-CN"/>
        </w:rPr>
        <w:t>M24片区</w:t>
      </w:r>
      <w:r>
        <w:rPr>
          <w:rFonts w:hint="eastAsia"/>
          <w:color w:val="000000"/>
          <w:sz w:val="24"/>
          <w:shd w:val="clear" w:color="auto" w:fill="FFFFFF"/>
          <w:lang w:val="zh-CN"/>
        </w:rPr>
        <w:t>、</w:t>
      </w:r>
      <w:r>
        <w:rPr>
          <w:rFonts w:hint="eastAsia" w:ascii="Times New Roman"/>
          <w:color w:val="000000"/>
          <w:sz w:val="24"/>
          <w:shd w:val="clear" w:color="auto" w:fill="FFFFFF"/>
          <w:lang w:val="zh-CN"/>
        </w:rPr>
        <w:t>M25片区</w:t>
      </w:r>
      <w:r>
        <w:rPr>
          <w:rFonts w:hint="eastAsia"/>
          <w:color w:val="000000"/>
          <w:sz w:val="24"/>
          <w:shd w:val="clear" w:color="auto" w:fill="FFFFFF"/>
          <w:lang w:val="zh-CN"/>
        </w:rPr>
        <w:t>、</w:t>
      </w:r>
      <w:r>
        <w:rPr>
          <w:rFonts w:hint="eastAsia" w:ascii="Times New Roman"/>
          <w:color w:val="000000"/>
          <w:sz w:val="24"/>
          <w:shd w:val="clear" w:color="auto" w:fill="FFFFFF"/>
          <w:lang w:val="zh-CN"/>
        </w:rPr>
        <w:t>沙沟片区</w:t>
      </w:r>
      <w:r>
        <w:rPr>
          <w:rFonts w:hint="eastAsia"/>
          <w:color w:val="000000"/>
          <w:sz w:val="24"/>
          <w:shd w:val="clear" w:color="auto" w:fill="FFFFFF"/>
          <w:lang w:val="zh-CN"/>
        </w:rPr>
        <w:t>、</w:t>
      </w:r>
      <w:r>
        <w:rPr>
          <w:rFonts w:hint="eastAsia" w:ascii="Times New Roman"/>
          <w:color w:val="000000"/>
          <w:sz w:val="24"/>
          <w:shd w:val="clear" w:color="auto" w:fill="FFFFFF"/>
          <w:lang w:val="zh-CN"/>
        </w:rPr>
        <w:t>松树湾片区</w:t>
      </w:r>
      <w:r>
        <w:rPr>
          <w:rFonts w:hint="eastAsia"/>
          <w:color w:val="000000"/>
          <w:sz w:val="24"/>
          <w:shd w:val="clear" w:color="auto" w:fill="FFFFFF"/>
          <w:lang w:val="zh-CN"/>
        </w:rPr>
        <w:t>、</w:t>
      </w:r>
      <w:r>
        <w:rPr>
          <w:rFonts w:hint="eastAsia" w:ascii="Times New Roman"/>
          <w:color w:val="000000"/>
          <w:sz w:val="24"/>
          <w:shd w:val="clear" w:color="auto" w:fill="FFFFFF"/>
          <w:lang w:val="zh-CN"/>
        </w:rPr>
        <w:t>马头地片区</w:t>
      </w:r>
      <w:r>
        <w:rPr>
          <w:rFonts w:hint="eastAsia"/>
          <w:color w:val="000000"/>
          <w:sz w:val="24"/>
          <w:shd w:val="clear" w:color="auto" w:fill="FFFFFF"/>
          <w:lang w:val="zh-CN"/>
        </w:rPr>
        <w:t>。</w:t>
      </w:r>
      <w:r>
        <w:rPr>
          <w:color w:val="000000"/>
          <w:sz w:val="24"/>
          <w:shd w:val="clear" w:color="auto" w:fill="FFFFFF"/>
          <w:lang w:val="zh-CN"/>
        </w:rPr>
        <w:t>主要建设内容包括光伏阵列</w:t>
      </w:r>
      <w:r>
        <w:rPr>
          <w:rFonts w:hint="eastAsia" w:ascii="Times New Roman"/>
          <w:color w:val="000000"/>
          <w:sz w:val="24"/>
          <w:shd w:val="clear" w:color="auto" w:fill="FFFFFF"/>
          <w:lang w:val="zh-CN"/>
        </w:rPr>
        <w:t>、</w:t>
      </w:r>
      <w:r>
        <w:rPr>
          <w:color w:val="000000"/>
          <w:sz w:val="24"/>
          <w:shd w:val="clear" w:color="auto" w:fill="FFFFFF"/>
          <w:lang w:val="zh-CN"/>
        </w:rPr>
        <w:t>箱式变压器、电缆分接箱</w:t>
      </w:r>
      <w:r>
        <w:rPr>
          <w:rFonts w:hint="eastAsia" w:ascii="Times New Roman"/>
          <w:color w:val="000000"/>
          <w:sz w:val="24"/>
          <w:shd w:val="clear" w:color="auto" w:fill="FFFFFF"/>
          <w:lang w:val="zh-CN"/>
        </w:rPr>
        <w:t>、</w:t>
      </w:r>
      <w:r>
        <w:rPr>
          <w:color w:val="000000"/>
          <w:sz w:val="24"/>
          <w:shd w:val="clear" w:color="auto" w:fill="FFFFFF"/>
          <w:lang w:val="zh-CN"/>
        </w:rPr>
        <w:t>集电线路、电缆井、杆塔、临时生产、场区道路、生活设施及仓库、绿化等</w:t>
      </w:r>
      <w:r>
        <w:rPr>
          <w:rFonts w:hint="eastAsia" w:ascii="Times New Roman"/>
          <w:color w:val="000000"/>
          <w:sz w:val="24"/>
          <w:shd w:val="clear" w:color="auto" w:fill="FFFFFF"/>
          <w:lang w:val="zh-CN"/>
        </w:rPr>
        <w:t>工程。</w:t>
      </w:r>
      <w:r>
        <w:rPr>
          <w:rFonts w:hint="eastAsia"/>
          <w:sz w:val="24"/>
        </w:rPr>
        <w:t>项目全部</w:t>
      </w:r>
      <w:r>
        <w:rPr>
          <w:sz w:val="24"/>
        </w:rPr>
        <w:t xml:space="preserve">170MW </w:t>
      </w:r>
      <w:r>
        <w:rPr>
          <w:rFonts w:hint="eastAsia"/>
          <w:sz w:val="24"/>
        </w:rPr>
        <w:t xml:space="preserve">装机容量以及附近光伏电站项目经1回 </w:t>
      </w:r>
      <w:r>
        <w:rPr>
          <w:sz w:val="24"/>
        </w:rPr>
        <w:t xml:space="preserve">220kV </w:t>
      </w:r>
      <w:r>
        <w:rPr>
          <w:rFonts w:hint="eastAsia"/>
          <w:sz w:val="24"/>
        </w:rPr>
        <w:t xml:space="preserve">架空线路送出接入 </w:t>
      </w:r>
      <w:r>
        <w:rPr>
          <w:sz w:val="24"/>
        </w:rPr>
        <w:t xml:space="preserve">500kV </w:t>
      </w:r>
      <w:r>
        <w:rPr>
          <w:rFonts w:hint="eastAsia"/>
          <w:sz w:val="24"/>
        </w:rPr>
        <w:t>麦冲汇流站实现并网。</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2" w:firstLineChars="200"/>
        <w:jc w:val="both"/>
        <w:textAlignment w:val="auto"/>
        <w:rPr>
          <w:rFonts w:hint="eastAsia" w:ascii="Times New Roman" w:hAnsi="Times New Roman" w:eastAsia="宋体" w:cs="Times New Roman"/>
          <w:color w:val="000000"/>
          <w:sz w:val="24"/>
          <w:shd w:val="clear" w:color="auto" w:fill="FFFFFF"/>
          <w:lang w:val="en-US" w:eastAsia="zh-CN"/>
        </w:rPr>
      </w:pPr>
      <w:r>
        <w:rPr>
          <w:rFonts w:hint="eastAsia" w:ascii="Times New Roman" w:hAnsi="Times New Roman" w:eastAsia="宋体" w:cs="Times New Roman"/>
          <w:b/>
          <w:bCs/>
          <w:color w:val="000000"/>
          <w:sz w:val="24"/>
          <w:shd w:val="clear" w:color="auto" w:fill="FFFFFF"/>
          <w:lang w:val="en-US" w:eastAsia="zh-CN"/>
        </w:rPr>
        <w:t>项目变更后，</w:t>
      </w:r>
      <w:r>
        <w:rPr>
          <w:rFonts w:hint="eastAsia" w:ascii="Times New Roman" w:hAnsi="Times New Roman" w:eastAsia="宋体" w:cs="Times New Roman"/>
          <w:color w:val="000000"/>
          <w:sz w:val="24"/>
          <w:shd w:val="clear" w:color="auto" w:fill="FFFFFF"/>
          <w:lang w:val="en-US" w:eastAsia="zh-CN"/>
        </w:rPr>
        <w:t>华能南华风力发电有限公司投资建设华能元谋马头地光伏电站（变更）项目（以下简称“本项目”）。本工程位于云南省楚雄州元谋县老城乡，项目场址范围位于东经101。45′46″~101°58′03″，北纬25°33′17″~25°3906″之间，场址中心坐标北纬25.618°，东经101.806°，高程在1200m～1800m之间。本项目总规划装机容量为交流容量170MW，直流容量212.89002MWp，拟装设52个3150kW地面光伏单元、2个2000kW地面光伏单元，共安装545Wp双面双玻单晶硅组件76916块及550Wp双面双玻单晶硅组件310856块，533台320kW组串式逆变器。配套在沙沟片区建设一座110kV升压站（坐标：101°49′9.618″，25°37′4.590″）</w:t>
      </w:r>
      <w:r>
        <w:rPr>
          <w:rFonts w:hint="eastAsia" w:cs="Times New Roman"/>
          <w:color w:val="000000"/>
          <w:sz w:val="24"/>
          <w:shd w:val="clear" w:color="auto" w:fill="FFFFFF"/>
          <w:lang w:val="en-US" w:eastAsia="zh-CN"/>
        </w:rPr>
        <w:t>，升压站内配套建设1台容量为170WMA的主变</w:t>
      </w:r>
      <w:r>
        <w:rPr>
          <w:rFonts w:hint="eastAsia" w:ascii="Times New Roman" w:hAnsi="Times New Roman" w:eastAsia="宋体" w:cs="Times New Roman"/>
          <w:color w:val="000000"/>
          <w:sz w:val="24"/>
          <w:shd w:val="clear" w:color="auto" w:fill="FFFFFF"/>
          <w:lang w:val="en-US" w:eastAsia="zh-CN"/>
        </w:rPr>
        <w:t>。变更后马头地光伏电站共分为三个片区，自北向南依次是阿郎片区4个</w:t>
      </w:r>
      <w:r>
        <w:rPr>
          <w:rFonts w:hint="eastAsia" w:ascii="Times New Roman" w:hAnsi="Times New Roman" w:eastAsia="宋体" w:cs="Times New Roman"/>
          <w:color w:val="000000"/>
          <w:sz w:val="24"/>
          <w:shd w:val="clear" w:color="auto" w:fill="FFFFFF"/>
          <w:lang w:val="zh-CN" w:eastAsia="zh-CN"/>
        </w:rPr>
        <w:t>3.15MW方阵，</w:t>
      </w:r>
      <w:r>
        <w:rPr>
          <w:rFonts w:hint="eastAsia" w:ascii="Times New Roman" w:hAnsi="Times New Roman" w:eastAsia="宋体" w:cs="Times New Roman"/>
          <w:color w:val="000000"/>
          <w:sz w:val="24"/>
          <w:shd w:val="clear" w:color="auto" w:fill="FFFFFF"/>
          <w:lang w:val="en-US" w:eastAsia="zh-CN"/>
        </w:rPr>
        <w:t>共16.282</w:t>
      </w:r>
      <w:r>
        <w:rPr>
          <w:rFonts w:hint="eastAsia" w:ascii="Times New Roman" w:hAnsi="Times New Roman" w:eastAsia="宋体" w:cs="Times New Roman"/>
          <w:color w:val="000000"/>
          <w:sz w:val="24"/>
          <w:shd w:val="clear" w:color="auto" w:fill="FFFFFF"/>
          <w:lang w:val="zh-CN" w:eastAsia="zh-CN"/>
        </w:rPr>
        <w:t>MW；</w:t>
      </w:r>
      <w:r>
        <w:rPr>
          <w:rFonts w:hint="eastAsia" w:ascii="Times New Roman" w:hAnsi="Times New Roman" w:eastAsia="宋体" w:cs="Times New Roman"/>
          <w:color w:val="000000"/>
          <w:sz w:val="24"/>
          <w:shd w:val="clear" w:color="auto" w:fill="FFFFFF"/>
          <w:lang w:val="en-US" w:eastAsia="zh-CN"/>
        </w:rPr>
        <w:t>沙沟片区43个</w:t>
      </w:r>
      <w:r>
        <w:rPr>
          <w:rFonts w:hint="eastAsia" w:ascii="Times New Roman" w:hAnsi="Times New Roman" w:eastAsia="宋体" w:cs="Times New Roman"/>
          <w:color w:val="000000"/>
          <w:sz w:val="24"/>
          <w:shd w:val="clear" w:color="auto" w:fill="FFFFFF"/>
          <w:lang w:val="zh-CN" w:eastAsia="zh-CN"/>
        </w:rPr>
        <w:t>3.15MW方阵，</w:t>
      </w:r>
      <w:r>
        <w:rPr>
          <w:rFonts w:hint="eastAsia" w:ascii="Times New Roman" w:hAnsi="Times New Roman" w:eastAsia="宋体" w:cs="Times New Roman"/>
          <w:color w:val="000000"/>
          <w:sz w:val="24"/>
          <w:shd w:val="clear" w:color="auto" w:fill="FFFFFF"/>
          <w:lang w:val="en-US" w:eastAsia="zh-CN"/>
        </w:rPr>
        <w:t>2个2</w:t>
      </w:r>
      <w:r>
        <w:rPr>
          <w:rFonts w:hint="eastAsia" w:ascii="Times New Roman" w:hAnsi="Times New Roman" w:eastAsia="宋体" w:cs="Times New Roman"/>
          <w:color w:val="000000"/>
          <w:sz w:val="24"/>
          <w:shd w:val="clear" w:color="auto" w:fill="FFFFFF"/>
          <w:lang w:val="zh-CN" w:eastAsia="zh-CN"/>
        </w:rPr>
        <w:t>MW方阵，</w:t>
      </w:r>
      <w:r>
        <w:rPr>
          <w:rFonts w:hint="eastAsia" w:ascii="Times New Roman" w:hAnsi="Times New Roman" w:eastAsia="宋体" w:cs="Times New Roman"/>
          <w:color w:val="000000"/>
          <w:sz w:val="24"/>
          <w:shd w:val="clear" w:color="auto" w:fill="FFFFFF"/>
          <w:lang w:val="en-US" w:eastAsia="zh-CN"/>
        </w:rPr>
        <w:t>共176.358</w:t>
      </w:r>
      <w:r>
        <w:rPr>
          <w:rFonts w:hint="eastAsia" w:ascii="Times New Roman" w:hAnsi="Times New Roman" w:eastAsia="宋体" w:cs="Times New Roman"/>
          <w:color w:val="000000"/>
          <w:sz w:val="24"/>
          <w:shd w:val="clear" w:color="auto" w:fill="FFFFFF"/>
          <w:lang w:val="zh-CN" w:eastAsia="zh-CN"/>
        </w:rPr>
        <w:t>MW；</w:t>
      </w:r>
      <w:r>
        <w:rPr>
          <w:rFonts w:hint="eastAsia" w:ascii="Times New Roman" w:hAnsi="Times New Roman" w:eastAsia="宋体" w:cs="Times New Roman"/>
          <w:color w:val="000000"/>
          <w:sz w:val="24"/>
          <w:shd w:val="clear" w:color="auto" w:fill="FFFFFF"/>
          <w:lang w:val="en-US" w:eastAsia="zh-CN"/>
        </w:rPr>
        <w:t>松树湾片区5个</w:t>
      </w:r>
      <w:r>
        <w:rPr>
          <w:rFonts w:hint="eastAsia" w:ascii="Times New Roman" w:hAnsi="Times New Roman" w:eastAsia="宋体" w:cs="Times New Roman"/>
          <w:color w:val="000000"/>
          <w:sz w:val="24"/>
          <w:shd w:val="clear" w:color="auto" w:fill="FFFFFF"/>
          <w:lang w:val="zh-CN" w:eastAsia="zh-CN"/>
        </w:rPr>
        <w:t>3.15MW方阵，</w:t>
      </w:r>
      <w:r>
        <w:rPr>
          <w:rFonts w:hint="eastAsia" w:ascii="Times New Roman" w:hAnsi="Times New Roman" w:eastAsia="宋体" w:cs="Times New Roman"/>
          <w:color w:val="000000"/>
          <w:sz w:val="24"/>
          <w:shd w:val="clear" w:color="auto" w:fill="FFFFFF"/>
          <w:lang w:val="en-US" w:eastAsia="zh-CN"/>
        </w:rPr>
        <w:t>共20.250</w:t>
      </w:r>
      <w:r>
        <w:rPr>
          <w:rFonts w:hint="eastAsia" w:ascii="Times New Roman" w:hAnsi="Times New Roman" w:eastAsia="宋体" w:cs="Times New Roman"/>
          <w:color w:val="000000"/>
          <w:sz w:val="24"/>
          <w:shd w:val="clear" w:color="auto" w:fill="FFFFFF"/>
          <w:lang w:val="zh-CN" w:eastAsia="zh-CN"/>
        </w:rPr>
        <w:t>MW。主要建设内容包括光伏阵列、箱式变压器、电缆分接箱、集电线路、电缆井、杆塔、临时生产、场区道路、生活设施及仓库、绿化等工程。</w:t>
      </w:r>
      <w:r>
        <w:rPr>
          <w:rFonts w:hint="eastAsia" w:ascii="Times New Roman" w:hAnsi="Times New Roman" w:eastAsia="宋体" w:cs="Times New Roman"/>
          <w:color w:val="000000"/>
          <w:sz w:val="24"/>
          <w:shd w:val="clear" w:color="auto" w:fill="FFFFFF"/>
          <w:lang w:val="en-US" w:eastAsia="zh-CN"/>
        </w:rPr>
        <w:t>拟通过1回110kV线路送出，接入220kV物茂升压站，</w:t>
      </w:r>
      <w:r>
        <w:rPr>
          <w:rFonts w:hint="default" w:ascii="Times New Roman" w:hAnsi="Times New Roman" w:cs="Times New Roman"/>
          <w:color w:val="auto"/>
          <w:sz w:val="24"/>
          <w:szCs w:val="24"/>
        </w:rPr>
        <w:t>送出线路</w:t>
      </w:r>
      <w:r>
        <w:rPr>
          <w:rFonts w:hint="eastAsia" w:ascii="Times New Roman" w:hAnsi="Times New Roman" w:cs="Times New Roman"/>
          <w:color w:val="auto"/>
          <w:sz w:val="24"/>
          <w:szCs w:val="24"/>
          <w:lang w:val="en-US" w:eastAsia="zh-CN"/>
        </w:rPr>
        <w:t>环境影响评价工作单独开展</w:t>
      </w:r>
      <w:r>
        <w:rPr>
          <w:rFonts w:hint="default" w:ascii="Times New Roman" w:hAnsi="Times New Roman" w:cs="Times New Roman"/>
          <w:color w:val="auto"/>
          <w:sz w:val="24"/>
          <w:szCs w:val="24"/>
        </w:rPr>
        <w:t>，本次评价不包含升压站送出线路。</w:t>
      </w:r>
    </w:p>
    <w:p>
      <w:pPr>
        <w:adjustRightInd w:val="0"/>
        <w:snapToGrid w:val="0"/>
        <w:spacing w:line="360" w:lineRule="auto"/>
        <w:ind w:firstLine="482" w:firstLineChars="200"/>
        <w:rPr>
          <w:rFonts w:hint="eastAsia" w:ascii="宋体" w:hAnsi="宋体" w:eastAsia="宋体" w:cs="宋体"/>
          <w:b/>
          <w:bCs/>
          <w:kern w:val="0"/>
          <w:sz w:val="24"/>
          <w:lang w:val="en-US" w:eastAsia="zh-CN"/>
        </w:rPr>
      </w:pPr>
      <w:r>
        <w:rPr>
          <w:rFonts w:hint="eastAsia" w:ascii="宋体" w:hAnsi="宋体" w:eastAsia="宋体" w:cs="宋体"/>
          <w:b/>
          <w:bCs/>
          <w:kern w:val="0"/>
          <w:sz w:val="24"/>
          <w:lang w:val="en-US" w:eastAsia="zh-CN"/>
        </w:rPr>
        <w:t>项目主要变更内容：</w:t>
      </w:r>
    </w:p>
    <w:p>
      <w:pPr>
        <w:widowControl w:val="0"/>
        <w:adjustRightInd w:val="0"/>
        <w:snapToGrid w:val="0"/>
        <w:spacing w:after="0" w:line="360" w:lineRule="auto"/>
        <w:ind w:left="0" w:leftChars="0" w:firstLine="480" w:firstLineChars="200"/>
        <w:jc w:val="both"/>
        <w:rPr>
          <w:rFonts w:hint="eastAsia" w:ascii="Times New Roman"/>
          <w:color w:val="000000"/>
          <w:sz w:val="24"/>
          <w:shd w:val="clear" w:color="auto" w:fill="FFFFFF"/>
          <w:lang w:val="en-US" w:eastAsia="zh-CN"/>
        </w:rPr>
      </w:pPr>
      <w:r>
        <w:rPr>
          <w:rFonts w:hint="eastAsia" w:ascii="Times New Roman"/>
          <w:color w:val="000000"/>
          <w:sz w:val="24"/>
          <w:shd w:val="clear" w:color="auto" w:fill="FFFFFF"/>
          <w:lang w:val="en-US" w:eastAsia="zh-CN"/>
        </w:rPr>
        <w:t>（1）光伏方阵：初步设计阶段取消了原方案批复的马头地片区、M24片区、老凹塘片区。光伏发电单元编号进行重新排列，其中1#~11#、13#~18#均为新增地块，12#为可研设计08#列阵范围微调，19#为可研设计09#列阵范围缩减，20#为可研设计10#列阵范围微调，21#为可研设计12#列阵范围缩减，22#为可研设计14#列阵范围缩减，经统计，初步设计光伏方阵地块面积为58.57hm2，与可研阶段光伏方阵地块重叠部分面积为13.44hm2，其余46.89hm2为新增地块面积。</w:t>
      </w:r>
    </w:p>
    <w:p>
      <w:pPr>
        <w:widowControl w:val="0"/>
        <w:adjustRightInd w:val="0"/>
        <w:snapToGrid w:val="0"/>
        <w:spacing w:after="0" w:line="360" w:lineRule="auto"/>
        <w:ind w:left="0" w:leftChars="0" w:firstLine="480" w:firstLineChars="200"/>
        <w:jc w:val="both"/>
        <w:rPr>
          <w:rFonts w:hint="default" w:ascii="Times New Roman"/>
          <w:color w:val="000000"/>
          <w:sz w:val="24"/>
          <w:shd w:val="clear" w:color="auto" w:fill="FFFFFF"/>
          <w:lang w:val="en-US" w:eastAsia="zh-CN"/>
        </w:rPr>
      </w:pPr>
      <w:r>
        <w:rPr>
          <w:rFonts w:hint="eastAsia" w:ascii="Times New Roman"/>
          <w:color w:val="000000"/>
          <w:sz w:val="24"/>
          <w:shd w:val="clear" w:color="auto" w:fill="FFFFFF"/>
          <w:lang w:val="en-US" w:eastAsia="zh-CN"/>
        </w:rPr>
        <w:t>（2）升压站</w:t>
      </w:r>
    </w:p>
    <w:p>
      <w:pPr>
        <w:widowControl w:val="0"/>
        <w:adjustRightInd w:val="0"/>
        <w:snapToGrid w:val="0"/>
        <w:spacing w:after="0" w:line="360" w:lineRule="auto"/>
        <w:ind w:left="0" w:leftChars="0" w:firstLine="480" w:firstLineChars="200"/>
        <w:jc w:val="both"/>
        <w:rPr>
          <w:rFonts w:hint="eastAsia" w:ascii="Times New Roman"/>
          <w:color w:val="000000"/>
          <w:sz w:val="24"/>
          <w:shd w:val="clear" w:color="auto" w:fill="FFFFFF"/>
          <w:lang w:val="en-US" w:eastAsia="zh-CN"/>
        </w:rPr>
      </w:pPr>
      <w:r>
        <w:rPr>
          <w:rFonts w:hint="eastAsia" w:ascii="Times New Roman"/>
          <w:color w:val="000000"/>
          <w:sz w:val="24"/>
          <w:shd w:val="clear" w:color="auto" w:fill="FFFFFF"/>
          <w:lang w:val="en-US" w:eastAsia="zh-CN"/>
        </w:rPr>
        <w:t>升压站面积减小，位置变化（变化直线距离约5423m），规模等级缩减为110kV，占地类型变化为草地，未占用耕地。</w:t>
      </w:r>
    </w:p>
    <w:p>
      <w:pPr>
        <w:widowControl w:val="0"/>
        <w:adjustRightInd w:val="0"/>
        <w:snapToGrid w:val="0"/>
        <w:spacing w:after="0" w:line="360" w:lineRule="auto"/>
        <w:ind w:left="0" w:leftChars="0" w:firstLine="480" w:firstLineChars="200"/>
        <w:jc w:val="both"/>
        <w:rPr>
          <w:rFonts w:hint="default" w:ascii="Times New Roman"/>
          <w:color w:val="000000"/>
          <w:sz w:val="24"/>
          <w:shd w:val="clear" w:color="auto" w:fill="FFFFFF"/>
          <w:lang w:val="en-US" w:eastAsia="zh-CN"/>
        </w:rPr>
      </w:pPr>
      <w:r>
        <w:rPr>
          <w:rFonts w:hint="eastAsia" w:ascii="Times New Roman"/>
          <w:color w:val="000000"/>
          <w:sz w:val="24"/>
          <w:shd w:val="clear" w:color="auto" w:fill="FFFFFF"/>
          <w:lang w:val="en-US" w:eastAsia="zh-CN"/>
        </w:rPr>
        <w:t>（3）集电线路</w:t>
      </w:r>
    </w:p>
    <w:p>
      <w:pPr>
        <w:widowControl w:val="0"/>
        <w:adjustRightInd w:val="0"/>
        <w:snapToGrid w:val="0"/>
        <w:spacing w:after="0" w:line="360" w:lineRule="auto"/>
        <w:ind w:left="0" w:leftChars="0" w:firstLine="480" w:firstLineChars="200"/>
        <w:jc w:val="both"/>
        <w:rPr>
          <w:rFonts w:hint="eastAsia" w:ascii="Times New Roman"/>
          <w:color w:val="000000"/>
          <w:sz w:val="24"/>
          <w:shd w:val="clear" w:color="auto" w:fill="FFFFFF"/>
          <w:lang w:val="en-US" w:eastAsia="zh-CN"/>
        </w:rPr>
      </w:pPr>
      <w:r>
        <w:rPr>
          <w:rFonts w:hint="eastAsia" w:ascii="Times New Roman"/>
          <w:color w:val="000000"/>
          <w:sz w:val="24"/>
          <w:shd w:val="clear" w:color="auto" w:fill="FFFFFF"/>
          <w:lang w:val="en-US" w:eastAsia="zh-CN"/>
        </w:rPr>
        <w:t>集电线路总长度增加8.794km，其中直埋电缆沟增加29.864km，架空线路减少21.07km，架空线路塔基减少127基。</w:t>
      </w:r>
    </w:p>
    <w:p>
      <w:pPr>
        <w:widowControl w:val="0"/>
        <w:adjustRightInd w:val="0"/>
        <w:snapToGrid w:val="0"/>
        <w:spacing w:after="0" w:line="360" w:lineRule="auto"/>
        <w:ind w:left="0" w:leftChars="0" w:firstLine="480" w:firstLineChars="200"/>
        <w:jc w:val="both"/>
        <w:rPr>
          <w:rFonts w:hint="default" w:ascii="Times New Roman"/>
          <w:color w:val="000000"/>
          <w:sz w:val="24"/>
          <w:shd w:val="clear" w:color="auto" w:fill="FFFFFF"/>
          <w:lang w:val="en-US" w:eastAsia="zh-CN"/>
        </w:rPr>
      </w:pPr>
      <w:r>
        <w:rPr>
          <w:rFonts w:hint="eastAsia" w:ascii="Times New Roman"/>
          <w:color w:val="000000"/>
          <w:sz w:val="24"/>
          <w:shd w:val="clear" w:color="auto" w:fill="FFFFFF"/>
          <w:lang w:val="en-US" w:eastAsia="zh-CN"/>
        </w:rPr>
        <w:t>（4）场内道路</w:t>
      </w:r>
    </w:p>
    <w:p>
      <w:pPr>
        <w:widowControl w:val="0"/>
        <w:adjustRightInd w:val="0"/>
        <w:snapToGrid w:val="0"/>
        <w:spacing w:after="0" w:line="360" w:lineRule="auto"/>
        <w:ind w:left="0" w:leftChars="0" w:firstLine="480" w:firstLineChars="200"/>
        <w:jc w:val="both"/>
        <w:rPr>
          <w:rFonts w:hint="eastAsia" w:ascii="Times New Roman"/>
          <w:color w:val="000000"/>
          <w:sz w:val="24"/>
          <w:shd w:val="clear" w:color="auto" w:fill="FFFFFF"/>
          <w:lang w:val="en-US" w:eastAsia="zh-CN"/>
        </w:rPr>
      </w:pPr>
      <w:r>
        <w:rPr>
          <w:rFonts w:hint="eastAsia" w:ascii="Times New Roman"/>
          <w:color w:val="000000"/>
          <w:sz w:val="24"/>
          <w:shd w:val="clear" w:color="auto" w:fill="FFFFFF"/>
          <w:lang w:val="en-US" w:eastAsia="zh-CN"/>
        </w:rPr>
        <w:t>方阵区新建道路减少1.41km，改扩建道路增加3.09km，新建道路优化道路设计，路基宽度有所增加；进站道路减少0.11km，路基增宽2.00m，补充修建了1.22km施工便道。</w:t>
      </w:r>
    </w:p>
    <w:p>
      <w:pPr>
        <w:widowControl w:val="0"/>
        <w:adjustRightInd w:val="0"/>
        <w:snapToGrid w:val="0"/>
        <w:spacing w:after="0" w:line="360" w:lineRule="auto"/>
        <w:ind w:left="0" w:leftChars="0" w:firstLine="480" w:firstLineChars="200"/>
        <w:jc w:val="both"/>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项目已于2023年12月委托中国能源建设集团云南省电力设计院有限公司编制完成了《华能华能元谋马头地光伏电站项目水土保持方案变更报告书》。</w:t>
      </w:r>
    </w:p>
    <w:p>
      <w:pPr>
        <w:widowControl w:val="0"/>
        <w:adjustRightInd w:val="0"/>
        <w:snapToGrid w:val="0"/>
        <w:spacing w:after="0" w:line="360" w:lineRule="auto"/>
        <w:ind w:left="0" w:leftChars="0" w:firstLine="480" w:firstLineChars="200"/>
        <w:jc w:val="both"/>
        <w:rPr>
          <w:rFonts w:hint="default" w:ascii="Times New Roman"/>
          <w:color w:val="000000"/>
          <w:sz w:val="24"/>
          <w:shd w:val="clear" w:color="auto" w:fill="FFFFFF"/>
          <w:lang w:val="en-US" w:eastAsia="zh-CN"/>
        </w:rPr>
      </w:pPr>
      <w:r>
        <w:rPr>
          <w:rFonts w:hint="eastAsia" w:ascii="Times New Roman"/>
          <w:color w:val="000000"/>
          <w:sz w:val="24"/>
          <w:shd w:val="clear" w:color="auto" w:fill="FFFFFF"/>
          <w:lang w:val="en-US" w:eastAsia="zh-CN"/>
        </w:rPr>
        <w:t>原环评阶段升压站位置布置于马头地地块光伏板区东面坡地，项目变更后，升压站位置布置于沙沟地块光伏板区东面，升压站位置变更前后的站址直线距离约为5423m，电磁环境敏感点发生变化，站址变化大于500m，属于环办辐射﹝2016﹞84号文件规定的变电站、换流站、开关站、串补站站址位移超过500米，因此需要开展项目变更的环境影响评价，上报审批部门审批。具体情况见下表。</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根据环办辐射</w:t>
      </w:r>
      <w:r>
        <w:rPr>
          <w:rFonts w:hint="eastAsia" w:ascii="宋体" w:hAnsi="宋体" w:eastAsia="宋体" w:cs="宋体"/>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2016</w:t>
      </w:r>
      <w:r>
        <w:rPr>
          <w:rFonts w:hint="eastAsia" w:ascii="宋体" w:hAnsi="宋体" w:eastAsia="宋体" w:cs="宋体"/>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84号梳理项目变动情况表</w:t>
      </w:r>
    </w:p>
    <w:tbl>
      <w:tblPr>
        <w:tblStyle w:val="19"/>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2550"/>
        <w:gridCol w:w="2572"/>
        <w:gridCol w:w="1135"/>
        <w:gridCol w:w="215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000000"/>
                <w:kern w:val="2"/>
                <w:sz w:val="21"/>
                <w:szCs w:val="24"/>
                <w:shd w:val="clear" w:color="auto" w:fill="FFFFFF"/>
                <w:lang w:val="en-US" w:eastAsia="zh-CN" w:bidi="ar-SA"/>
              </w:rPr>
            </w:pPr>
            <w:r>
              <w:rPr>
                <w:rFonts w:hint="eastAsia" w:ascii="Times New Roman" w:hAnsi="Times New Roman" w:eastAsia="宋体" w:cs="Times New Roman"/>
                <w:color w:val="000000"/>
                <w:kern w:val="2"/>
                <w:sz w:val="21"/>
                <w:szCs w:val="24"/>
                <w:shd w:val="clear" w:color="auto" w:fill="FFFFFF"/>
                <w:lang w:val="en-US" w:eastAsia="zh-CN" w:bidi="ar-SA"/>
              </w:rPr>
              <w:t>项目</w:t>
            </w:r>
          </w:p>
        </w:tc>
        <w:tc>
          <w:tcPr>
            <w:tcW w:w="25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000000"/>
                <w:kern w:val="2"/>
                <w:sz w:val="21"/>
                <w:szCs w:val="24"/>
                <w:shd w:val="clear" w:color="auto" w:fill="FFFFFF"/>
                <w:lang w:val="en-US" w:eastAsia="zh-CN" w:bidi="ar-SA"/>
              </w:rPr>
            </w:pPr>
            <w:r>
              <w:rPr>
                <w:rFonts w:hint="eastAsia" w:ascii="Times New Roman" w:hAnsi="Times New Roman" w:eastAsia="宋体" w:cs="Times New Roman"/>
                <w:color w:val="000000"/>
                <w:kern w:val="2"/>
                <w:sz w:val="21"/>
                <w:szCs w:val="24"/>
                <w:shd w:val="clear" w:color="auto" w:fill="FFFFFF"/>
                <w:lang w:val="en-US" w:eastAsia="zh-CN" w:bidi="ar-SA"/>
              </w:rPr>
              <w:t>项目变更前</w:t>
            </w:r>
          </w:p>
        </w:tc>
        <w:tc>
          <w:tcPr>
            <w:tcW w:w="2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000000"/>
                <w:kern w:val="2"/>
                <w:sz w:val="21"/>
                <w:szCs w:val="24"/>
                <w:shd w:val="clear" w:color="auto" w:fill="FFFFFF"/>
                <w:lang w:val="en-US" w:eastAsia="zh-CN" w:bidi="ar-SA"/>
              </w:rPr>
            </w:pPr>
            <w:r>
              <w:rPr>
                <w:rFonts w:hint="eastAsia" w:ascii="Times New Roman" w:hAnsi="Times New Roman" w:eastAsia="宋体" w:cs="Times New Roman"/>
                <w:color w:val="000000"/>
                <w:kern w:val="2"/>
                <w:sz w:val="21"/>
                <w:szCs w:val="24"/>
                <w:shd w:val="clear" w:color="auto" w:fill="FFFFFF"/>
                <w:lang w:val="en-US" w:eastAsia="zh-CN" w:bidi="ar-SA"/>
              </w:rPr>
              <w:t>项目变更后</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000000"/>
                <w:kern w:val="2"/>
                <w:sz w:val="21"/>
                <w:szCs w:val="24"/>
                <w:shd w:val="clear" w:color="auto" w:fill="FFFFFF"/>
                <w:lang w:val="en-US" w:eastAsia="zh-CN" w:bidi="ar-SA"/>
              </w:rPr>
            </w:pPr>
            <w:r>
              <w:rPr>
                <w:rFonts w:hint="eastAsia" w:ascii="Times New Roman" w:hAnsi="Times New Roman" w:eastAsia="宋体" w:cs="Times New Roman"/>
                <w:color w:val="000000"/>
                <w:kern w:val="2"/>
                <w:sz w:val="21"/>
                <w:szCs w:val="24"/>
                <w:shd w:val="clear" w:color="auto" w:fill="FFFFFF"/>
                <w:lang w:val="en-US" w:eastAsia="zh-CN" w:bidi="ar-SA"/>
              </w:rPr>
              <w:t>是否属重大变动</w:t>
            </w:r>
          </w:p>
        </w:tc>
        <w:tc>
          <w:tcPr>
            <w:tcW w:w="21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000000"/>
                <w:kern w:val="2"/>
                <w:sz w:val="21"/>
                <w:szCs w:val="24"/>
                <w:shd w:val="clear" w:color="auto" w:fill="FFFFFF"/>
                <w:lang w:val="en-US" w:eastAsia="zh-CN" w:bidi="ar-SA"/>
              </w:rPr>
            </w:pPr>
            <w:r>
              <w:rPr>
                <w:rFonts w:hint="eastAsia" w:ascii="Times New Roman" w:hAnsi="Times New Roman" w:eastAsia="宋体" w:cs="Times New Roman"/>
                <w:color w:val="000000"/>
                <w:kern w:val="2"/>
                <w:sz w:val="21"/>
                <w:szCs w:val="24"/>
                <w:shd w:val="clear" w:color="auto" w:fill="FFFFFF"/>
                <w:lang w:val="en-US" w:eastAsia="zh-CN" w:bidi="ar-SA"/>
              </w:rPr>
              <w:t>环办辐射﹝2016﹞84号文规定的重大变动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5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000000"/>
                <w:kern w:val="2"/>
                <w:sz w:val="21"/>
                <w:szCs w:val="24"/>
                <w:shd w:val="clear" w:color="auto" w:fill="FFFFFF"/>
                <w:lang w:val="en-US" w:eastAsia="zh-CN" w:bidi="ar-SA"/>
              </w:rPr>
            </w:pPr>
            <w:r>
              <w:rPr>
                <w:rFonts w:hint="eastAsia" w:ascii="Times New Roman" w:hAnsi="Times New Roman" w:eastAsia="宋体" w:cs="Times New Roman"/>
                <w:color w:val="000000"/>
                <w:kern w:val="2"/>
                <w:sz w:val="21"/>
                <w:szCs w:val="24"/>
                <w:shd w:val="clear" w:color="auto" w:fill="FFFFFF"/>
                <w:lang w:val="en-US" w:eastAsia="zh-CN" w:bidi="ar-SA"/>
              </w:rPr>
              <w:t>规模</w:t>
            </w:r>
          </w:p>
        </w:tc>
        <w:tc>
          <w:tcPr>
            <w:tcW w:w="25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000000"/>
                <w:kern w:val="2"/>
                <w:sz w:val="21"/>
                <w:szCs w:val="24"/>
                <w:shd w:val="clear" w:color="auto" w:fill="FFFFFF"/>
                <w:lang w:val="en-US" w:eastAsia="zh-CN" w:bidi="ar-SA"/>
              </w:rPr>
            </w:pPr>
            <w:r>
              <w:rPr>
                <w:rFonts w:hint="eastAsia" w:ascii="Times New Roman" w:hAnsi="Times New Roman" w:eastAsia="宋体" w:cs="Times New Roman"/>
                <w:color w:val="000000"/>
                <w:kern w:val="2"/>
                <w:sz w:val="21"/>
                <w:szCs w:val="24"/>
                <w:shd w:val="clear" w:color="auto" w:fill="FFFFFF"/>
                <w:lang w:val="en-US" w:eastAsia="zh-CN" w:bidi="ar-SA"/>
              </w:rPr>
              <w:t>额定容量170.128MW</w:t>
            </w:r>
          </w:p>
        </w:tc>
        <w:tc>
          <w:tcPr>
            <w:tcW w:w="2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000000"/>
                <w:kern w:val="2"/>
                <w:sz w:val="21"/>
                <w:szCs w:val="24"/>
                <w:shd w:val="clear" w:color="auto" w:fill="FFFFFF"/>
                <w:lang w:val="en-US" w:eastAsia="zh-CN" w:bidi="ar-SA"/>
              </w:rPr>
            </w:pPr>
            <w:r>
              <w:rPr>
                <w:rFonts w:hint="eastAsia" w:ascii="Times New Roman" w:hAnsi="Times New Roman" w:eastAsia="宋体" w:cs="Times New Roman"/>
                <w:color w:val="000000"/>
                <w:kern w:val="2"/>
                <w:sz w:val="21"/>
                <w:szCs w:val="24"/>
                <w:shd w:val="clear" w:color="auto" w:fill="FFFFFF"/>
                <w:lang w:val="en-US" w:eastAsia="zh-CN" w:bidi="ar-SA"/>
              </w:rPr>
              <w:t>额定容量170MW</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000000"/>
                <w:kern w:val="2"/>
                <w:sz w:val="21"/>
                <w:szCs w:val="24"/>
                <w:shd w:val="clear" w:color="auto" w:fill="FFFFFF"/>
                <w:lang w:val="en-US" w:eastAsia="zh-CN" w:bidi="ar-SA"/>
              </w:rPr>
            </w:pPr>
            <w:r>
              <w:rPr>
                <w:rFonts w:hint="eastAsia" w:ascii="Times New Roman" w:hAnsi="Times New Roman" w:eastAsia="宋体" w:cs="Times New Roman"/>
                <w:color w:val="000000"/>
                <w:kern w:val="2"/>
                <w:sz w:val="21"/>
                <w:szCs w:val="24"/>
                <w:shd w:val="clear" w:color="auto" w:fill="FFFFFF"/>
                <w:lang w:val="en-US" w:eastAsia="zh-CN" w:bidi="ar-SA"/>
              </w:rPr>
              <w:t>否</w:t>
            </w:r>
          </w:p>
        </w:tc>
        <w:tc>
          <w:tcPr>
            <w:tcW w:w="21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000000"/>
                <w:kern w:val="2"/>
                <w:sz w:val="21"/>
                <w:szCs w:val="24"/>
                <w:shd w:val="clear" w:color="auto" w:fill="FFFFFF"/>
                <w:lang w:val="en-US" w:eastAsia="zh-CN" w:bidi="ar-SA"/>
              </w:rPr>
            </w:pPr>
            <w:r>
              <w:rPr>
                <w:rFonts w:hint="eastAsia" w:ascii="Times New Roman" w:hAnsi="Times New Roman" w:eastAsia="宋体" w:cs="Times New Roman"/>
                <w:color w:val="000000"/>
                <w:kern w:val="2"/>
                <w:sz w:val="21"/>
                <w:szCs w:val="24"/>
                <w:shd w:val="clear" w:color="auto" w:fill="FFFFFF"/>
                <w:lang w:val="en-US" w:eastAsia="zh-CN" w:bidi="ar-SA"/>
              </w:rPr>
              <w:t>主变压器、换流变压器、高压电抗器等主要设备总数量增加超过原数量的</w:t>
            </w:r>
            <w:r>
              <w:rPr>
                <w:rFonts w:hint="default" w:ascii="Times New Roman" w:hAnsi="Times New Roman" w:eastAsia="宋体" w:cs="Times New Roman"/>
                <w:color w:val="000000"/>
                <w:kern w:val="2"/>
                <w:sz w:val="21"/>
                <w:szCs w:val="24"/>
                <w:shd w:val="clear" w:color="auto" w:fill="FFFFFF"/>
                <w:lang w:val="en-US" w:eastAsia="zh-CN" w:bidi="ar-SA"/>
              </w:rPr>
              <w:t>30%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000000"/>
                <w:kern w:val="2"/>
                <w:sz w:val="21"/>
                <w:szCs w:val="24"/>
                <w:shd w:val="clear" w:color="auto" w:fill="FFFFFF"/>
                <w:lang w:val="en-US" w:eastAsia="zh-CN" w:bidi="ar-SA"/>
              </w:rPr>
            </w:pPr>
          </w:p>
        </w:tc>
        <w:tc>
          <w:tcPr>
            <w:tcW w:w="25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000000"/>
                <w:kern w:val="2"/>
                <w:sz w:val="21"/>
                <w:szCs w:val="24"/>
                <w:shd w:val="clear" w:color="auto" w:fill="FFFFFF"/>
                <w:lang w:val="en-US" w:eastAsia="zh-CN" w:bidi="ar-SA"/>
              </w:rPr>
            </w:pPr>
            <w:r>
              <w:rPr>
                <w:rFonts w:hint="eastAsia" w:ascii="Times New Roman" w:hAnsi="Times New Roman" w:eastAsia="宋体" w:cs="Times New Roman"/>
                <w:color w:val="000000"/>
                <w:kern w:val="2"/>
                <w:sz w:val="21"/>
                <w:szCs w:val="24"/>
                <w:shd w:val="clear" w:color="auto" w:fill="FFFFFF"/>
                <w:lang w:val="en-US" w:eastAsia="zh-CN" w:bidi="ar-SA"/>
              </w:rPr>
              <w:t>1座220kV升压站</w:t>
            </w:r>
          </w:p>
        </w:tc>
        <w:tc>
          <w:tcPr>
            <w:tcW w:w="2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000000"/>
                <w:kern w:val="2"/>
                <w:sz w:val="21"/>
                <w:szCs w:val="24"/>
                <w:shd w:val="clear" w:color="auto" w:fill="FFFFFF"/>
                <w:lang w:val="en-US" w:eastAsia="zh-CN" w:bidi="ar-SA"/>
              </w:rPr>
            </w:pPr>
            <w:r>
              <w:rPr>
                <w:rFonts w:hint="eastAsia" w:ascii="Times New Roman" w:hAnsi="Times New Roman" w:eastAsia="宋体" w:cs="Times New Roman"/>
                <w:color w:val="000000"/>
                <w:kern w:val="2"/>
                <w:sz w:val="21"/>
                <w:szCs w:val="24"/>
                <w:shd w:val="clear" w:color="auto" w:fill="FFFFFF"/>
                <w:lang w:val="en-US" w:eastAsia="zh-CN" w:bidi="ar-SA"/>
              </w:rPr>
              <w:t>1座110kV升压站</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000000"/>
                <w:kern w:val="2"/>
                <w:sz w:val="21"/>
                <w:szCs w:val="24"/>
                <w:shd w:val="clear" w:color="auto" w:fill="FFFFFF"/>
                <w:lang w:val="en-US" w:eastAsia="zh-CN" w:bidi="ar-SA"/>
              </w:rPr>
            </w:pPr>
            <w:r>
              <w:rPr>
                <w:rFonts w:hint="eastAsia" w:ascii="Times New Roman" w:hAnsi="Times New Roman" w:eastAsia="宋体" w:cs="Times New Roman"/>
                <w:color w:val="000000"/>
                <w:kern w:val="2"/>
                <w:sz w:val="21"/>
                <w:szCs w:val="24"/>
                <w:shd w:val="clear" w:color="auto" w:fill="FFFFFF"/>
                <w:lang w:val="en-US" w:eastAsia="zh-CN" w:bidi="ar-SA"/>
              </w:rPr>
              <w:t>否</w:t>
            </w:r>
          </w:p>
        </w:tc>
        <w:tc>
          <w:tcPr>
            <w:tcW w:w="2152" w:type="dxa"/>
            <w:tcBorders>
              <w:tl2br w:val="nil"/>
              <w:tr2bl w:val="nil"/>
            </w:tcBorders>
            <w:noWrap w:val="0"/>
            <w:vAlign w:val="center"/>
          </w:tcPr>
          <w:p>
            <w:pPr>
              <w:keepNext w:val="0"/>
              <w:keepLines w:val="0"/>
              <w:widowControl/>
              <w:suppressLineNumbers w:val="0"/>
              <w:spacing w:line="240" w:lineRule="auto"/>
              <w:ind w:left="0" w:leftChars="0" w:right="0" w:rightChars="0" w:firstLine="0" w:firstLineChars="0"/>
              <w:jc w:val="center"/>
              <w:rPr>
                <w:rFonts w:hint="eastAsia" w:ascii="Times New Roman" w:hAnsi="Times New Roman" w:eastAsia="宋体" w:cs="Times New Roman"/>
                <w:color w:val="000000"/>
                <w:kern w:val="2"/>
                <w:sz w:val="21"/>
                <w:szCs w:val="24"/>
                <w:shd w:val="clear" w:color="auto" w:fill="FFFFFF"/>
                <w:lang w:val="en-US" w:eastAsia="zh-CN" w:bidi="ar-SA"/>
              </w:rPr>
            </w:pPr>
            <w:r>
              <w:rPr>
                <w:rFonts w:hint="eastAsia" w:ascii="Times New Roman" w:hAnsi="Times New Roman" w:eastAsia="宋体" w:cs="Times New Roman"/>
                <w:color w:val="000000"/>
                <w:kern w:val="2"/>
                <w:sz w:val="21"/>
                <w:szCs w:val="24"/>
                <w:shd w:val="clear" w:color="auto" w:fill="FFFFFF"/>
                <w:lang w:val="en-US" w:eastAsia="zh-CN" w:bidi="ar-SA"/>
              </w:rPr>
              <w:t>电压等级升高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65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000000"/>
                <w:kern w:val="2"/>
                <w:sz w:val="21"/>
                <w:szCs w:val="24"/>
                <w:shd w:val="clear" w:color="auto" w:fill="FFFFFF"/>
                <w:lang w:val="en-US" w:eastAsia="zh-CN" w:bidi="ar-SA"/>
              </w:rPr>
            </w:pPr>
            <w:r>
              <w:rPr>
                <w:rFonts w:hint="eastAsia" w:ascii="Times New Roman" w:hAnsi="Times New Roman" w:eastAsia="宋体" w:cs="Times New Roman"/>
                <w:color w:val="000000"/>
                <w:kern w:val="2"/>
                <w:sz w:val="21"/>
                <w:szCs w:val="24"/>
                <w:shd w:val="clear" w:color="auto" w:fill="FFFFFF"/>
                <w:lang w:val="en-US" w:eastAsia="zh-CN" w:bidi="ar-SA"/>
              </w:rPr>
              <w:t>地点</w:t>
            </w:r>
          </w:p>
        </w:tc>
        <w:tc>
          <w:tcPr>
            <w:tcW w:w="25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000000"/>
                <w:kern w:val="2"/>
                <w:sz w:val="21"/>
                <w:szCs w:val="24"/>
                <w:shd w:val="clear" w:color="auto" w:fill="FFFFFF"/>
                <w:lang w:val="en-US" w:eastAsia="zh-CN" w:bidi="ar-SA"/>
              </w:rPr>
            </w:pPr>
            <w:r>
              <w:rPr>
                <w:rFonts w:hint="eastAsia" w:ascii="Times New Roman" w:hAnsi="Times New Roman" w:eastAsia="宋体" w:cs="Times New Roman"/>
                <w:color w:val="000000"/>
                <w:kern w:val="2"/>
                <w:sz w:val="21"/>
                <w:szCs w:val="24"/>
                <w:shd w:val="clear" w:color="auto" w:fill="FFFFFF"/>
                <w:lang w:val="en-US" w:eastAsia="zh-CN" w:bidi="ar-SA"/>
              </w:rPr>
              <w:t>云南省楚雄州元谋县老城乡、元马镇，从北至南分为老凹塘地块、M24地块、M25地块、沙沟地块、松树湾地块、马头地地块共6个片区，总占地面积</w:t>
            </w:r>
            <w:r>
              <w:rPr>
                <w:rFonts w:hint="eastAsia" w:ascii="Times New Roman" w:hAnsi="Times New Roman" w:eastAsia="宋体" w:cs="Times New Roman"/>
                <w:kern w:val="2"/>
                <w:sz w:val="24"/>
                <w:szCs w:val="21"/>
                <w:lang w:val="en-US" w:eastAsia="zh-CN" w:bidi="ar-SA"/>
              </w:rPr>
              <w:t>3105.16亩。</w:t>
            </w:r>
          </w:p>
        </w:tc>
        <w:tc>
          <w:tcPr>
            <w:tcW w:w="2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000000"/>
                <w:kern w:val="2"/>
                <w:sz w:val="21"/>
                <w:szCs w:val="24"/>
                <w:shd w:val="clear" w:color="auto" w:fill="FFFFFF"/>
                <w:lang w:val="en-US" w:eastAsia="zh-CN" w:bidi="ar-SA"/>
              </w:rPr>
            </w:pPr>
            <w:r>
              <w:rPr>
                <w:rFonts w:hint="eastAsia" w:ascii="Times New Roman" w:hAnsi="Times New Roman" w:eastAsia="宋体" w:cs="Times New Roman"/>
                <w:color w:val="000000"/>
                <w:kern w:val="2"/>
                <w:sz w:val="21"/>
                <w:szCs w:val="24"/>
                <w:shd w:val="clear" w:color="auto" w:fill="FFFFFF"/>
                <w:lang w:val="en-US" w:eastAsia="zh-CN" w:bidi="ar-SA"/>
              </w:rPr>
              <w:t>云南省楚雄州元谋县老城乡，分为沙沟地块、松树湾地块、阿郎地块共3个地块，总占地面积3707.61亩</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000000"/>
                <w:kern w:val="2"/>
                <w:sz w:val="21"/>
                <w:szCs w:val="24"/>
                <w:shd w:val="clear" w:color="auto" w:fill="FFFFFF"/>
                <w:lang w:val="en-US" w:eastAsia="zh-CN" w:bidi="ar-SA"/>
              </w:rPr>
            </w:pPr>
            <w:r>
              <w:rPr>
                <w:rFonts w:hint="eastAsia" w:ascii="Times New Roman" w:hAnsi="Times New Roman" w:eastAsia="宋体" w:cs="Times New Roman"/>
                <w:color w:val="000000"/>
                <w:kern w:val="2"/>
                <w:sz w:val="21"/>
                <w:szCs w:val="24"/>
                <w:shd w:val="clear" w:color="auto" w:fill="FFFFFF"/>
                <w:lang w:val="en-US" w:eastAsia="zh-CN" w:bidi="ar-SA"/>
              </w:rPr>
              <w:t>否</w:t>
            </w:r>
          </w:p>
        </w:tc>
        <w:tc>
          <w:tcPr>
            <w:tcW w:w="21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000000"/>
                <w:kern w:val="2"/>
                <w:sz w:val="21"/>
                <w:szCs w:val="24"/>
                <w:shd w:val="clear" w:color="auto" w:fill="FFFFFF"/>
                <w:lang w:val="en-US" w:eastAsia="zh-CN" w:bidi="ar-SA"/>
              </w:rPr>
            </w:pPr>
            <w:r>
              <w:rPr>
                <w:rFonts w:hint="eastAsia" w:ascii="Times New Roman" w:hAnsi="Times New Roman" w:eastAsia="宋体" w:cs="Times New Roman"/>
                <w:color w:val="000000"/>
                <w:kern w:val="2"/>
                <w:sz w:val="21"/>
                <w:szCs w:val="24"/>
                <w:shd w:val="clear" w:color="auto" w:fill="FFFFFF"/>
                <w:lang w:val="en-US" w:eastAsia="zh-CN" w:bidi="ar-SA"/>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6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000000"/>
                <w:kern w:val="2"/>
                <w:sz w:val="21"/>
                <w:szCs w:val="24"/>
                <w:shd w:val="clear" w:color="auto" w:fill="FFFFFF"/>
                <w:lang w:val="en-US" w:eastAsia="zh-CN" w:bidi="ar-SA"/>
              </w:rPr>
            </w:pPr>
          </w:p>
        </w:tc>
        <w:tc>
          <w:tcPr>
            <w:tcW w:w="255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000000"/>
                <w:kern w:val="2"/>
                <w:sz w:val="21"/>
                <w:szCs w:val="24"/>
                <w:shd w:val="clear" w:color="auto" w:fill="FFFFFF"/>
                <w:lang w:val="en-US" w:eastAsia="zh-CN" w:bidi="ar-SA"/>
              </w:rPr>
            </w:pPr>
            <w:r>
              <w:rPr>
                <w:rFonts w:hint="eastAsia" w:ascii="Times New Roman" w:hAnsi="Times New Roman" w:eastAsia="宋体" w:cs="Times New Roman"/>
                <w:color w:val="000000"/>
                <w:kern w:val="2"/>
                <w:sz w:val="21"/>
                <w:szCs w:val="24"/>
                <w:shd w:val="clear" w:color="auto" w:fill="FFFFFF"/>
                <w:lang w:val="en-US" w:eastAsia="zh-CN" w:bidi="ar-SA"/>
              </w:rPr>
              <w:t>升压站：原环评马头地片区</w:t>
            </w:r>
          </w:p>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000000"/>
                <w:kern w:val="2"/>
                <w:sz w:val="21"/>
                <w:szCs w:val="24"/>
                <w:shd w:val="clear" w:color="auto" w:fill="FFFFFF"/>
                <w:lang w:val="en-US" w:eastAsia="zh-CN" w:bidi="ar-SA"/>
              </w:rPr>
            </w:pPr>
            <w:r>
              <w:rPr>
                <w:rFonts w:hint="eastAsia" w:cs="Times New Roman"/>
                <w:color w:val="000000"/>
                <w:kern w:val="2"/>
                <w:sz w:val="21"/>
                <w:szCs w:val="24"/>
                <w:shd w:val="clear" w:color="auto" w:fill="FFFFFF"/>
                <w:lang w:val="en-US" w:eastAsia="zh-CN" w:bidi="ar-SA"/>
              </w:rPr>
              <w:t>（</w:t>
            </w:r>
            <w:r>
              <w:rPr>
                <w:rFonts w:hint="eastAsia" w:ascii="Times New Roman" w:hAnsi="Times New Roman" w:eastAsia="宋体" w:cs="Times New Roman"/>
                <w:color w:val="000000"/>
                <w:kern w:val="2"/>
                <w:sz w:val="21"/>
                <w:szCs w:val="24"/>
                <w:shd w:val="clear" w:color="auto" w:fill="FFFFFF"/>
                <w:lang w:val="en-US" w:eastAsia="zh-CN" w:bidi="ar-SA"/>
              </w:rPr>
              <w:t>坐标：101°51′27.467″，25°35′0.170″</w:t>
            </w:r>
            <w:r>
              <w:rPr>
                <w:rFonts w:hint="eastAsia" w:cs="Times New Roman"/>
                <w:color w:val="000000"/>
                <w:kern w:val="2"/>
                <w:sz w:val="21"/>
                <w:szCs w:val="24"/>
                <w:shd w:val="clear" w:color="auto" w:fill="FFFFFF"/>
                <w:lang w:val="en-US" w:eastAsia="zh-CN" w:bidi="ar-SA"/>
              </w:rPr>
              <w:t>）</w:t>
            </w:r>
          </w:p>
        </w:tc>
        <w:tc>
          <w:tcPr>
            <w:tcW w:w="2572"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000000"/>
                <w:kern w:val="2"/>
                <w:sz w:val="21"/>
                <w:szCs w:val="24"/>
                <w:shd w:val="clear" w:color="auto" w:fill="FFFFFF"/>
                <w:lang w:val="en-US" w:eastAsia="zh-CN" w:bidi="ar-SA"/>
              </w:rPr>
            </w:pPr>
            <w:r>
              <w:rPr>
                <w:rFonts w:hint="eastAsia" w:ascii="Times New Roman" w:hAnsi="Times New Roman" w:eastAsia="宋体" w:cs="Times New Roman"/>
                <w:color w:val="000000"/>
                <w:kern w:val="2"/>
                <w:sz w:val="21"/>
                <w:szCs w:val="24"/>
                <w:shd w:val="clear" w:color="auto" w:fill="FFFFFF"/>
                <w:lang w:val="en-US" w:eastAsia="zh-CN" w:bidi="ar-SA"/>
              </w:rPr>
              <w:t>升压站：沙沟光伏地块东侧，丙令哨村西南侧约450m处</w:t>
            </w:r>
          </w:p>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000000"/>
                <w:kern w:val="2"/>
                <w:sz w:val="21"/>
                <w:szCs w:val="24"/>
                <w:shd w:val="clear" w:color="auto" w:fill="FFFFFF"/>
                <w:lang w:val="en-US" w:eastAsia="zh-CN" w:bidi="ar-SA"/>
              </w:rPr>
            </w:pPr>
            <w:r>
              <w:rPr>
                <w:rFonts w:hint="eastAsia" w:ascii="Times New Roman" w:hAnsi="Times New Roman" w:eastAsia="宋体" w:cs="Times New Roman"/>
                <w:color w:val="000000"/>
                <w:kern w:val="2"/>
                <w:sz w:val="21"/>
                <w:szCs w:val="24"/>
                <w:shd w:val="clear" w:color="auto" w:fill="FFFFFF"/>
                <w:lang w:val="en-US" w:eastAsia="zh-CN" w:bidi="ar-SA"/>
              </w:rPr>
              <w:t>（坐标：101°49′9.618″，25°37′4.590″）</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000000"/>
                <w:kern w:val="2"/>
                <w:sz w:val="21"/>
                <w:szCs w:val="24"/>
                <w:shd w:val="clear" w:color="auto" w:fill="FFFFFF"/>
                <w:lang w:val="en-US" w:eastAsia="zh-CN" w:bidi="ar-SA"/>
              </w:rPr>
            </w:pPr>
            <w:r>
              <w:rPr>
                <w:rFonts w:hint="eastAsia" w:ascii="Times New Roman" w:hAnsi="Times New Roman" w:eastAsia="宋体" w:cs="Times New Roman"/>
                <w:color w:val="000000"/>
                <w:kern w:val="2"/>
                <w:sz w:val="21"/>
                <w:szCs w:val="24"/>
                <w:shd w:val="clear" w:color="auto" w:fill="FFFFFF"/>
                <w:lang w:val="en-US" w:eastAsia="zh-CN" w:bidi="ar-SA"/>
              </w:rPr>
              <w:t>是</w:t>
            </w:r>
          </w:p>
        </w:tc>
        <w:tc>
          <w:tcPr>
            <w:tcW w:w="21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000000"/>
                <w:kern w:val="2"/>
                <w:sz w:val="21"/>
                <w:szCs w:val="24"/>
                <w:shd w:val="clear" w:color="auto" w:fill="FFFFFF"/>
                <w:lang w:val="en-US" w:eastAsia="zh-CN" w:bidi="ar-SA"/>
              </w:rPr>
            </w:pPr>
            <w:r>
              <w:rPr>
                <w:rFonts w:hint="eastAsia" w:ascii="Times New Roman" w:hAnsi="Times New Roman" w:eastAsia="宋体" w:cs="Times New Roman"/>
                <w:color w:val="000000"/>
                <w:kern w:val="2"/>
                <w:sz w:val="21"/>
                <w:szCs w:val="24"/>
                <w:shd w:val="clear" w:color="auto" w:fill="FFFFFF"/>
                <w:lang w:val="en-US" w:eastAsia="zh-CN" w:bidi="ar-SA"/>
              </w:rPr>
              <w:t>变电站、换流站、开关站、串补站站址位移超过500米。</w:t>
            </w:r>
          </w:p>
        </w:tc>
      </w:tr>
    </w:tbl>
    <w:p>
      <w:pPr>
        <w:adjustRightInd w:val="0"/>
        <w:snapToGrid w:val="0"/>
        <w:spacing w:line="360" w:lineRule="auto"/>
        <w:ind w:firstLine="480" w:firstLineChars="200"/>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因此，建设单位委托云南纳智环保科技有限公司承担本项目的环境影响评价工作，编制《华能元谋马头地光伏电站（变更）</w:t>
      </w:r>
      <w:r>
        <w:rPr>
          <w:rFonts w:hint="eastAsia" w:ascii="Times New Roman" w:hAnsi="Times New Roman" w:eastAsia="宋体" w:cs="Times New Roman"/>
          <w:color w:val="000000"/>
          <w:sz w:val="24"/>
          <w:shd w:val="clear" w:color="auto" w:fill="FFFFFF"/>
          <w:lang w:val="en-US" w:eastAsia="zh-CN"/>
        </w:rPr>
        <w:t>项目</w:t>
      </w:r>
      <w:r>
        <w:rPr>
          <w:rFonts w:hint="eastAsia" w:ascii="宋体" w:hAnsi="宋体" w:eastAsia="宋体" w:cs="宋体"/>
          <w:kern w:val="0"/>
          <w:sz w:val="24"/>
          <w:lang w:val="en-US" w:eastAsia="zh-CN"/>
        </w:rPr>
        <w:t>环境影响报告表》。</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color w:val="000000"/>
          <w:kern w:val="2"/>
          <w:sz w:val="24"/>
          <w:szCs w:val="24"/>
          <w:shd w:val="clear" w:color="auto" w:fill="FFFFFF"/>
          <w:lang w:val="en-US" w:eastAsia="zh-CN" w:bidi="ar-SA"/>
        </w:rPr>
      </w:pPr>
    </w:p>
    <w:p>
      <w:pPr>
        <w:pStyle w:val="15"/>
        <w:jc w:val="center"/>
        <w:outlineLvl w:val="0"/>
        <w:rPr>
          <w:rFonts w:hint="eastAsia" w:ascii="黑体" w:hAnsi="黑体" w:eastAsia="黑体"/>
          <w:snapToGrid w:val="0"/>
          <w:sz w:val="30"/>
          <w:szCs w:val="30"/>
        </w:rPr>
        <w:sectPr>
          <w:footerReference r:id="rId5" w:type="default"/>
          <w:pgSz w:w="11906" w:h="16838"/>
          <w:pgMar w:top="1701" w:right="1531" w:bottom="1701" w:left="1531"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5" w:name="_Toc5659"/>
      <w:bookmarkStart w:id="6" w:name="_Toc16156"/>
    </w:p>
    <w:p>
      <w:pPr>
        <w:pStyle w:val="15"/>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bookmarkEnd w:id="5"/>
      <w:bookmarkEnd w:id="6"/>
    </w:p>
    <w:tbl>
      <w:tblPr>
        <w:tblStyle w:val="18"/>
        <w:tblW w:w="913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23"/>
        <w:gridCol w:w="2915"/>
        <w:gridCol w:w="1933"/>
        <w:gridCol w:w="31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123" w:type="dxa"/>
            <w:noWrap w:val="0"/>
            <w:tcMar>
              <w:top w:w="16" w:type="dxa"/>
              <w:left w:w="16" w:type="dxa"/>
              <w:right w:w="16" w:type="dxa"/>
            </w:tcMar>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建设项目名称</w:t>
            </w:r>
          </w:p>
        </w:tc>
        <w:tc>
          <w:tcPr>
            <w:tcW w:w="8012" w:type="dxa"/>
            <w:gridSpan w:val="3"/>
            <w:noWrap w:val="0"/>
            <w:vAlign w:val="center"/>
          </w:tcPr>
          <w:p>
            <w:pPr>
              <w:adjustRightInd w:val="0"/>
              <w:snapToGrid w:val="0"/>
              <w:jc w:val="center"/>
              <w:rPr>
                <w:rFonts w:hint="eastAsia" w:ascii="宋体" w:hAnsi="宋体" w:eastAsia="宋体" w:cs="宋体"/>
                <w:color w:val="auto"/>
                <w:sz w:val="24"/>
                <w:szCs w:val="24"/>
                <w:lang w:eastAsia="zh-CN"/>
              </w:rPr>
            </w:pPr>
            <w:r>
              <w:rPr>
                <w:rFonts w:hint="eastAsia" w:ascii="宋体" w:hAnsi="宋体" w:cs="宋体"/>
                <w:color w:val="auto"/>
                <w:sz w:val="24"/>
                <w:szCs w:val="24"/>
              </w:rPr>
              <w:t>华能元谋马头地光伏电站</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变更</w:t>
            </w:r>
            <w:r>
              <w:rPr>
                <w:rFonts w:hint="eastAsia" w:ascii="宋体" w:hAnsi="宋体" w:cs="宋体"/>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123" w:type="dxa"/>
            <w:noWrap w:val="0"/>
            <w:tcMar>
              <w:top w:w="16" w:type="dxa"/>
              <w:left w:w="16" w:type="dxa"/>
              <w:right w:w="16" w:type="dxa"/>
            </w:tcMar>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项目代码</w:t>
            </w:r>
          </w:p>
        </w:tc>
        <w:tc>
          <w:tcPr>
            <w:tcW w:w="8012" w:type="dxa"/>
            <w:gridSpan w:val="3"/>
            <w:noWrap w:val="0"/>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2201-532328-04-01-138087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123" w:type="dxa"/>
            <w:noWrap w:val="0"/>
            <w:tcMar>
              <w:top w:w="16" w:type="dxa"/>
              <w:left w:w="16" w:type="dxa"/>
              <w:right w:w="16" w:type="dxa"/>
            </w:tcMar>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建设单位联系人</w:t>
            </w:r>
          </w:p>
        </w:tc>
        <w:tc>
          <w:tcPr>
            <w:tcW w:w="2915" w:type="dxa"/>
            <w:noWrap w:val="0"/>
            <w:vAlign w:val="center"/>
          </w:tcPr>
          <w:p>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王磊</w:t>
            </w:r>
          </w:p>
        </w:tc>
        <w:tc>
          <w:tcPr>
            <w:tcW w:w="1933" w:type="dxa"/>
            <w:noWrap w:val="0"/>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联系方式</w:t>
            </w:r>
          </w:p>
        </w:tc>
        <w:tc>
          <w:tcPr>
            <w:tcW w:w="3164" w:type="dxa"/>
            <w:noWrap w:val="0"/>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13404800494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123" w:type="dxa"/>
            <w:noWrap w:val="0"/>
            <w:tcMar>
              <w:top w:w="16" w:type="dxa"/>
              <w:left w:w="16" w:type="dxa"/>
              <w:right w:w="16" w:type="dxa"/>
            </w:tcMar>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建设地点</w:t>
            </w:r>
          </w:p>
        </w:tc>
        <w:tc>
          <w:tcPr>
            <w:tcW w:w="8012" w:type="dxa"/>
            <w:gridSpan w:val="3"/>
            <w:noWrap w:val="0"/>
            <w:vAlign w:val="center"/>
          </w:tcPr>
          <w:p>
            <w:pPr>
              <w:adjustRightInd w:val="0"/>
              <w:snapToGrid w:val="0"/>
              <w:jc w:val="center"/>
              <w:rPr>
                <w:rFonts w:hint="eastAsia" w:ascii="宋体" w:hAnsi="宋体" w:cs="宋体"/>
                <w:color w:val="auto"/>
                <w:sz w:val="24"/>
                <w:szCs w:val="24"/>
                <w:u w:val="none"/>
              </w:rPr>
            </w:pPr>
            <w:r>
              <w:rPr>
                <w:rFonts w:hint="eastAsia" w:ascii="宋体" w:hAnsi="宋体" w:cs="宋体"/>
                <w:color w:val="auto"/>
                <w:sz w:val="24"/>
                <w:szCs w:val="24"/>
                <w:u w:val="none"/>
              </w:rPr>
              <w:t>云南省楚雄彝族自治州元谋县老城乡</w:t>
            </w:r>
          </w:p>
          <w:p>
            <w:pPr>
              <w:adjustRightInd w:val="0"/>
              <w:snapToGrid w:val="0"/>
              <w:jc w:val="center"/>
              <w:rPr>
                <w:rFonts w:ascii="宋体" w:hAnsi="宋体" w:cs="宋体"/>
                <w:color w:val="auto"/>
                <w:sz w:val="24"/>
                <w:szCs w:val="24"/>
              </w:rPr>
            </w:pPr>
            <w:r>
              <w:rPr>
                <w:rFonts w:hint="eastAsia" w:ascii="宋体" w:hAnsi="宋体" w:cs="宋体"/>
                <w:color w:val="auto"/>
                <w:sz w:val="24"/>
                <w:szCs w:val="24"/>
                <w:u w:val="single"/>
              </w:rPr>
              <w:t>从北至南分为</w:t>
            </w:r>
            <w:r>
              <w:rPr>
                <w:rFonts w:hint="eastAsia" w:ascii="宋体" w:hAnsi="宋体" w:cs="宋体"/>
                <w:color w:val="auto"/>
                <w:sz w:val="24"/>
                <w:szCs w:val="24"/>
                <w:u w:val="single"/>
                <w:lang w:eastAsia="zh-CN"/>
              </w:rPr>
              <w:t>阿</w:t>
            </w:r>
            <w:r>
              <w:rPr>
                <w:rFonts w:hint="eastAsia" w:ascii="宋体" w:hAnsi="宋体" w:cs="宋体"/>
                <w:color w:val="auto"/>
                <w:sz w:val="24"/>
                <w:szCs w:val="24"/>
                <w:u w:val="single"/>
                <w:lang w:val="en-US" w:eastAsia="zh-CN"/>
              </w:rPr>
              <w:t>郎</w:t>
            </w:r>
            <w:r>
              <w:rPr>
                <w:rFonts w:hint="eastAsia" w:ascii="宋体" w:hAnsi="宋体" w:cs="宋体"/>
                <w:color w:val="auto"/>
                <w:sz w:val="24"/>
                <w:szCs w:val="24"/>
                <w:u w:val="single"/>
              </w:rPr>
              <w:t>地块、沙沟地块、松树湾地块共</w:t>
            </w:r>
            <w:r>
              <w:rPr>
                <w:rFonts w:hint="eastAsia" w:ascii="宋体" w:hAnsi="宋体" w:cs="宋体"/>
                <w:color w:val="auto"/>
                <w:sz w:val="24"/>
                <w:szCs w:val="24"/>
                <w:u w:val="single"/>
                <w:lang w:val="en-US" w:eastAsia="zh-CN"/>
              </w:rPr>
              <w:t>3</w:t>
            </w:r>
            <w:r>
              <w:rPr>
                <w:rFonts w:hint="eastAsia" w:ascii="宋体" w:hAnsi="宋体" w:cs="宋体"/>
                <w:color w:val="auto"/>
                <w:sz w:val="24"/>
                <w:szCs w:val="24"/>
                <w:u w:val="single"/>
              </w:rPr>
              <w:t>个片区（具体地址）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6" w:hRule="atLeast"/>
          <w:jc w:val="center"/>
        </w:trPr>
        <w:tc>
          <w:tcPr>
            <w:tcW w:w="1123" w:type="dxa"/>
            <w:noWrap w:val="0"/>
            <w:tcMar>
              <w:top w:w="16" w:type="dxa"/>
              <w:left w:w="16" w:type="dxa"/>
              <w:right w:w="16" w:type="dxa"/>
            </w:tcMar>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地理坐标</w:t>
            </w:r>
          </w:p>
        </w:tc>
        <w:tc>
          <w:tcPr>
            <w:tcW w:w="8012" w:type="dxa"/>
            <w:gridSpan w:val="3"/>
            <w:noWrap w:val="0"/>
            <w:vAlign w:val="center"/>
          </w:tcPr>
          <w:p>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（东经：</w:t>
            </w:r>
            <w:r>
              <w:rPr>
                <w:rFonts w:hint="eastAsia" w:ascii="宋体" w:hAnsi="宋体" w:cs="宋体"/>
                <w:color w:val="auto"/>
                <w:sz w:val="24"/>
                <w:szCs w:val="24"/>
                <w:u w:val="single"/>
              </w:rPr>
              <w:t>101</w:t>
            </w:r>
            <w:r>
              <w:rPr>
                <w:rFonts w:hint="eastAsia" w:ascii="宋体" w:hAnsi="宋体" w:cs="宋体"/>
                <w:color w:val="auto"/>
                <w:sz w:val="24"/>
                <w:szCs w:val="24"/>
              </w:rPr>
              <w:t>度</w:t>
            </w:r>
            <w:r>
              <w:rPr>
                <w:rFonts w:hint="eastAsia" w:ascii="宋体" w:hAnsi="宋体" w:cs="宋体"/>
                <w:color w:val="auto"/>
                <w:sz w:val="24"/>
                <w:szCs w:val="24"/>
                <w:u w:val="single"/>
              </w:rPr>
              <w:t>45</w:t>
            </w:r>
            <w:r>
              <w:rPr>
                <w:rFonts w:hint="eastAsia" w:ascii="宋体" w:hAnsi="宋体" w:cs="宋体"/>
                <w:color w:val="auto"/>
                <w:sz w:val="24"/>
                <w:szCs w:val="24"/>
              </w:rPr>
              <w:t>分</w:t>
            </w:r>
            <w:r>
              <w:rPr>
                <w:rFonts w:hint="eastAsia" w:ascii="宋体" w:hAnsi="宋体" w:cs="宋体"/>
                <w:color w:val="auto"/>
                <w:sz w:val="24"/>
                <w:szCs w:val="24"/>
                <w:u w:val="single"/>
              </w:rPr>
              <w:t>46</w:t>
            </w:r>
            <w:r>
              <w:rPr>
                <w:rFonts w:hint="eastAsia" w:ascii="宋体" w:hAnsi="宋体" w:cs="宋体"/>
                <w:color w:val="auto"/>
                <w:sz w:val="24"/>
                <w:szCs w:val="24"/>
              </w:rPr>
              <w:t>秒～</w:t>
            </w:r>
            <w:r>
              <w:rPr>
                <w:rFonts w:hint="eastAsia" w:ascii="宋体" w:hAnsi="宋体" w:cs="宋体"/>
                <w:color w:val="auto"/>
                <w:sz w:val="24"/>
                <w:szCs w:val="24"/>
                <w:u w:val="single"/>
              </w:rPr>
              <w:t>101</w:t>
            </w:r>
            <w:r>
              <w:rPr>
                <w:rFonts w:hint="eastAsia" w:ascii="宋体" w:hAnsi="宋体" w:cs="宋体"/>
                <w:color w:val="auto"/>
                <w:sz w:val="24"/>
                <w:szCs w:val="24"/>
              </w:rPr>
              <w:t>度</w:t>
            </w:r>
            <w:r>
              <w:rPr>
                <w:rFonts w:hint="eastAsia" w:ascii="宋体" w:hAnsi="宋体" w:cs="宋体"/>
                <w:color w:val="auto"/>
                <w:sz w:val="24"/>
                <w:szCs w:val="24"/>
                <w:u w:val="single"/>
              </w:rPr>
              <w:t>58</w:t>
            </w:r>
            <w:r>
              <w:rPr>
                <w:rFonts w:hint="eastAsia" w:ascii="宋体" w:hAnsi="宋体" w:cs="宋体"/>
                <w:color w:val="auto"/>
                <w:sz w:val="24"/>
                <w:szCs w:val="24"/>
              </w:rPr>
              <w:t>分</w:t>
            </w:r>
            <w:r>
              <w:rPr>
                <w:rFonts w:hint="eastAsia" w:ascii="宋体" w:hAnsi="宋体" w:cs="宋体"/>
                <w:color w:val="auto"/>
                <w:sz w:val="24"/>
                <w:szCs w:val="24"/>
                <w:u w:val="single"/>
              </w:rPr>
              <w:t>03</w:t>
            </w:r>
            <w:r>
              <w:rPr>
                <w:rFonts w:hint="eastAsia" w:ascii="宋体" w:hAnsi="宋体" w:cs="宋体"/>
                <w:color w:val="auto"/>
                <w:sz w:val="24"/>
                <w:szCs w:val="24"/>
              </w:rPr>
              <w:t>秒</w:t>
            </w:r>
          </w:p>
          <w:p>
            <w:pPr>
              <w:adjustRightInd w:val="0"/>
              <w:snapToGrid w:val="0"/>
              <w:jc w:val="center"/>
              <w:rPr>
                <w:rFonts w:ascii="宋体" w:hAnsi="宋体" w:cs="宋体"/>
                <w:color w:val="auto"/>
                <w:sz w:val="24"/>
                <w:szCs w:val="24"/>
              </w:rPr>
            </w:pPr>
            <w:r>
              <w:rPr>
                <w:rFonts w:hint="eastAsia" w:ascii="宋体" w:hAnsi="宋体" w:cs="宋体"/>
                <w:color w:val="auto"/>
                <w:sz w:val="24"/>
                <w:szCs w:val="24"/>
              </w:rPr>
              <w:t>北纬：</w:t>
            </w:r>
            <w:r>
              <w:rPr>
                <w:rFonts w:hint="eastAsia" w:ascii="宋体" w:hAnsi="宋体" w:cs="宋体"/>
                <w:color w:val="auto"/>
                <w:sz w:val="24"/>
                <w:szCs w:val="24"/>
                <w:u w:val="single"/>
              </w:rPr>
              <w:t>25</w:t>
            </w:r>
            <w:r>
              <w:rPr>
                <w:rFonts w:hint="eastAsia" w:ascii="宋体" w:hAnsi="宋体" w:cs="宋体"/>
                <w:color w:val="auto"/>
                <w:sz w:val="24"/>
                <w:szCs w:val="24"/>
              </w:rPr>
              <w:t>度</w:t>
            </w:r>
            <w:r>
              <w:rPr>
                <w:rFonts w:hint="eastAsia" w:ascii="宋体" w:hAnsi="宋体" w:cs="宋体"/>
                <w:color w:val="auto"/>
                <w:sz w:val="24"/>
                <w:szCs w:val="24"/>
                <w:u w:val="single"/>
              </w:rPr>
              <w:t>33</w:t>
            </w:r>
            <w:r>
              <w:rPr>
                <w:rFonts w:hint="eastAsia" w:ascii="宋体" w:hAnsi="宋体" w:cs="宋体"/>
                <w:color w:val="auto"/>
                <w:sz w:val="24"/>
                <w:szCs w:val="24"/>
              </w:rPr>
              <w:t>分</w:t>
            </w:r>
            <w:r>
              <w:rPr>
                <w:rFonts w:hint="eastAsia" w:ascii="宋体" w:hAnsi="宋体" w:cs="宋体"/>
                <w:color w:val="auto"/>
                <w:sz w:val="24"/>
                <w:szCs w:val="24"/>
                <w:u w:val="single"/>
              </w:rPr>
              <w:t>17</w:t>
            </w:r>
            <w:r>
              <w:rPr>
                <w:rFonts w:hint="eastAsia" w:ascii="宋体" w:hAnsi="宋体" w:cs="宋体"/>
                <w:color w:val="auto"/>
                <w:sz w:val="24"/>
                <w:szCs w:val="24"/>
              </w:rPr>
              <w:t>秒～</w:t>
            </w:r>
            <w:r>
              <w:rPr>
                <w:rFonts w:hint="eastAsia" w:ascii="宋体" w:hAnsi="宋体" w:cs="宋体"/>
                <w:color w:val="auto"/>
                <w:sz w:val="24"/>
                <w:szCs w:val="24"/>
                <w:u w:val="single"/>
              </w:rPr>
              <w:t>25</w:t>
            </w:r>
            <w:r>
              <w:rPr>
                <w:rFonts w:hint="eastAsia" w:ascii="宋体" w:hAnsi="宋体" w:cs="宋体"/>
                <w:color w:val="auto"/>
                <w:sz w:val="24"/>
                <w:szCs w:val="24"/>
              </w:rPr>
              <w:t>度</w:t>
            </w:r>
            <w:r>
              <w:rPr>
                <w:rFonts w:hint="eastAsia" w:ascii="宋体" w:hAnsi="宋体" w:cs="宋体"/>
                <w:color w:val="auto"/>
                <w:sz w:val="24"/>
                <w:szCs w:val="24"/>
                <w:u w:val="single"/>
              </w:rPr>
              <w:t>39</w:t>
            </w:r>
            <w:r>
              <w:rPr>
                <w:rFonts w:hint="eastAsia" w:ascii="宋体" w:hAnsi="宋体" w:cs="宋体"/>
                <w:color w:val="auto"/>
                <w:sz w:val="24"/>
                <w:szCs w:val="24"/>
              </w:rPr>
              <w:t>分</w:t>
            </w:r>
            <w:r>
              <w:rPr>
                <w:rFonts w:hint="eastAsia" w:ascii="宋体" w:hAnsi="宋体" w:cs="宋体"/>
                <w:color w:val="auto"/>
                <w:sz w:val="24"/>
                <w:szCs w:val="24"/>
                <w:u w:val="single"/>
              </w:rPr>
              <w:t>06</w:t>
            </w:r>
            <w:r>
              <w:rPr>
                <w:rFonts w:hint="eastAsia" w:ascii="宋体" w:hAnsi="宋体" w:cs="宋体"/>
                <w:color w:val="auto"/>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1123" w:type="dxa"/>
            <w:noWrap w:val="0"/>
            <w:tcMar>
              <w:top w:w="16" w:type="dxa"/>
              <w:left w:w="16" w:type="dxa"/>
              <w:right w:w="16" w:type="dxa"/>
            </w:tcMar>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建设项目</w:t>
            </w:r>
          </w:p>
          <w:p>
            <w:pPr>
              <w:adjustRightInd w:val="0"/>
              <w:snapToGrid w:val="0"/>
              <w:jc w:val="center"/>
              <w:rPr>
                <w:rFonts w:ascii="宋体" w:hAnsi="宋体" w:cs="宋体"/>
                <w:color w:val="auto"/>
                <w:sz w:val="24"/>
                <w:szCs w:val="24"/>
              </w:rPr>
            </w:pPr>
            <w:r>
              <w:rPr>
                <w:rFonts w:hint="eastAsia" w:ascii="宋体" w:hAnsi="宋体" w:cs="宋体"/>
                <w:color w:val="auto"/>
                <w:sz w:val="24"/>
                <w:szCs w:val="24"/>
              </w:rPr>
              <w:t>行业类别</w:t>
            </w:r>
          </w:p>
        </w:tc>
        <w:tc>
          <w:tcPr>
            <w:tcW w:w="2915" w:type="dxa"/>
            <w:noWrap w:val="0"/>
            <w:vAlign w:val="center"/>
          </w:tcPr>
          <w:p>
            <w:pPr>
              <w:adjustRightInd w:val="0"/>
              <w:snapToGrid w:val="0"/>
              <w:jc w:val="center"/>
              <w:rPr>
                <w:rFonts w:ascii="宋体" w:hAnsi="宋体" w:cs="宋体"/>
                <w:color w:val="auto"/>
                <w:sz w:val="24"/>
                <w:szCs w:val="24"/>
              </w:rPr>
            </w:pPr>
            <w:r>
              <w:rPr>
                <w:rFonts w:ascii="宋体" w:hAnsi="宋体" w:cs="宋体"/>
                <w:color w:val="auto"/>
                <w:sz w:val="24"/>
                <w:szCs w:val="24"/>
              </w:rPr>
              <w:t>电力、热力生产和供应业——太阳能发电4416</w:t>
            </w:r>
          </w:p>
        </w:tc>
        <w:tc>
          <w:tcPr>
            <w:tcW w:w="1933" w:type="dxa"/>
            <w:noWrap w:val="0"/>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用地（用海）面积（</w:t>
            </w:r>
            <w:r>
              <w:rPr>
                <w:rFonts w:ascii="宋体" w:hAnsi="宋体" w:cs="宋体"/>
                <w:color w:val="auto"/>
                <w:sz w:val="24"/>
                <w:szCs w:val="24"/>
              </w:rPr>
              <w:t>m</w:t>
            </w:r>
            <w:r>
              <w:rPr>
                <w:rFonts w:ascii="宋体" w:hAnsi="宋体" w:cs="宋体"/>
                <w:color w:val="auto"/>
                <w:sz w:val="24"/>
                <w:szCs w:val="24"/>
                <w:vertAlign w:val="superscript"/>
              </w:rPr>
              <w:t>2</w:t>
            </w:r>
            <w:r>
              <w:rPr>
                <w:rFonts w:hint="eastAsia" w:ascii="宋体" w:hAnsi="宋体" w:cs="宋体"/>
                <w:color w:val="auto"/>
                <w:sz w:val="24"/>
                <w:szCs w:val="24"/>
              </w:rPr>
              <w:t>）</w:t>
            </w:r>
            <w:r>
              <w:rPr>
                <w:rFonts w:ascii="宋体" w:hAnsi="宋体" w:cs="宋体"/>
                <w:color w:val="auto"/>
                <w:sz w:val="24"/>
                <w:szCs w:val="24"/>
              </w:rPr>
              <w:t>/</w:t>
            </w:r>
            <w:r>
              <w:rPr>
                <w:rFonts w:hint="eastAsia" w:ascii="宋体" w:hAnsi="宋体" w:cs="宋体"/>
                <w:color w:val="auto"/>
                <w:sz w:val="24"/>
                <w:szCs w:val="24"/>
              </w:rPr>
              <w:t>长度（</w:t>
            </w:r>
            <w:r>
              <w:rPr>
                <w:rFonts w:ascii="宋体" w:hAnsi="宋体" w:cs="宋体"/>
                <w:color w:val="auto"/>
                <w:sz w:val="24"/>
                <w:szCs w:val="24"/>
              </w:rPr>
              <w:t>km</w:t>
            </w:r>
            <w:r>
              <w:rPr>
                <w:rFonts w:hint="eastAsia" w:ascii="宋体" w:hAnsi="宋体" w:cs="宋体"/>
                <w:color w:val="auto"/>
                <w:sz w:val="24"/>
                <w:szCs w:val="24"/>
              </w:rPr>
              <w:t>）</w:t>
            </w:r>
          </w:p>
        </w:tc>
        <w:tc>
          <w:tcPr>
            <w:tcW w:w="3164" w:type="dxa"/>
            <w:noWrap w:val="0"/>
            <w:vAlign w:val="center"/>
          </w:tcPr>
          <w:p>
            <w:pPr>
              <w:adjustRightInd w:val="0"/>
              <w:snapToGrid w:val="0"/>
              <w:jc w:val="center"/>
              <w:rPr>
                <w:rFonts w:hint="eastAsia" w:ascii="宋体" w:hAnsi="宋体" w:cs="宋体"/>
                <w:color w:val="auto"/>
                <w:sz w:val="24"/>
                <w:szCs w:val="24"/>
                <w:vertAlign w:val="baseline"/>
              </w:rPr>
            </w:pPr>
            <w:r>
              <w:rPr>
                <w:rFonts w:hint="eastAsia" w:ascii="宋体" w:hAnsi="宋体" w:cs="宋体"/>
                <w:color w:val="auto"/>
                <w:sz w:val="24"/>
                <w:szCs w:val="24"/>
                <w:lang w:val="en-US" w:eastAsia="zh-CN"/>
              </w:rPr>
              <w:t>205.01h</w:t>
            </w:r>
            <w:r>
              <w:rPr>
                <w:rFonts w:hint="eastAsia" w:ascii="宋体" w:hAnsi="宋体" w:cs="宋体"/>
                <w:color w:val="auto"/>
                <w:sz w:val="24"/>
                <w:szCs w:val="24"/>
              </w:rPr>
              <w:t>m</w:t>
            </w:r>
            <w:r>
              <w:rPr>
                <w:rFonts w:hint="eastAsia" w:ascii="宋体" w:hAnsi="宋体" w:cs="宋体"/>
                <w:color w:val="auto"/>
                <w:sz w:val="24"/>
                <w:szCs w:val="24"/>
                <w:vertAlign w:val="superscript"/>
              </w:rPr>
              <w:t>2</w:t>
            </w:r>
          </w:p>
          <w:p>
            <w:pPr>
              <w:adjustRightInd w:val="0"/>
              <w:snapToGrid w:val="0"/>
              <w:jc w:val="center"/>
              <w:rPr>
                <w:rFonts w:ascii="宋体" w:hAnsi="宋体" w:cs="宋体"/>
                <w:color w:val="auto"/>
                <w:sz w:val="24"/>
                <w:szCs w:val="24"/>
              </w:rPr>
            </w:pPr>
            <w:r>
              <w:rPr>
                <w:rFonts w:hint="eastAsia" w:ascii="宋体" w:hAnsi="宋体" w:cs="宋体"/>
                <w:color w:val="auto"/>
                <w:sz w:val="24"/>
                <w:szCs w:val="24"/>
              </w:rPr>
              <w:t>（永久占地</w:t>
            </w:r>
            <w:r>
              <w:rPr>
                <w:rFonts w:hint="eastAsia" w:ascii="宋体" w:hAnsi="宋体" w:cs="宋体"/>
                <w:color w:val="auto"/>
                <w:sz w:val="24"/>
                <w:szCs w:val="24"/>
                <w:lang w:val="en-US" w:eastAsia="zh-CN"/>
              </w:rPr>
              <w:t>3.64hm</w:t>
            </w:r>
            <w:r>
              <w:rPr>
                <w:rFonts w:hint="eastAsia" w:ascii="宋体" w:hAnsi="宋体" w:cs="宋体"/>
                <w:color w:val="auto"/>
                <w:sz w:val="24"/>
                <w:szCs w:val="24"/>
                <w:vertAlign w:val="superscript"/>
                <w:lang w:val="en-US" w:eastAsia="zh-CN"/>
              </w:rPr>
              <w:t>2</w:t>
            </w:r>
            <w:r>
              <w:rPr>
                <w:rFonts w:hint="eastAsia" w:ascii="宋体" w:hAnsi="宋体" w:cs="宋体"/>
                <w:color w:val="auto"/>
                <w:sz w:val="24"/>
                <w:szCs w:val="24"/>
                <w:lang w:val="en-US" w:eastAsia="zh-CN"/>
              </w:rPr>
              <w:t>；临时占地：201.37hm</w:t>
            </w:r>
            <w:r>
              <w:rPr>
                <w:rFonts w:hint="eastAsia" w:ascii="宋体" w:hAnsi="宋体" w:cs="宋体"/>
                <w:color w:val="auto"/>
                <w:sz w:val="24"/>
                <w:szCs w:val="24"/>
                <w:vertAlign w:val="superscript"/>
                <w:lang w:val="en-US" w:eastAsia="zh-CN"/>
              </w:rPr>
              <w:t>2</w:t>
            </w:r>
            <w:r>
              <w:rPr>
                <w:rFonts w:hint="eastAsia" w:ascii="宋体" w:hAnsi="宋体" w:cs="宋体"/>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1123" w:type="dxa"/>
            <w:noWrap w:val="0"/>
            <w:tcMar>
              <w:top w:w="16" w:type="dxa"/>
              <w:left w:w="16" w:type="dxa"/>
              <w:right w:w="16" w:type="dxa"/>
            </w:tcMar>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建设性质</w:t>
            </w:r>
          </w:p>
        </w:tc>
        <w:tc>
          <w:tcPr>
            <w:tcW w:w="2915" w:type="dxa"/>
            <w:noWrap w:val="0"/>
            <w:vAlign w:val="center"/>
          </w:tcPr>
          <w:p>
            <w:pPr>
              <w:adjustRightInd w:val="0"/>
              <w:snapToGrid w:val="0"/>
              <w:jc w:val="left"/>
              <w:rPr>
                <w:rFonts w:ascii="宋体" w:hAnsi="宋体" w:cs="宋体"/>
                <w:color w:val="auto"/>
                <w:sz w:val="24"/>
                <w:szCs w:val="24"/>
              </w:rPr>
            </w:pPr>
            <w:r>
              <w:rPr>
                <w:rFonts w:hint="eastAsia" w:ascii="宋体" w:hAnsi="宋体" w:cs="宋体"/>
                <w:color w:val="auto"/>
                <w:sz w:val="24"/>
                <w:szCs w:val="24"/>
              </w:rPr>
              <w:sym w:font="Wingdings 2" w:char="0052"/>
            </w:r>
            <w:r>
              <w:rPr>
                <w:rFonts w:hint="eastAsia" w:ascii="宋体" w:hAnsi="宋体" w:cs="宋体"/>
                <w:color w:val="auto"/>
                <w:sz w:val="24"/>
                <w:szCs w:val="24"/>
              </w:rPr>
              <w:t>新建（迁建）</w:t>
            </w:r>
          </w:p>
          <w:p>
            <w:pPr>
              <w:adjustRightInd w:val="0"/>
              <w:snapToGrid w:val="0"/>
              <w:jc w:val="left"/>
              <w:rPr>
                <w:rFonts w:ascii="宋体" w:hAnsi="宋体" w:cs="宋体"/>
                <w:color w:val="auto"/>
                <w:sz w:val="24"/>
                <w:szCs w:val="24"/>
              </w:rPr>
            </w:pPr>
            <w:r>
              <w:rPr>
                <w:rFonts w:hint="eastAsia" w:ascii="宋体" w:hAnsi="宋体" w:cs="宋体"/>
                <w:color w:val="auto"/>
                <w:sz w:val="24"/>
                <w:szCs w:val="24"/>
              </w:rPr>
              <w:t>□改建</w:t>
            </w:r>
          </w:p>
          <w:p>
            <w:pPr>
              <w:adjustRightInd w:val="0"/>
              <w:snapToGrid w:val="0"/>
              <w:jc w:val="left"/>
              <w:rPr>
                <w:rFonts w:ascii="宋体" w:hAnsi="宋体" w:cs="宋体"/>
                <w:color w:val="auto"/>
                <w:sz w:val="24"/>
                <w:szCs w:val="24"/>
              </w:rPr>
            </w:pPr>
            <w:r>
              <w:rPr>
                <w:rFonts w:hint="eastAsia" w:ascii="宋体" w:hAnsi="宋体" w:cs="宋体"/>
                <w:color w:val="auto"/>
                <w:sz w:val="24"/>
                <w:szCs w:val="24"/>
              </w:rPr>
              <w:t>□扩建</w:t>
            </w:r>
          </w:p>
          <w:p>
            <w:pPr>
              <w:adjustRightInd w:val="0"/>
              <w:snapToGrid w:val="0"/>
              <w:jc w:val="left"/>
              <w:rPr>
                <w:rFonts w:ascii="宋体" w:hAnsi="宋体" w:cs="宋体"/>
                <w:color w:val="auto"/>
                <w:sz w:val="24"/>
                <w:szCs w:val="24"/>
              </w:rPr>
            </w:pPr>
            <w:r>
              <w:rPr>
                <w:rFonts w:hint="eastAsia" w:ascii="宋体" w:hAnsi="宋体" w:cs="宋体"/>
                <w:color w:val="auto"/>
                <w:sz w:val="24"/>
                <w:szCs w:val="24"/>
              </w:rPr>
              <w:t>□技术改造</w:t>
            </w:r>
          </w:p>
        </w:tc>
        <w:tc>
          <w:tcPr>
            <w:tcW w:w="1933" w:type="dxa"/>
            <w:noWrap w:val="0"/>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建设项目</w:t>
            </w:r>
          </w:p>
          <w:p>
            <w:pPr>
              <w:adjustRightInd w:val="0"/>
              <w:snapToGrid w:val="0"/>
              <w:jc w:val="center"/>
              <w:rPr>
                <w:rFonts w:ascii="宋体" w:hAnsi="宋体" w:cs="宋体"/>
                <w:color w:val="auto"/>
                <w:sz w:val="24"/>
                <w:szCs w:val="24"/>
              </w:rPr>
            </w:pPr>
            <w:r>
              <w:rPr>
                <w:rFonts w:hint="eastAsia" w:ascii="宋体" w:hAnsi="宋体" w:cs="宋体"/>
                <w:color w:val="auto"/>
                <w:sz w:val="24"/>
                <w:szCs w:val="24"/>
              </w:rPr>
              <w:t>申报情形</w:t>
            </w:r>
          </w:p>
        </w:tc>
        <w:tc>
          <w:tcPr>
            <w:tcW w:w="3164" w:type="dxa"/>
            <w:noWrap w:val="0"/>
            <w:vAlign w:val="center"/>
          </w:tcPr>
          <w:p>
            <w:pPr>
              <w:adjustRightInd w:val="0"/>
              <w:snapToGrid w:val="0"/>
              <w:jc w:val="left"/>
              <w:rPr>
                <w:rFonts w:ascii="宋体" w:hAnsi="宋体" w:cs="宋体"/>
                <w:color w:val="auto"/>
                <w:sz w:val="24"/>
                <w:szCs w:val="24"/>
              </w:rPr>
            </w:pPr>
            <w:r>
              <w:rPr>
                <w:rFonts w:hint="eastAsia" w:ascii="宋体" w:hAnsi="宋体" w:cs="宋体"/>
                <w:color w:val="auto"/>
                <w:sz w:val="24"/>
                <w:szCs w:val="24"/>
              </w:rPr>
              <w:sym w:font="Wingdings 2" w:char="00A3"/>
            </w:r>
            <w:r>
              <w:rPr>
                <w:rFonts w:hint="eastAsia" w:ascii="宋体" w:hAnsi="宋体" w:cs="宋体"/>
                <w:color w:val="auto"/>
                <w:sz w:val="24"/>
                <w:szCs w:val="24"/>
              </w:rPr>
              <w:t>首次申报项目</w:t>
            </w:r>
          </w:p>
          <w:p>
            <w:pPr>
              <w:adjustRightInd w:val="0"/>
              <w:snapToGrid w:val="0"/>
              <w:jc w:val="left"/>
              <w:rPr>
                <w:rFonts w:ascii="宋体" w:hAnsi="宋体" w:cs="宋体"/>
                <w:color w:val="auto"/>
                <w:sz w:val="24"/>
                <w:szCs w:val="24"/>
              </w:rPr>
            </w:pPr>
            <w:r>
              <w:rPr>
                <w:rFonts w:hint="eastAsia" w:ascii="宋体" w:hAnsi="宋体" w:cs="宋体"/>
                <w:color w:val="auto"/>
                <w:sz w:val="24"/>
                <w:szCs w:val="24"/>
              </w:rPr>
              <w:t>□不予批准后再次申报项目</w:t>
            </w:r>
          </w:p>
          <w:p>
            <w:pPr>
              <w:adjustRightInd w:val="0"/>
              <w:snapToGrid w:val="0"/>
              <w:jc w:val="left"/>
              <w:rPr>
                <w:rFonts w:ascii="宋体" w:hAnsi="宋体" w:cs="宋体"/>
                <w:color w:val="auto"/>
                <w:sz w:val="24"/>
                <w:szCs w:val="24"/>
              </w:rPr>
            </w:pPr>
            <w:r>
              <w:rPr>
                <w:rFonts w:hint="eastAsia" w:ascii="宋体" w:hAnsi="宋体" w:cs="宋体"/>
                <w:color w:val="auto"/>
                <w:sz w:val="24"/>
                <w:szCs w:val="24"/>
              </w:rPr>
              <w:t>□超五年重新审核项目</w:t>
            </w:r>
          </w:p>
          <w:p>
            <w:pPr>
              <w:adjustRightInd w:val="0"/>
              <w:snapToGrid w:val="0"/>
              <w:rPr>
                <w:rFonts w:ascii="宋体" w:hAnsi="宋体" w:cs="宋体"/>
                <w:color w:val="auto"/>
                <w:sz w:val="24"/>
                <w:szCs w:val="24"/>
              </w:rPr>
            </w:pPr>
            <w:r>
              <w:rPr>
                <w:rFonts w:hint="eastAsia" w:ascii="宋体" w:hAnsi="宋体" w:cs="宋体"/>
                <w:color w:val="auto"/>
                <w:sz w:val="24"/>
                <w:szCs w:val="24"/>
              </w:rPr>
              <w:sym w:font="Wingdings 2" w:char="0052"/>
            </w:r>
            <w:r>
              <w:rPr>
                <w:rFonts w:hint="eastAsia" w:ascii="宋体" w:hAnsi="宋体" w:cs="宋体"/>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1123" w:type="dxa"/>
            <w:noWrap w:val="0"/>
            <w:tcMar>
              <w:top w:w="16" w:type="dxa"/>
              <w:left w:w="16" w:type="dxa"/>
              <w:right w:w="16" w:type="dxa"/>
            </w:tcMar>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项目审批（核准</w:t>
            </w:r>
            <w:r>
              <w:rPr>
                <w:rFonts w:ascii="宋体" w:hAnsi="宋体" w:cs="宋体"/>
                <w:color w:val="auto"/>
                <w:sz w:val="24"/>
                <w:szCs w:val="24"/>
              </w:rPr>
              <w:t>/</w:t>
            </w:r>
            <w:r>
              <w:rPr>
                <w:rFonts w:hint="eastAsia" w:ascii="宋体" w:hAnsi="宋体" w:cs="宋体"/>
                <w:color w:val="auto"/>
                <w:sz w:val="24"/>
                <w:szCs w:val="24"/>
              </w:rPr>
              <w:t>备案）部门（选填）</w:t>
            </w:r>
          </w:p>
        </w:tc>
        <w:tc>
          <w:tcPr>
            <w:tcW w:w="2915" w:type="dxa"/>
            <w:noWrap w:val="0"/>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元谋县发展和改革局</w:t>
            </w:r>
          </w:p>
        </w:tc>
        <w:tc>
          <w:tcPr>
            <w:tcW w:w="1933" w:type="dxa"/>
            <w:noWrap w:val="0"/>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项目审批（核准</w:t>
            </w:r>
            <w:r>
              <w:rPr>
                <w:rFonts w:ascii="宋体" w:hAnsi="宋体" w:cs="宋体"/>
                <w:color w:val="auto"/>
                <w:sz w:val="24"/>
                <w:szCs w:val="24"/>
              </w:rPr>
              <w:t>/</w:t>
            </w:r>
          </w:p>
          <w:p>
            <w:pPr>
              <w:adjustRightInd w:val="0"/>
              <w:snapToGrid w:val="0"/>
              <w:jc w:val="center"/>
              <w:rPr>
                <w:rFonts w:ascii="宋体" w:hAnsi="宋体" w:cs="宋体"/>
                <w:color w:val="auto"/>
                <w:sz w:val="24"/>
                <w:szCs w:val="24"/>
              </w:rPr>
            </w:pPr>
            <w:r>
              <w:rPr>
                <w:rFonts w:hint="eastAsia" w:ascii="宋体" w:hAnsi="宋体" w:cs="宋体"/>
                <w:color w:val="auto"/>
                <w:sz w:val="24"/>
                <w:szCs w:val="24"/>
              </w:rPr>
              <w:t>备案）文号（选填）</w:t>
            </w:r>
          </w:p>
        </w:tc>
        <w:tc>
          <w:tcPr>
            <w:tcW w:w="3164" w:type="dxa"/>
            <w:noWrap w:val="0"/>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2201-532328-04-01-138087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123" w:type="dxa"/>
            <w:noWrap w:val="0"/>
            <w:tcMar>
              <w:top w:w="16" w:type="dxa"/>
              <w:left w:w="16" w:type="dxa"/>
              <w:right w:w="16" w:type="dxa"/>
            </w:tcMar>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总投资（万元）</w:t>
            </w:r>
          </w:p>
        </w:tc>
        <w:tc>
          <w:tcPr>
            <w:tcW w:w="2915" w:type="dxa"/>
            <w:noWrap w:val="0"/>
            <w:vAlign w:val="center"/>
          </w:tcPr>
          <w:p>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highlight w:val="none"/>
                <w:lang w:val="en-US" w:eastAsia="zh-CN"/>
              </w:rPr>
              <w:t>96430</w:t>
            </w:r>
          </w:p>
        </w:tc>
        <w:tc>
          <w:tcPr>
            <w:tcW w:w="1933" w:type="dxa"/>
            <w:noWrap w:val="0"/>
            <w:tcMar>
              <w:top w:w="16" w:type="dxa"/>
              <w:left w:w="16" w:type="dxa"/>
              <w:right w:w="16" w:type="dxa"/>
            </w:tcMar>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环保投资（万元）</w:t>
            </w:r>
          </w:p>
        </w:tc>
        <w:tc>
          <w:tcPr>
            <w:tcW w:w="3164" w:type="dxa"/>
            <w:noWrap w:val="0"/>
            <w:vAlign w:val="center"/>
          </w:tcPr>
          <w:p>
            <w:pPr>
              <w:adjustRightInd w:val="0"/>
              <w:snapToGrid w:val="0"/>
              <w:jc w:val="center"/>
              <w:rPr>
                <w:rFonts w:ascii="宋体" w:hAnsi="宋体" w:cs="宋体"/>
                <w:color w:val="auto"/>
                <w:sz w:val="24"/>
                <w:szCs w:val="24"/>
              </w:rPr>
            </w:pPr>
            <w:r>
              <w:rPr>
                <w:rFonts w:hint="eastAsia" w:ascii="Times New Roman" w:eastAsia="宋体"/>
                <w:color w:val="auto"/>
                <w:szCs w:val="21"/>
                <w:lang w:val="en-US" w:eastAsia="zh-CN"/>
              </w:rPr>
              <w:t>1200.82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1123" w:type="dxa"/>
            <w:noWrap w:val="0"/>
            <w:tcMar>
              <w:top w:w="16" w:type="dxa"/>
              <w:left w:w="16" w:type="dxa"/>
              <w:right w:w="16" w:type="dxa"/>
            </w:tcMar>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环保投资占比（</w:t>
            </w:r>
            <w:r>
              <w:rPr>
                <w:rFonts w:ascii="宋体" w:hAnsi="宋体" w:cs="宋体"/>
                <w:color w:val="auto"/>
                <w:sz w:val="24"/>
                <w:szCs w:val="24"/>
              </w:rPr>
              <w:t>%</w:t>
            </w:r>
            <w:r>
              <w:rPr>
                <w:rFonts w:hint="eastAsia" w:ascii="宋体" w:hAnsi="宋体" w:cs="宋体"/>
                <w:color w:val="auto"/>
                <w:sz w:val="24"/>
                <w:szCs w:val="24"/>
              </w:rPr>
              <w:t>）</w:t>
            </w:r>
          </w:p>
        </w:tc>
        <w:tc>
          <w:tcPr>
            <w:tcW w:w="2915" w:type="dxa"/>
            <w:noWrap w:val="0"/>
            <w:vAlign w:val="center"/>
          </w:tcPr>
          <w:p>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1.24</w:t>
            </w:r>
          </w:p>
        </w:tc>
        <w:tc>
          <w:tcPr>
            <w:tcW w:w="1933" w:type="dxa"/>
            <w:noWrap w:val="0"/>
            <w:tcMar>
              <w:top w:w="16" w:type="dxa"/>
              <w:left w:w="16" w:type="dxa"/>
              <w:right w:w="16" w:type="dxa"/>
            </w:tcMar>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施工工期</w:t>
            </w:r>
          </w:p>
        </w:tc>
        <w:tc>
          <w:tcPr>
            <w:tcW w:w="3164" w:type="dxa"/>
            <w:noWrap w:val="0"/>
            <w:vAlign w:val="center"/>
          </w:tcPr>
          <w:p>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7个月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23" w:type="dxa"/>
            <w:noWrap w:val="0"/>
            <w:tcMar>
              <w:top w:w="16" w:type="dxa"/>
              <w:left w:w="16" w:type="dxa"/>
              <w:right w:w="16" w:type="dxa"/>
            </w:tcMar>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是否开工建设</w:t>
            </w:r>
          </w:p>
        </w:tc>
        <w:tc>
          <w:tcPr>
            <w:tcW w:w="8012" w:type="dxa"/>
            <w:gridSpan w:val="3"/>
            <w:noWrap w:val="0"/>
            <w:vAlign w:val="center"/>
          </w:tcPr>
          <w:p>
            <w:pPr>
              <w:adjustRightInd w:val="0"/>
              <w:snapToGrid w:val="0"/>
              <w:ind w:firstLine="105"/>
              <w:jc w:val="left"/>
              <w:rPr>
                <w:rFonts w:ascii="宋体" w:hAnsi="宋体" w:cs="宋体"/>
                <w:color w:val="auto"/>
                <w:sz w:val="24"/>
                <w:szCs w:val="24"/>
              </w:rPr>
            </w:pPr>
            <w:r>
              <w:rPr>
                <w:rFonts w:hint="eastAsia" w:ascii="宋体" w:hAnsi="宋体" w:cs="宋体"/>
                <w:color w:val="auto"/>
                <w:sz w:val="24"/>
                <w:szCs w:val="24"/>
              </w:rPr>
              <w:sym w:font="Wingdings 2" w:char="00A3"/>
            </w:r>
            <w:r>
              <w:rPr>
                <w:rFonts w:hint="eastAsia" w:ascii="宋体" w:hAnsi="宋体" w:cs="宋体"/>
                <w:color w:val="auto"/>
                <w:sz w:val="24"/>
                <w:szCs w:val="24"/>
              </w:rPr>
              <w:t>否</w:t>
            </w:r>
          </w:p>
          <w:p>
            <w:pPr>
              <w:adjustRightInd w:val="0"/>
              <w:snapToGrid w:val="0"/>
              <w:ind w:firstLine="92"/>
              <w:jc w:val="left"/>
              <w:rPr>
                <w:rFonts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rPr>
              <w:t>是：</w:t>
            </w:r>
            <w:r>
              <w:rPr>
                <w:rFonts w:hint="eastAsia" w:ascii="宋体" w:hAnsi="宋体" w:cs="宋体"/>
                <w:color w:val="auto"/>
                <w:sz w:val="24"/>
                <w:szCs w:val="24"/>
                <w:u w:val="single"/>
                <w:lang w:val="en-US" w:eastAsia="zh-CN"/>
              </w:rPr>
              <w:t>项目已于</w:t>
            </w:r>
            <w:r>
              <w:rPr>
                <w:rFonts w:hint="eastAsia" w:ascii="宋体" w:hAnsi="宋体" w:cs="宋体"/>
                <w:color w:val="auto"/>
                <w:sz w:val="24"/>
                <w:szCs w:val="24"/>
                <w:highlight w:val="none"/>
                <w:u w:val="single"/>
                <w:lang w:val="en-US" w:eastAsia="zh-CN"/>
              </w:rPr>
              <w:t>2022年7月</w:t>
            </w:r>
            <w:r>
              <w:rPr>
                <w:rFonts w:hint="eastAsia" w:ascii="宋体" w:hAnsi="宋体" w:cs="宋体"/>
                <w:color w:val="auto"/>
                <w:sz w:val="24"/>
                <w:szCs w:val="24"/>
                <w:u w:val="single"/>
                <w:lang w:val="en-US" w:eastAsia="zh-CN"/>
              </w:rPr>
              <w:t>开始施工，光伏板区基础已基本完成，升压站内基础已基本完成，主体建筑正在施工中。</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 xml:space="preserve">        </w:t>
            </w:r>
            <w:r>
              <w:rPr>
                <w:rFonts w:ascii="宋体" w:hAnsi="宋体" w:cs="宋体"/>
                <w:color w:val="auto"/>
                <w:sz w:val="24"/>
                <w:szCs w:val="24"/>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1" w:hRule="atLeast"/>
          <w:jc w:val="center"/>
        </w:trPr>
        <w:tc>
          <w:tcPr>
            <w:tcW w:w="1123" w:type="dxa"/>
            <w:noWrap w:val="0"/>
            <w:tcMar>
              <w:top w:w="16" w:type="dxa"/>
              <w:left w:w="16" w:type="dxa"/>
              <w:right w:w="16" w:type="dxa"/>
            </w:tcMar>
            <w:vAlign w:val="center"/>
          </w:tcPr>
          <w:p>
            <w:pPr>
              <w:autoSpaceDE w:val="0"/>
              <w:autoSpaceDN w:val="0"/>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专项评价设置情况</w:t>
            </w:r>
          </w:p>
        </w:tc>
        <w:tc>
          <w:tcPr>
            <w:tcW w:w="8012" w:type="dxa"/>
            <w:gridSpan w:val="3"/>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经对照，本项目</w:t>
            </w:r>
            <w:r>
              <w:rPr>
                <w:rFonts w:hint="eastAsia" w:ascii="Times New Roman" w:hAnsi="Times New Roman" w:eastAsia="宋体" w:cs="Times New Roman"/>
                <w:color w:val="auto"/>
                <w:sz w:val="24"/>
                <w:szCs w:val="24"/>
                <w:highlight w:val="none"/>
                <w:lang w:val="en-US" w:eastAsia="zh-CN"/>
              </w:rPr>
              <w:t>设置电磁辐射专题</w:t>
            </w:r>
            <w:r>
              <w:rPr>
                <w:rFonts w:hint="default" w:ascii="Times New Roman" w:hAnsi="Times New Roman" w:eastAsia="宋体" w:cs="Times New Roman"/>
                <w:color w:val="auto"/>
                <w:sz w:val="24"/>
                <w:szCs w:val="24"/>
                <w:highlight w:val="none"/>
              </w:rPr>
              <w:t>评价，对照情况见下表。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表1-</w:t>
            </w:r>
            <w:r>
              <w:rPr>
                <w:rFonts w:hint="default" w:ascii="Times New Roman" w:hAnsi="Times New Roman" w:eastAsia="宋体" w:cs="Times New Roman"/>
                <w:b/>
                <w:bCs/>
                <w:color w:val="auto"/>
                <w:kern w:val="0"/>
                <w:sz w:val="21"/>
                <w:szCs w:val="21"/>
                <w:highlight w:val="none"/>
                <w:lang w:val="en-US" w:eastAsia="zh-CN"/>
              </w:rPr>
              <w:t>1</w:t>
            </w:r>
            <w:r>
              <w:rPr>
                <w:rFonts w:hint="default" w:ascii="Times New Roman" w:hAnsi="Times New Roman" w:eastAsia="宋体" w:cs="Times New Roman"/>
                <w:b/>
                <w:bCs/>
                <w:color w:val="auto"/>
                <w:kern w:val="0"/>
                <w:sz w:val="21"/>
                <w:szCs w:val="21"/>
                <w:highlight w:val="none"/>
              </w:rPr>
              <w:t>专项设置对照判别表</w:t>
            </w:r>
          </w:p>
          <w:tbl>
            <w:tblPr>
              <w:tblStyle w:val="19"/>
              <w:tblW w:w="4912"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3687"/>
              <w:gridCol w:w="2619"/>
              <w:gridCol w:w="70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专项评价类别</w:t>
                  </w:r>
                </w:p>
              </w:tc>
              <w:tc>
                <w:tcPr>
                  <w:tcW w:w="23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涉及项目类别</w:t>
                  </w:r>
                </w:p>
              </w:tc>
              <w:tc>
                <w:tcPr>
                  <w:tcW w:w="16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本项目专项评价判定</w:t>
                  </w:r>
                </w:p>
              </w:tc>
              <w:tc>
                <w:tcPr>
                  <w:tcW w:w="4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设置情况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地表水</w:t>
                  </w:r>
                </w:p>
              </w:tc>
              <w:tc>
                <w:tcPr>
                  <w:tcW w:w="23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水力发电：引水式发电、涉及调峰发电的项目；</w:t>
                  </w:r>
                </w:p>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人工湖、人工湿地：全部；</w:t>
                  </w:r>
                </w:p>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水库：全部；</w:t>
                  </w:r>
                </w:p>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引水工程：全部（配套的管线工程等除外）；</w:t>
                  </w:r>
                </w:p>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防洪除涝工程：包含水库的项目；</w:t>
                  </w:r>
                </w:p>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河湖整治：涉及清淤且底泥存在重金属污染的项目</w:t>
                  </w:r>
                </w:p>
              </w:tc>
              <w:tc>
                <w:tcPr>
                  <w:tcW w:w="16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本项目为光伏建设项目，不属于地表水专项的项目类别</w:t>
                  </w:r>
                </w:p>
              </w:tc>
              <w:tc>
                <w:tcPr>
                  <w:tcW w:w="4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不设置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地下水</w:t>
                  </w:r>
                </w:p>
              </w:tc>
              <w:tc>
                <w:tcPr>
                  <w:tcW w:w="23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陆地石油和天然气开采：全部；</w:t>
                  </w:r>
                </w:p>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地下水（含矿泉水）开采：全部；</w:t>
                  </w:r>
                </w:p>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水利、水电、交通等：含穿越可溶岩地层隧道的项目</w:t>
                  </w:r>
                </w:p>
              </w:tc>
              <w:tc>
                <w:tcPr>
                  <w:tcW w:w="16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本项目为光伏建设项目，不属于地下水专项的项目类别</w:t>
                  </w:r>
                </w:p>
              </w:tc>
              <w:tc>
                <w:tcPr>
                  <w:tcW w:w="4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不设置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1" w:hRule="atLeast"/>
                <w:jc w:val="center"/>
              </w:trPr>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生态</w:t>
                  </w:r>
                </w:p>
              </w:tc>
              <w:tc>
                <w:tcPr>
                  <w:tcW w:w="23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rPr>
                      <w:rFonts w:hint="eastAsia" w:ascii="宋体" w:hAnsi="宋体" w:eastAsia="宋体" w:cs="宋体"/>
                      <w:color w:val="auto"/>
                      <w:sz w:val="21"/>
                      <w:szCs w:val="21"/>
                      <w:highlight w:val="none"/>
                    </w:rPr>
                  </w:pPr>
                  <w:r>
                    <w:rPr>
                      <w:rFonts w:hint="eastAsia"/>
                      <w:color w:val="auto"/>
                    </w:rPr>
                    <w:t>涉</w:t>
                  </w:r>
                  <w:r>
                    <w:rPr>
                      <w:rFonts w:hint="eastAsia" w:ascii="宋体" w:hAnsi="宋体" w:eastAsia="宋体" w:cs="宋体"/>
                      <w:color w:val="auto"/>
                      <w:sz w:val="21"/>
                      <w:szCs w:val="21"/>
                      <w:highlight w:val="none"/>
                    </w:rPr>
                    <w:t>及环境敏感区（不包括饮用水水源保护区，以居住、医疗卫生、文化教育、科研、行政办公为主要功能的区域，以及文物保护单位）的项目</w:t>
                  </w:r>
                  <w:r>
                    <w:rPr>
                      <w:rFonts w:hint="eastAsia" w:ascii="宋体" w:hAnsi="宋体" w:cs="宋体"/>
                      <w:color w:val="auto"/>
                      <w:sz w:val="21"/>
                      <w:szCs w:val="21"/>
                      <w:highlight w:val="none"/>
                      <w:lang w:eastAsia="zh-CN"/>
                    </w:rPr>
                    <w:t>。</w:t>
                  </w:r>
                </w:p>
              </w:tc>
              <w:tc>
                <w:tcPr>
                  <w:tcW w:w="1676" w:type="pct"/>
                  <w:tcBorders>
                    <w:tl2br w:val="nil"/>
                    <w:tr2bl w:val="nil"/>
                  </w:tcBorders>
                  <w:noWrap w:val="0"/>
                  <w:vAlign w:val="center"/>
                </w:tcPr>
                <w:p>
                  <w:pPr>
                    <w:keepNext w:val="0"/>
                    <w:keepLines w:val="0"/>
                    <w:widowControl/>
                    <w:suppressLineNumbers w:val="0"/>
                    <w:spacing w:line="340" w:lineRule="exact"/>
                    <w:ind w:left="0" w:leftChars="0" w:right="0" w:rightChars="0" w:firstLine="0" w:firstLineChars="0"/>
                    <w:jc w:val="both"/>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根据对比生态专项设置原则，结合《</w:t>
                  </w:r>
                  <w:r>
                    <w:rPr>
                      <w:rFonts w:hint="eastAsia" w:ascii="宋体" w:hAnsi="宋体" w:eastAsia="宋体" w:cs="宋体"/>
                      <w:color w:val="auto"/>
                      <w:sz w:val="21"/>
                      <w:szCs w:val="21"/>
                      <w:highlight w:val="none"/>
                      <w:lang w:val="en-US" w:eastAsia="zh-CN"/>
                    </w:rPr>
                    <w:t>建设项目环境影响分类管理名录（2021年版）</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中针对</w:t>
                  </w:r>
                  <w:r>
                    <w:rPr>
                      <w:rFonts w:hint="eastAsia" w:ascii="宋体" w:hAnsi="宋体" w:cs="宋体"/>
                      <w:color w:val="auto"/>
                      <w:sz w:val="21"/>
                      <w:szCs w:val="21"/>
                      <w:highlight w:val="none"/>
                      <w:lang w:val="en-US" w:eastAsia="zh-CN"/>
                    </w:rPr>
                    <w:t>本</w:t>
                  </w:r>
                  <w:r>
                    <w:rPr>
                      <w:rFonts w:hint="eastAsia" w:ascii="宋体" w:hAnsi="宋体" w:eastAsia="宋体" w:cs="宋体"/>
                      <w:color w:val="auto"/>
                      <w:sz w:val="21"/>
                      <w:szCs w:val="21"/>
                      <w:highlight w:val="none"/>
                    </w:rPr>
                    <w:t>类项目所列的敏感区</w:t>
                  </w:r>
                  <w:r>
                    <w:rPr>
                      <w:rFonts w:hint="eastAsia" w:ascii="宋体" w:hAnsi="宋体" w:cs="宋体"/>
                      <w:color w:val="auto"/>
                      <w:sz w:val="21"/>
                      <w:szCs w:val="21"/>
                      <w:highlight w:val="none"/>
                      <w:lang w:val="en-US" w:eastAsia="zh-CN"/>
                    </w:rPr>
                    <w:t>，本项目不涉及国家公园、世界文化和自然遗产地、海洋特别保护区等生态敏感区，因此本项目不设置生态专题</w:t>
                  </w:r>
                  <w:r>
                    <w:rPr>
                      <w:rFonts w:hint="eastAsia" w:ascii="宋体" w:hAnsi="宋体" w:eastAsia="宋体" w:cs="宋体"/>
                      <w:color w:val="auto"/>
                      <w:sz w:val="21"/>
                      <w:szCs w:val="21"/>
                      <w:highlight w:val="none"/>
                      <w:lang w:val="en-US" w:eastAsia="zh-CN"/>
                    </w:rPr>
                    <w:t>。</w:t>
                  </w:r>
                </w:p>
              </w:tc>
              <w:tc>
                <w:tcPr>
                  <w:tcW w:w="4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不设置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大气</w:t>
                  </w:r>
                </w:p>
              </w:tc>
              <w:tc>
                <w:tcPr>
                  <w:tcW w:w="23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油气、液体化工码头：全部；</w:t>
                  </w:r>
                </w:p>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干散货（含煤炭、矿石）、件杂、多用途、通用码头：涉及粉尘、挥发性有机物排放的项目</w:t>
                  </w:r>
                </w:p>
              </w:tc>
              <w:tc>
                <w:tcPr>
                  <w:tcW w:w="16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本项目为光伏建设项目，不属于大气专项的项目类别。</w:t>
                  </w:r>
                </w:p>
              </w:tc>
              <w:tc>
                <w:tcPr>
                  <w:tcW w:w="4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不设置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jc w:val="center"/>
              </w:trPr>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噪声</w:t>
                  </w:r>
                </w:p>
              </w:tc>
              <w:tc>
                <w:tcPr>
                  <w:tcW w:w="23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公路、铁路、机场等交通运输业涉及环境敏感区（以居住、医疗卫生、文化教育、科研、行政办公为主要功能的区域）的项目；</w:t>
                  </w:r>
                </w:p>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城市道路（不含维护，不含支路、人行天桥、人行地道）：全部</w:t>
                  </w:r>
                </w:p>
              </w:tc>
              <w:tc>
                <w:tcPr>
                  <w:tcW w:w="16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本项目为光伏建设项目，不属于噪声专项的项目类别。</w:t>
                  </w:r>
                </w:p>
              </w:tc>
              <w:tc>
                <w:tcPr>
                  <w:tcW w:w="4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不设置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jc w:val="center"/>
              </w:trPr>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环境风险</w:t>
                  </w:r>
                </w:p>
              </w:tc>
              <w:tc>
                <w:tcPr>
                  <w:tcW w:w="23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石油和天然气开采：全部；</w:t>
                  </w:r>
                </w:p>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油气、液体化工码头：全部；</w:t>
                  </w:r>
                </w:p>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原油、成品油、天然气管线（不含城镇天然气管线、企业厂区内管线），危险化学品输送管线（不含企业厂区内管线）：全部</w:t>
                  </w:r>
                </w:p>
              </w:tc>
              <w:tc>
                <w:tcPr>
                  <w:tcW w:w="16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本项目为光伏建设项目，不属于环境风险专项的项目类别。</w:t>
                  </w:r>
                </w:p>
              </w:tc>
              <w:tc>
                <w:tcPr>
                  <w:tcW w:w="4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不设置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电磁环境</w:t>
                  </w:r>
                </w:p>
              </w:tc>
              <w:tc>
                <w:tcPr>
                  <w:tcW w:w="4489"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根据《环境影响评价技术导则输变电》（HJ 24-2020）及《电磁环境控制限值》（GB8702-2014）相关要求，本项目设置110kV升压站一座，需对升压站开展“电磁环境影响专项评价”，具体详见专题一。</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ascii="宋体" w:hAnsi="宋体" w:cs="宋体"/>
                <w:color w:val="auto"/>
                <w:kern w:val="0"/>
                <w:sz w:val="24"/>
                <w:szCs w:val="24"/>
              </w:rPr>
            </w:pPr>
            <w:r>
              <w:rPr>
                <w:rFonts w:hint="eastAsia" w:ascii="宋体" w:hAnsi="宋体" w:eastAsia="宋体" w:cs="宋体"/>
                <w:color w:val="auto"/>
                <w:sz w:val="21"/>
                <w:szCs w:val="21"/>
                <w:highlight w:val="none"/>
              </w:rPr>
              <w:t>注：“涉及环境敏感区”是指建设项目位于、穿（跨）越（无害化通过的除外）环境敏感区，或环境影响范围涵盖环境敏感区。环境敏感区是指《建设项目环境影响评价分类管理名录》中针对该类项目所列的敏感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1123" w:type="dxa"/>
            <w:noWrap w:val="0"/>
            <w:tcMar>
              <w:top w:w="16" w:type="dxa"/>
              <w:left w:w="16" w:type="dxa"/>
              <w:right w:w="16" w:type="dxa"/>
            </w:tcMar>
            <w:vAlign w:val="center"/>
          </w:tcPr>
          <w:p>
            <w:pPr>
              <w:autoSpaceDE w:val="0"/>
              <w:autoSpaceDN w:val="0"/>
              <w:adjustRightInd w:val="0"/>
              <w:snapToGrid w:val="0"/>
              <w:jc w:val="center"/>
              <w:rPr>
                <w:rFonts w:ascii="宋体" w:hAnsi="宋体" w:cs="宋体"/>
                <w:color w:val="auto"/>
                <w:kern w:val="0"/>
                <w:sz w:val="24"/>
                <w:szCs w:val="24"/>
              </w:rPr>
            </w:pPr>
            <w:r>
              <w:rPr>
                <w:rFonts w:hint="eastAsia" w:ascii="宋体" w:hAnsi="宋体" w:cs="宋体"/>
                <w:color w:val="auto"/>
                <w:sz w:val="24"/>
                <w:szCs w:val="24"/>
              </w:rPr>
              <w:t>规划情况</w:t>
            </w:r>
          </w:p>
        </w:tc>
        <w:tc>
          <w:tcPr>
            <w:tcW w:w="8012" w:type="dxa"/>
            <w:gridSpan w:val="3"/>
            <w:noWrap w:val="0"/>
            <w:tcMar>
              <w:top w:w="16" w:type="dxa"/>
              <w:left w:w="16" w:type="dxa"/>
              <w:right w:w="16" w:type="dxa"/>
            </w:tcMar>
            <w:vAlign w:val="center"/>
          </w:tcPr>
          <w:p>
            <w:pPr>
              <w:keepNext w:val="0"/>
              <w:keepLines w:val="0"/>
              <w:pageBreakBefore w:val="0"/>
              <w:widowControl w:val="0"/>
              <w:kinsoku/>
              <w:wordWrap/>
              <w:overflowPunct/>
              <w:topLinePunct w:val="0"/>
              <w:bidi w:val="0"/>
              <w:spacing w:line="360" w:lineRule="auto"/>
              <w:ind w:firstLine="480" w:firstLineChars="200"/>
              <w:jc w:val="both"/>
              <w:textAlignment w:val="auto"/>
              <w:rPr>
                <w:rFonts w:hint="eastAsia" w:ascii="宋体" w:hAnsi="宋体" w:cs="宋体"/>
                <w:color w:val="auto"/>
                <w:kern w:val="0"/>
                <w:sz w:val="24"/>
                <w:szCs w:val="24"/>
              </w:rPr>
            </w:pPr>
            <w:r>
              <w:rPr>
                <w:rFonts w:hint="eastAsia"/>
                <w:color w:val="auto"/>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1123" w:type="dxa"/>
            <w:noWrap w:val="0"/>
            <w:tcMar>
              <w:top w:w="16" w:type="dxa"/>
              <w:left w:w="16" w:type="dxa"/>
              <w:right w:w="16" w:type="dxa"/>
            </w:tcMar>
            <w:vAlign w:val="center"/>
          </w:tcPr>
          <w:p>
            <w:pPr>
              <w:autoSpaceDE w:val="0"/>
              <w:autoSpaceDN w:val="0"/>
              <w:adjustRightInd w:val="0"/>
              <w:snapToGrid w:val="0"/>
              <w:jc w:val="center"/>
              <w:rPr>
                <w:rFonts w:ascii="宋体" w:hAnsi="宋体" w:cs="宋体"/>
                <w:color w:val="auto"/>
                <w:kern w:val="0"/>
                <w:sz w:val="24"/>
                <w:szCs w:val="24"/>
              </w:rPr>
            </w:pPr>
            <w:r>
              <w:rPr>
                <w:rFonts w:hint="eastAsia" w:ascii="宋体" w:hAnsi="宋体" w:cs="宋体"/>
                <w:color w:val="auto"/>
                <w:sz w:val="24"/>
                <w:szCs w:val="24"/>
              </w:rPr>
              <w:t>规划环境影响评价情况</w:t>
            </w:r>
          </w:p>
        </w:tc>
        <w:tc>
          <w:tcPr>
            <w:tcW w:w="8012" w:type="dxa"/>
            <w:gridSpan w:val="3"/>
            <w:noWrap w:val="0"/>
            <w:tcMar>
              <w:top w:w="16" w:type="dxa"/>
              <w:left w:w="16" w:type="dxa"/>
              <w:right w:w="16" w:type="dxa"/>
            </w:tcMar>
            <w:vAlign w:val="center"/>
          </w:tcPr>
          <w:p>
            <w:pPr>
              <w:keepNext w:val="0"/>
              <w:keepLines w:val="0"/>
              <w:pageBreakBefore w:val="0"/>
              <w:widowControl w:val="0"/>
              <w:kinsoku/>
              <w:wordWrap/>
              <w:overflowPunct/>
              <w:topLinePunct w:val="0"/>
              <w:bidi w:val="0"/>
              <w:spacing w:line="360" w:lineRule="auto"/>
              <w:ind w:firstLine="480" w:firstLineChars="200"/>
              <w:jc w:val="both"/>
              <w:textAlignment w:val="auto"/>
              <w:rPr>
                <w:rFonts w:hint="eastAsia"/>
                <w:color w:val="auto"/>
                <w:sz w:val="24"/>
                <w:szCs w:val="24"/>
              </w:rPr>
            </w:pPr>
            <w:r>
              <w:rPr>
                <w:rFonts w:hint="eastAsia"/>
                <w:color w:val="auto"/>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57" w:hRule="atLeast"/>
          <w:jc w:val="center"/>
        </w:trPr>
        <w:tc>
          <w:tcPr>
            <w:tcW w:w="1123" w:type="dxa"/>
            <w:noWrap w:val="0"/>
            <w:tcMar>
              <w:top w:w="16" w:type="dxa"/>
              <w:left w:w="16" w:type="dxa"/>
              <w:right w:w="16" w:type="dxa"/>
            </w:tcMar>
            <w:vAlign w:val="center"/>
          </w:tcPr>
          <w:p>
            <w:pPr>
              <w:autoSpaceDE w:val="0"/>
              <w:autoSpaceDN w:val="0"/>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规划及</w:t>
            </w:r>
            <w:r>
              <w:rPr>
                <w:rFonts w:hint="eastAsia" w:ascii="宋体" w:hAnsi="宋体" w:cs="宋体"/>
                <w:color w:val="auto"/>
                <w:sz w:val="24"/>
                <w:szCs w:val="24"/>
              </w:rPr>
              <w:t>规划环境影响评价</w:t>
            </w:r>
            <w:r>
              <w:rPr>
                <w:rFonts w:hint="eastAsia" w:ascii="宋体" w:hAnsi="宋体" w:cs="宋体"/>
                <w:color w:val="auto"/>
                <w:kern w:val="0"/>
                <w:sz w:val="24"/>
                <w:szCs w:val="24"/>
              </w:rPr>
              <w:t>符合性分析</w:t>
            </w:r>
          </w:p>
        </w:tc>
        <w:tc>
          <w:tcPr>
            <w:tcW w:w="8012" w:type="dxa"/>
            <w:gridSpan w:val="3"/>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spacing w:line="360" w:lineRule="auto"/>
              <w:ind w:firstLine="480" w:firstLineChars="200"/>
              <w:jc w:val="both"/>
              <w:textAlignment w:val="auto"/>
              <w:rPr>
                <w:rFonts w:hint="eastAsia" w:ascii="宋体" w:hAnsi="宋体" w:cs="宋体"/>
                <w:color w:val="auto"/>
                <w:kern w:val="0"/>
                <w:sz w:val="24"/>
                <w:szCs w:val="24"/>
              </w:rPr>
            </w:pPr>
            <w:r>
              <w:rPr>
                <w:rFonts w:hint="eastAsia" w:ascii="宋体" w:hAnsi="宋体" w:cs="宋体"/>
                <w:color w:val="auto"/>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jc w:val="center"/>
        </w:trPr>
        <w:tc>
          <w:tcPr>
            <w:tcW w:w="1123" w:type="dxa"/>
            <w:noWrap w:val="0"/>
            <w:tcMar>
              <w:top w:w="16" w:type="dxa"/>
              <w:left w:w="16" w:type="dxa"/>
              <w:right w:w="16" w:type="dxa"/>
            </w:tcMar>
            <w:vAlign w:val="center"/>
          </w:tcPr>
          <w:p>
            <w:pPr>
              <w:autoSpaceDE w:val="0"/>
              <w:autoSpaceDN w:val="0"/>
              <w:adjustRightInd w:val="0"/>
              <w:snapToGrid w:val="0"/>
              <w:jc w:val="center"/>
              <w:rPr>
                <w:rFonts w:ascii="宋体" w:hAnsi="宋体" w:cs="宋体"/>
                <w:color w:val="auto"/>
                <w:kern w:val="0"/>
                <w:szCs w:val="21"/>
              </w:rPr>
            </w:pPr>
            <w:bookmarkStart w:id="7" w:name="_Hlk56690880"/>
            <w:r>
              <w:rPr>
                <w:rFonts w:hint="eastAsia" w:ascii="宋体" w:hAnsi="宋体" w:cs="宋体"/>
                <w:color w:val="auto"/>
                <w:kern w:val="0"/>
                <w:sz w:val="24"/>
                <w:szCs w:val="24"/>
              </w:rPr>
              <w:t>其他符合性分析</w:t>
            </w:r>
            <w:bookmarkEnd w:id="7"/>
          </w:p>
        </w:tc>
        <w:tc>
          <w:tcPr>
            <w:tcW w:w="8012" w:type="dxa"/>
            <w:gridSpan w:val="3"/>
            <w:noWrap w:val="0"/>
            <w:tcMar>
              <w:top w:w="16" w:type="dxa"/>
              <w:left w:w="16" w:type="dxa"/>
              <w:right w:w="16" w:type="dxa"/>
            </w:tcMar>
            <w:vAlign w:val="center"/>
          </w:tcPr>
          <w:p>
            <w:pPr>
              <w:autoSpaceDE w:val="0"/>
              <w:autoSpaceDN w:val="0"/>
              <w:adjustRightInd w:val="0"/>
              <w:snapToGrid w:val="0"/>
              <w:spacing w:line="360" w:lineRule="auto"/>
              <w:rPr>
                <w:rFonts w:hint="eastAsia" w:ascii="宋体" w:hAnsi="宋体" w:cs="宋体"/>
                <w:b/>
                <w:bCs/>
                <w:color w:val="auto"/>
                <w:kern w:val="0"/>
                <w:sz w:val="24"/>
              </w:rPr>
            </w:pPr>
            <w:r>
              <w:rPr>
                <w:rFonts w:hint="eastAsia" w:ascii="宋体" w:hAnsi="宋体" w:cs="宋体"/>
                <w:b/>
                <w:bCs/>
                <w:color w:val="auto"/>
                <w:kern w:val="0"/>
                <w:sz w:val="24"/>
              </w:rPr>
              <w:t>1、产业政策符合性分析</w:t>
            </w:r>
          </w:p>
          <w:p>
            <w:pPr>
              <w:autoSpaceDE w:val="0"/>
              <w:autoSpaceDN w:val="0"/>
              <w:adjustRightInd w:val="0"/>
              <w:snapToGrid w:val="0"/>
              <w:spacing w:line="360" w:lineRule="auto"/>
              <w:ind w:firstLine="480" w:firstLineChars="200"/>
              <w:rPr>
                <w:rFonts w:hint="default" w:ascii="宋体" w:hAnsi="宋体" w:eastAsia="宋体" w:cs="宋体"/>
                <w:color w:val="auto"/>
                <w:kern w:val="0"/>
                <w:sz w:val="24"/>
                <w:lang w:val="en-US" w:eastAsia="zh-CN"/>
              </w:rPr>
            </w:pPr>
            <w:r>
              <w:rPr>
                <w:rFonts w:hint="eastAsia"/>
                <w:color w:val="auto"/>
                <w:kern w:val="0"/>
                <w:sz w:val="24"/>
              </w:rPr>
              <w:t>本项目为太阳能光伏发电项目。</w:t>
            </w:r>
            <w:r>
              <w:rPr>
                <w:rFonts w:hint="eastAsia"/>
                <w:color w:val="auto"/>
                <w:kern w:val="0"/>
                <w:sz w:val="24"/>
                <w:lang w:val="en-US" w:eastAsia="zh-CN"/>
              </w:rPr>
              <w:t>根据国家发展和改革委员会颁布的《产业结构调整指导目录（2024年本）》（自2024年2月1日起施行）</w:t>
            </w:r>
            <w:r>
              <w:rPr>
                <w:rFonts w:hint="eastAsia"/>
                <w:color w:val="auto"/>
                <w:kern w:val="0"/>
                <w:sz w:val="24"/>
              </w:rPr>
              <w:t>，属于</w:t>
            </w:r>
            <w:r>
              <w:rPr>
                <w:rFonts w:hint="eastAsia"/>
                <w:color w:val="auto"/>
                <w:kern w:val="0"/>
                <w:sz w:val="24"/>
                <w:lang w:eastAsia="zh-CN"/>
              </w:rPr>
              <w:t>“</w:t>
            </w:r>
            <w:r>
              <w:rPr>
                <w:rFonts w:hint="eastAsia"/>
                <w:color w:val="auto"/>
                <w:kern w:val="0"/>
                <w:sz w:val="24"/>
                <w:lang w:val="en-US" w:eastAsia="zh-CN"/>
              </w:rPr>
              <w:t>第一类</w:t>
            </w:r>
            <w:r>
              <w:rPr>
                <w:rFonts w:hint="eastAsia"/>
                <w:color w:val="auto"/>
                <w:kern w:val="0"/>
                <w:sz w:val="24"/>
                <w:lang w:eastAsia="zh-CN"/>
              </w:rPr>
              <w:t>鼓励类”</w:t>
            </w:r>
            <w:r>
              <w:rPr>
                <w:rFonts w:hint="eastAsia"/>
                <w:color w:val="auto"/>
                <w:kern w:val="0"/>
                <w:sz w:val="24"/>
              </w:rPr>
              <w:t xml:space="preserve">中的“五、新能源 </w:t>
            </w:r>
            <w:r>
              <w:rPr>
                <w:color w:val="auto"/>
                <w:kern w:val="0"/>
                <w:sz w:val="24"/>
              </w:rPr>
              <w:t xml:space="preserve"> 1、</w:t>
            </w:r>
            <w:r>
              <w:rPr>
                <w:rFonts w:hint="eastAsia"/>
                <w:color w:val="auto"/>
                <w:kern w:val="0"/>
                <w:sz w:val="24"/>
                <w:lang w:val="en-US" w:eastAsia="zh-CN"/>
              </w:rPr>
              <w:t>可再生能源利用技术与应用</w:t>
            </w:r>
            <w:r>
              <w:rPr>
                <w:rFonts w:hint="eastAsia"/>
                <w:color w:val="auto"/>
                <w:kern w:val="0"/>
                <w:sz w:val="24"/>
              </w:rPr>
              <w:t>”。</w:t>
            </w:r>
            <w:r>
              <w:rPr>
                <w:color w:val="auto"/>
                <w:kern w:val="0"/>
                <w:sz w:val="24"/>
              </w:rPr>
              <w:t>项目已取得</w:t>
            </w:r>
            <w:r>
              <w:rPr>
                <w:rFonts w:hint="eastAsia"/>
                <w:color w:val="auto"/>
                <w:kern w:val="0"/>
                <w:sz w:val="24"/>
              </w:rPr>
              <w:t>元谋县发展改革局投资备案证，同意项目建设。</w:t>
            </w:r>
            <w:r>
              <w:rPr>
                <w:rFonts w:hint="eastAsia"/>
                <w:color w:val="auto"/>
                <w:kern w:val="0"/>
                <w:sz w:val="24"/>
                <w:lang w:val="en-US" w:eastAsia="zh-CN"/>
              </w:rPr>
              <w:t>项目备案代码：2201-532328-04-01-138087。</w:t>
            </w:r>
          </w:p>
          <w:p>
            <w:pPr>
              <w:autoSpaceDE w:val="0"/>
              <w:autoSpaceDN w:val="0"/>
              <w:adjustRightInd w:val="0"/>
              <w:snapToGrid w:val="0"/>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综上所述，本项目建设符合国家产业政策的要求。</w:t>
            </w:r>
          </w:p>
          <w:p>
            <w:pPr>
              <w:autoSpaceDE w:val="0"/>
              <w:autoSpaceDN w:val="0"/>
              <w:adjustRightInd w:val="0"/>
              <w:snapToGrid w:val="0"/>
              <w:spacing w:line="360" w:lineRule="auto"/>
              <w:rPr>
                <w:rFonts w:hint="eastAsia" w:ascii="宋体" w:hAnsi="宋体" w:cs="宋体"/>
                <w:b/>
                <w:bCs/>
                <w:color w:val="auto"/>
                <w:kern w:val="0"/>
                <w:sz w:val="24"/>
              </w:rPr>
            </w:pPr>
            <w:r>
              <w:rPr>
                <w:rFonts w:hint="eastAsia" w:ascii="宋体" w:hAnsi="宋体" w:cs="宋体"/>
                <w:b/>
                <w:bCs/>
                <w:color w:val="auto"/>
                <w:kern w:val="0"/>
                <w:sz w:val="24"/>
              </w:rPr>
              <w:t>2、“三线一单”符合性分析</w:t>
            </w:r>
          </w:p>
          <w:p>
            <w:pPr>
              <w:autoSpaceDE w:val="0"/>
              <w:autoSpaceDN w:val="0"/>
              <w:spacing w:line="360" w:lineRule="auto"/>
              <w:ind w:firstLine="480" w:firstLineChars="200"/>
              <w:rPr>
                <w:color w:val="auto"/>
                <w:kern w:val="0"/>
                <w:sz w:val="24"/>
              </w:rPr>
            </w:pPr>
            <w:r>
              <w:rPr>
                <w:rFonts w:hint="eastAsia"/>
                <w:color w:val="auto"/>
                <w:kern w:val="0"/>
                <w:sz w:val="24"/>
              </w:rPr>
              <w:t>根据2021年</w:t>
            </w:r>
            <w:r>
              <w:rPr>
                <w:color w:val="auto"/>
                <w:kern w:val="0"/>
                <w:sz w:val="24"/>
              </w:rPr>
              <w:t>8</w:t>
            </w:r>
            <w:r>
              <w:rPr>
                <w:rFonts w:hint="eastAsia"/>
                <w:color w:val="auto"/>
                <w:kern w:val="0"/>
                <w:sz w:val="24"/>
              </w:rPr>
              <w:t>月</w:t>
            </w:r>
            <w:r>
              <w:rPr>
                <w:color w:val="auto"/>
                <w:kern w:val="0"/>
                <w:sz w:val="24"/>
              </w:rPr>
              <w:t>11</w:t>
            </w:r>
            <w:r>
              <w:rPr>
                <w:rFonts w:hint="eastAsia"/>
                <w:color w:val="auto"/>
                <w:kern w:val="0"/>
                <w:sz w:val="24"/>
              </w:rPr>
              <w:t>日“楚雄州人民政府关于印发楚雄州‘三线一单’生态环境分区管控实施方案的通知”（楚政发〔2021〕2</w:t>
            </w:r>
            <w:r>
              <w:rPr>
                <w:color w:val="auto"/>
                <w:kern w:val="0"/>
                <w:sz w:val="24"/>
              </w:rPr>
              <w:t>2</w:t>
            </w:r>
            <w:r>
              <w:rPr>
                <w:rFonts w:hint="eastAsia"/>
                <w:color w:val="auto"/>
                <w:kern w:val="0"/>
                <w:sz w:val="24"/>
              </w:rPr>
              <w:t>号），项目与楚雄州“三线一单”的符合性分析如下：</w:t>
            </w:r>
          </w:p>
          <w:p>
            <w:pPr>
              <w:autoSpaceDE w:val="0"/>
              <w:autoSpaceDN w:val="0"/>
              <w:spacing w:line="360" w:lineRule="auto"/>
              <w:ind w:firstLine="480" w:firstLineChars="200"/>
              <w:rPr>
                <w:color w:val="auto"/>
                <w:kern w:val="0"/>
                <w:sz w:val="24"/>
              </w:rPr>
            </w:pPr>
            <w:r>
              <w:rPr>
                <w:rFonts w:hint="eastAsia"/>
                <w:color w:val="auto"/>
                <w:kern w:val="0"/>
                <w:sz w:val="24"/>
              </w:rPr>
              <w:t>（1）生态保护红线</w:t>
            </w:r>
          </w:p>
          <w:p>
            <w:pPr>
              <w:autoSpaceDE w:val="0"/>
              <w:autoSpaceDN w:val="0"/>
              <w:spacing w:line="360" w:lineRule="auto"/>
              <w:ind w:firstLine="480" w:firstLineChars="200"/>
              <w:rPr>
                <w:color w:val="auto"/>
                <w:kern w:val="0"/>
                <w:sz w:val="24"/>
              </w:rPr>
            </w:pPr>
            <w:r>
              <w:rPr>
                <w:rFonts w:hint="eastAsia"/>
                <w:color w:val="auto"/>
                <w:kern w:val="0"/>
                <w:sz w:val="24"/>
              </w:rPr>
              <w:t>根据元谋县自然资源局出具的《关于华能元谋金河光伏电站项目拟选址意见的复函》（附件</w:t>
            </w:r>
            <w:r>
              <w:rPr>
                <w:rFonts w:hint="eastAsia"/>
                <w:color w:val="auto"/>
                <w:kern w:val="0"/>
                <w:sz w:val="24"/>
                <w:lang w:val="en-US" w:eastAsia="zh-CN"/>
              </w:rPr>
              <w:t>5</w:t>
            </w:r>
            <w:r>
              <w:rPr>
                <w:rFonts w:hint="eastAsia"/>
                <w:color w:val="auto"/>
                <w:kern w:val="0"/>
                <w:sz w:val="24"/>
              </w:rPr>
              <w:t>），项目用地范围未占用生态保护红线（公开版）。</w:t>
            </w:r>
          </w:p>
          <w:p>
            <w:pPr>
              <w:autoSpaceDE w:val="0"/>
              <w:autoSpaceDN w:val="0"/>
              <w:adjustRightInd w:val="0"/>
              <w:snapToGrid w:val="0"/>
              <w:spacing w:line="360" w:lineRule="auto"/>
              <w:ind w:firstLine="480" w:firstLineChars="200"/>
              <w:rPr>
                <w:rFonts w:hint="eastAsia"/>
                <w:color w:val="auto"/>
                <w:kern w:val="0"/>
                <w:sz w:val="24"/>
              </w:rPr>
            </w:pPr>
            <w:r>
              <w:rPr>
                <w:rFonts w:hint="eastAsia"/>
                <w:color w:val="auto"/>
                <w:kern w:val="0"/>
                <w:sz w:val="24"/>
              </w:rPr>
              <w:t>（2）环境质量底线</w:t>
            </w:r>
          </w:p>
          <w:p>
            <w:pPr>
              <w:widowControl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表1</w:t>
            </w:r>
            <w:r>
              <w:rPr>
                <w:rFonts w:ascii="Times New Roman" w:hAnsi="Times New Roman" w:eastAsia="宋体" w:cs="Times New Roman"/>
                <w:b/>
                <w:bCs/>
                <w:color w:val="auto"/>
                <w:kern w:val="0"/>
                <w:sz w:val="21"/>
                <w:szCs w:val="21"/>
                <w:lang w:val="en-US" w:eastAsia="zh-CN" w:bidi="ar-SA"/>
              </w:rPr>
              <w:t xml:space="preserve">-1  </w:t>
            </w:r>
            <w:r>
              <w:rPr>
                <w:rFonts w:hint="eastAsia" w:ascii="Times New Roman" w:hAnsi="Times New Roman" w:eastAsia="宋体" w:cs="Times New Roman"/>
                <w:b/>
                <w:bCs/>
                <w:color w:val="auto"/>
                <w:kern w:val="0"/>
                <w:sz w:val="21"/>
                <w:szCs w:val="21"/>
                <w:lang w:val="en-US" w:eastAsia="zh-CN" w:bidi="ar-SA"/>
              </w:rPr>
              <w:t>项目与楚雄州“三线一单”环境质量底线要求的相符性</w:t>
            </w:r>
          </w:p>
          <w:tbl>
            <w:tblPr>
              <w:tblStyle w:val="18"/>
              <w:tblW w:w="4942"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3123"/>
              <w:gridCol w:w="3434"/>
              <w:gridCol w:w="64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noWrap w:val="0"/>
                  <w:vAlign w:val="center"/>
                </w:tcPr>
                <w:p>
                  <w:pPr>
                    <w:autoSpaceDE w:val="0"/>
                    <w:autoSpaceDN w:val="0"/>
                    <w:adjustRightInd w:val="0"/>
                    <w:snapToGrid w:val="0"/>
                    <w:jc w:val="center"/>
                    <w:rPr>
                      <w:b/>
                      <w:color w:val="auto"/>
                      <w:kern w:val="0"/>
                      <w:szCs w:val="21"/>
                    </w:rPr>
                  </w:pPr>
                  <w:r>
                    <w:rPr>
                      <w:rFonts w:hint="eastAsia"/>
                      <w:b/>
                      <w:color w:val="auto"/>
                      <w:kern w:val="0"/>
                      <w:szCs w:val="21"/>
                    </w:rPr>
                    <w:t>类别</w:t>
                  </w:r>
                </w:p>
              </w:tc>
              <w:tc>
                <w:tcPr>
                  <w:tcW w:w="1987" w:type="pct"/>
                  <w:noWrap w:val="0"/>
                  <w:vAlign w:val="center"/>
                </w:tcPr>
                <w:p>
                  <w:pPr>
                    <w:autoSpaceDE w:val="0"/>
                    <w:autoSpaceDN w:val="0"/>
                    <w:adjustRightInd w:val="0"/>
                    <w:snapToGrid w:val="0"/>
                    <w:jc w:val="center"/>
                    <w:rPr>
                      <w:b/>
                      <w:color w:val="auto"/>
                      <w:kern w:val="0"/>
                      <w:szCs w:val="21"/>
                    </w:rPr>
                  </w:pPr>
                  <w:r>
                    <w:rPr>
                      <w:rFonts w:hint="eastAsia"/>
                      <w:b/>
                      <w:color w:val="auto"/>
                      <w:kern w:val="0"/>
                      <w:szCs w:val="21"/>
                    </w:rPr>
                    <w:t>要求</w:t>
                  </w:r>
                </w:p>
              </w:tc>
              <w:tc>
                <w:tcPr>
                  <w:tcW w:w="2185" w:type="pct"/>
                  <w:noWrap w:val="0"/>
                  <w:vAlign w:val="center"/>
                </w:tcPr>
                <w:p>
                  <w:pPr>
                    <w:autoSpaceDE w:val="0"/>
                    <w:autoSpaceDN w:val="0"/>
                    <w:adjustRightInd w:val="0"/>
                    <w:snapToGrid w:val="0"/>
                    <w:jc w:val="center"/>
                    <w:rPr>
                      <w:b/>
                      <w:color w:val="auto"/>
                      <w:kern w:val="0"/>
                      <w:szCs w:val="21"/>
                    </w:rPr>
                  </w:pPr>
                  <w:r>
                    <w:rPr>
                      <w:rFonts w:hint="eastAsia"/>
                      <w:b/>
                      <w:color w:val="auto"/>
                      <w:kern w:val="0"/>
                      <w:szCs w:val="21"/>
                    </w:rPr>
                    <w:t>项目情况</w:t>
                  </w:r>
                </w:p>
              </w:tc>
              <w:tc>
                <w:tcPr>
                  <w:tcW w:w="413" w:type="pct"/>
                  <w:noWrap w:val="0"/>
                  <w:vAlign w:val="center"/>
                </w:tcPr>
                <w:p>
                  <w:pPr>
                    <w:autoSpaceDE w:val="0"/>
                    <w:autoSpaceDN w:val="0"/>
                    <w:adjustRightInd w:val="0"/>
                    <w:snapToGrid w:val="0"/>
                    <w:jc w:val="center"/>
                    <w:rPr>
                      <w:b/>
                      <w:color w:val="auto"/>
                      <w:kern w:val="0"/>
                      <w:szCs w:val="21"/>
                    </w:rPr>
                  </w:pPr>
                  <w:r>
                    <w:rPr>
                      <w:rFonts w:hint="eastAsia"/>
                      <w:b/>
                      <w:color w:val="auto"/>
                      <w:kern w:val="0"/>
                      <w:szCs w:val="21"/>
                    </w:rPr>
                    <w:t>符合性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水环境质量底线</w:t>
                  </w:r>
                </w:p>
              </w:tc>
              <w:tc>
                <w:tcPr>
                  <w:tcW w:w="1987" w:type="pct"/>
                  <w:noWrap w:val="0"/>
                  <w:vAlign w:val="center"/>
                </w:tcPr>
                <w:p>
                  <w:pPr>
                    <w:autoSpaceDE w:val="0"/>
                    <w:autoSpaceDN w:val="0"/>
                    <w:adjustRightInd w:val="0"/>
                    <w:snapToGrid w:val="0"/>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到2025年，国控、省控地表水监测断面水质优良率高于全国全省平均水平，重点区域、流域水环境质量进一步改善，全面消除劣Ⅴ类水体，集中式饮用水水源水质巩固改善。到2035年，地表水体水质优良率全面提升，各监测断面水质达到水环境功能要求，全面消除Ⅴ类及以下水体，集中式饮用水水源水质稳定达标。</w:t>
                  </w:r>
                </w:p>
              </w:tc>
              <w:tc>
                <w:tcPr>
                  <w:tcW w:w="2185" w:type="pct"/>
                  <w:noWrap w:val="0"/>
                  <w:vAlign w:val="center"/>
                </w:tcPr>
                <w:p>
                  <w:pPr>
                    <w:autoSpaceDE w:val="0"/>
                    <w:autoSpaceDN w:val="0"/>
                    <w:adjustRightInd w:val="0"/>
                    <w:snapToGrid w:val="0"/>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项目不涉及饮用水水源保护区。主要涉及的地表水体为龙川江及大沙箐、丙巷河，均属金沙江支流。根据环境质量公报，金沙江在项目区上游、下游的2个长期监测断面水质现状均达到相应水环境功能要求。项目建设、运行过程中产生的废水全部收集处理后回用，不直接排入地表水体，不会造成区域水环境质量突破底线。</w:t>
                  </w:r>
                </w:p>
              </w:tc>
              <w:tc>
                <w:tcPr>
                  <w:tcW w:w="413"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大气环境质量底线</w:t>
                  </w:r>
                </w:p>
              </w:tc>
              <w:tc>
                <w:tcPr>
                  <w:tcW w:w="1987" w:type="pct"/>
                  <w:noWrap w:val="0"/>
                  <w:vAlign w:val="center"/>
                </w:tcPr>
                <w:p>
                  <w:pPr>
                    <w:autoSpaceDE w:val="0"/>
                    <w:autoSpaceDN w:val="0"/>
                    <w:adjustRightInd w:val="0"/>
                    <w:snapToGrid w:val="0"/>
                    <w:rPr>
                      <w:color w:val="auto"/>
                      <w:kern w:val="0"/>
                      <w:szCs w:val="21"/>
                    </w:rPr>
                  </w:pPr>
                  <w:r>
                    <w:rPr>
                      <w:rFonts w:hint="eastAsia"/>
                      <w:color w:val="auto"/>
                      <w:kern w:val="0"/>
                      <w:szCs w:val="21"/>
                    </w:rPr>
                    <w:t>到2025年，环境空气质量稳中向好，10县市城市环境空气质量稳定达到国家二级标准。到2035年，环境空气质量全面改善，10县市城市环境空气质量优于国家一级标准天数逐步提高。</w:t>
                  </w:r>
                </w:p>
              </w:tc>
              <w:tc>
                <w:tcPr>
                  <w:tcW w:w="2185" w:type="pct"/>
                  <w:noWrap w:val="0"/>
                  <w:vAlign w:val="center"/>
                </w:tcPr>
                <w:p>
                  <w:pPr>
                    <w:autoSpaceDE w:val="0"/>
                    <w:autoSpaceDN w:val="0"/>
                    <w:adjustRightInd w:val="0"/>
                    <w:snapToGrid w:val="0"/>
                    <w:rPr>
                      <w:color w:val="auto"/>
                      <w:kern w:val="0"/>
                      <w:szCs w:val="21"/>
                    </w:rPr>
                  </w:pPr>
                  <w:r>
                    <w:rPr>
                      <w:rFonts w:hint="eastAsia"/>
                      <w:color w:val="auto"/>
                      <w:kern w:val="0"/>
                      <w:szCs w:val="21"/>
                    </w:rPr>
                    <w:t>根据《202</w:t>
                  </w:r>
                  <w:r>
                    <w:rPr>
                      <w:rFonts w:hint="eastAsia"/>
                      <w:color w:val="auto"/>
                      <w:kern w:val="0"/>
                      <w:szCs w:val="21"/>
                      <w:lang w:val="en-US" w:eastAsia="zh-CN"/>
                    </w:rPr>
                    <w:t>2</w:t>
                  </w:r>
                  <w:r>
                    <w:rPr>
                      <w:rFonts w:hint="eastAsia"/>
                      <w:color w:val="auto"/>
                      <w:kern w:val="0"/>
                      <w:szCs w:val="21"/>
                    </w:rPr>
                    <w:t>年元谋县环境质量状况</w:t>
                  </w:r>
                  <w:r>
                    <w:rPr>
                      <w:rFonts w:hint="eastAsia"/>
                      <w:color w:val="auto"/>
                      <w:kern w:val="0"/>
                      <w:szCs w:val="21"/>
                      <w:lang w:val="en-US" w:eastAsia="zh-CN"/>
                    </w:rPr>
                    <w:t>报告</w:t>
                  </w:r>
                  <w:r>
                    <w:rPr>
                      <w:rFonts w:hint="eastAsia"/>
                      <w:color w:val="auto"/>
                      <w:kern w:val="0"/>
                      <w:szCs w:val="21"/>
                    </w:rPr>
                    <w:t>》，元谋县属环境空气质量达标区。本项目建设运行过程中产生的大气污染经采取环评提出的措施后可达标排放，对环境空气影响较小，不会造成区域环境空气质量功能下降。</w:t>
                  </w:r>
                </w:p>
              </w:tc>
              <w:tc>
                <w:tcPr>
                  <w:tcW w:w="413"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土壤环境风险防控底线</w:t>
                  </w:r>
                </w:p>
              </w:tc>
              <w:tc>
                <w:tcPr>
                  <w:tcW w:w="1987" w:type="pct"/>
                  <w:noWrap w:val="0"/>
                  <w:vAlign w:val="center"/>
                </w:tcPr>
                <w:p>
                  <w:pPr>
                    <w:autoSpaceDE w:val="0"/>
                    <w:autoSpaceDN w:val="0"/>
                    <w:adjustRightInd w:val="0"/>
                    <w:snapToGrid w:val="0"/>
                    <w:rPr>
                      <w:color w:val="auto"/>
                      <w:kern w:val="0"/>
                      <w:szCs w:val="21"/>
                    </w:rPr>
                  </w:pPr>
                  <w:r>
                    <w:rPr>
                      <w:rFonts w:hint="eastAsia"/>
                      <w:color w:val="auto"/>
                      <w:kern w:val="0"/>
                      <w:szCs w:val="21"/>
                    </w:rPr>
                    <w:t>到2025年，土壤环境风险防范体系进一步完善，受污染耕地安全利用率和污染地块安全利用率进一步提高。到2035年，土壤环境质量稳中向好，农用地和建设用地土壤环境安全得到有效保障，土壤环境风险得到全面管控。</w:t>
                  </w:r>
                </w:p>
              </w:tc>
              <w:tc>
                <w:tcPr>
                  <w:tcW w:w="2185" w:type="pct"/>
                  <w:noWrap w:val="0"/>
                  <w:vAlign w:val="center"/>
                </w:tcPr>
                <w:p>
                  <w:pPr>
                    <w:autoSpaceDE w:val="0"/>
                    <w:autoSpaceDN w:val="0"/>
                    <w:adjustRightInd w:val="0"/>
                    <w:snapToGrid w:val="0"/>
                    <w:rPr>
                      <w:color w:val="auto"/>
                      <w:kern w:val="0"/>
                      <w:szCs w:val="21"/>
                    </w:rPr>
                  </w:pPr>
                  <w:r>
                    <w:rPr>
                      <w:rFonts w:hint="eastAsia"/>
                      <w:color w:val="auto"/>
                      <w:kern w:val="0"/>
                      <w:szCs w:val="21"/>
                    </w:rPr>
                    <w:t>项目集油坑、事故油池、危废暂存间、油品库采取重点防渗、生活污水处理设施采取一般防渗、各类固废妥善收集处置，土壤污染风险能得到有效控制，对土壤环境的影响可控。</w:t>
                  </w:r>
                </w:p>
              </w:tc>
              <w:tc>
                <w:tcPr>
                  <w:tcW w:w="413"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bl>
          <w:p>
            <w:pPr>
              <w:autoSpaceDE w:val="0"/>
              <w:autoSpaceDN w:val="0"/>
              <w:spacing w:before="120" w:beforeLines="50" w:line="360" w:lineRule="auto"/>
              <w:ind w:firstLine="480" w:firstLineChars="200"/>
              <w:rPr>
                <w:color w:val="auto"/>
                <w:kern w:val="0"/>
                <w:sz w:val="24"/>
              </w:rPr>
            </w:pPr>
            <w:r>
              <w:rPr>
                <w:rFonts w:hint="eastAsia"/>
                <w:color w:val="auto"/>
                <w:kern w:val="0"/>
                <w:sz w:val="24"/>
              </w:rPr>
              <w:t>（</w:t>
            </w:r>
            <w:r>
              <w:rPr>
                <w:color w:val="auto"/>
                <w:kern w:val="0"/>
                <w:sz w:val="24"/>
              </w:rPr>
              <w:t>3</w:t>
            </w:r>
            <w:r>
              <w:rPr>
                <w:rFonts w:hint="eastAsia"/>
                <w:color w:val="auto"/>
                <w:kern w:val="0"/>
                <w:sz w:val="24"/>
              </w:rPr>
              <w:t>）资源利用上线</w:t>
            </w:r>
          </w:p>
          <w:p>
            <w:pPr>
              <w:autoSpaceDE w:val="0"/>
              <w:autoSpaceDN w:val="0"/>
              <w:spacing w:line="360" w:lineRule="auto"/>
              <w:ind w:firstLine="482" w:firstLineChars="200"/>
              <w:rPr>
                <w:rFonts w:hint="eastAsia" w:ascii="宋体" w:hAnsi="宋体" w:cs="宋体"/>
                <w:b/>
                <w:bCs/>
                <w:color w:val="auto"/>
                <w:kern w:val="0"/>
                <w:sz w:val="24"/>
              </w:rPr>
            </w:pPr>
            <w:r>
              <w:rPr>
                <w:rFonts w:hint="eastAsia"/>
                <w:b/>
                <w:bCs/>
                <w:color w:val="auto"/>
                <w:kern w:val="0"/>
                <w:sz w:val="24"/>
              </w:rPr>
              <w:t>表1</w:t>
            </w:r>
            <w:r>
              <w:rPr>
                <w:b/>
                <w:bCs/>
                <w:color w:val="auto"/>
                <w:kern w:val="0"/>
                <w:sz w:val="24"/>
              </w:rPr>
              <w:t xml:space="preserve">-2  </w:t>
            </w:r>
            <w:r>
              <w:rPr>
                <w:rFonts w:hint="eastAsia"/>
                <w:b/>
                <w:bCs/>
                <w:color w:val="auto"/>
                <w:kern w:val="0"/>
                <w:sz w:val="24"/>
              </w:rPr>
              <w:t>项目与楚雄州“三线一单”资源利用上线要求的相符性</w:t>
            </w:r>
          </w:p>
          <w:tbl>
            <w:tblPr>
              <w:tblStyle w:val="18"/>
              <w:tblW w:w="4891"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2307"/>
              <w:gridCol w:w="4112"/>
              <w:gridCol w:w="70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 w:type="pct"/>
                  <w:noWrap w:val="0"/>
                  <w:vAlign w:val="center"/>
                </w:tcPr>
                <w:p>
                  <w:pPr>
                    <w:autoSpaceDE w:val="0"/>
                    <w:autoSpaceDN w:val="0"/>
                    <w:adjustRightInd w:val="0"/>
                    <w:snapToGrid w:val="0"/>
                    <w:jc w:val="center"/>
                    <w:rPr>
                      <w:b/>
                      <w:color w:val="auto"/>
                      <w:kern w:val="0"/>
                      <w:szCs w:val="21"/>
                    </w:rPr>
                  </w:pPr>
                  <w:r>
                    <w:rPr>
                      <w:rFonts w:hint="eastAsia"/>
                      <w:b/>
                      <w:color w:val="auto"/>
                      <w:kern w:val="0"/>
                      <w:szCs w:val="21"/>
                    </w:rPr>
                    <w:t>类别</w:t>
                  </w:r>
                </w:p>
              </w:tc>
              <w:tc>
                <w:tcPr>
                  <w:tcW w:w="1483" w:type="pct"/>
                  <w:noWrap w:val="0"/>
                  <w:vAlign w:val="center"/>
                </w:tcPr>
                <w:p>
                  <w:pPr>
                    <w:autoSpaceDE w:val="0"/>
                    <w:autoSpaceDN w:val="0"/>
                    <w:adjustRightInd w:val="0"/>
                    <w:snapToGrid w:val="0"/>
                    <w:jc w:val="center"/>
                    <w:rPr>
                      <w:b/>
                      <w:color w:val="auto"/>
                      <w:kern w:val="0"/>
                      <w:szCs w:val="21"/>
                    </w:rPr>
                  </w:pPr>
                  <w:r>
                    <w:rPr>
                      <w:rFonts w:hint="eastAsia"/>
                      <w:b/>
                      <w:color w:val="auto"/>
                      <w:kern w:val="0"/>
                      <w:szCs w:val="21"/>
                    </w:rPr>
                    <w:t>要求</w:t>
                  </w:r>
                </w:p>
              </w:tc>
              <w:tc>
                <w:tcPr>
                  <w:tcW w:w="2644" w:type="pct"/>
                  <w:noWrap w:val="0"/>
                  <w:vAlign w:val="center"/>
                </w:tcPr>
                <w:p>
                  <w:pPr>
                    <w:autoSpaceDE w:val="0"/>
                    <w:autoSpaceDN w:val="0"/>
                    <w:adjustRightInd w:val="0"/>
                    <w:snapToGrid w:val="0"/>
                    <w:jc w:val="center"/>
                    <w:rPr>
                      <w:b/>
                      <w:color w:val="auto"/>
                      <w:kern w:val="0"/>
                      <w:szCs w:val="21"/>
                    </w:rPr>
                  </w:pPr>
                  <w:r>
                    <w:rPr>
                      <w:rFonts w:hint="eastAsia"/>
                      <w:b/>
                      <w:color w:val="auto"/>
                      <w:kern w:val="0"/>
                      <w:szCs w:val="21"/>
                    </w:rPr>
                    <w:t>项目情况</w:t>
                  </w:r>
                </w:p>
              </w:tc>
              <w:tc>
                <w:tcPr>
                  <w:tcW w:w="456" w:type="pct"/>
                  <w:noWrap w:val="0"/>
                  <w:vAlign w:val="center"/>
                </w:tcPr>
                <w:p>
                  <w:pPr>
                    <w:autoSpaceDE w:val="0"/>
                    <w:autoSpaceDN w:val="0"/>
                    <w:adjustRightInd w:val="0"/>
                    <w:snapToGrid w:val="0"/>
                    <w:jc w:val="center"/>
                    <w:rPr>
                      <w:b/>
                      <w:color w:val="auto"/>
                      <w:kern w:val="0"/>
                      <w:szCs w:val="21"/>
                    </w:rPr>
                  </w:pPr>
                  <w:r>
                    <w:rPr>
                      <w:rFonts w:hint="eastAsia"/>
                      <w:b/>
                      <w:color w:val="auto"/>
                      <w:kern w:val="0"/>
                      <w:szCs w:val="21"/>
                    </w:rPr>
                    <w:t>符合性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水资源利用上线</w:t>
                  </w:r>
                </w:p>
              </w:tc>
              <w:tc>
                <w:tcPr>
                  <w:tcW w:w="1483" w:type="pct"/>
                  <w:noWrap w:val="0"/>
                  <w:vAlign w:val="center"/>
                </w:tcPr>
                <w:p>
                  <w:pPr>
                    <w:autoSpaceDE w:val="0"/>
                    <w:autoSpaceDN w:val="0"/>
                    <w:adjustRightInd w:val="0"/>
                    <w:snapToGrid w:val="0"/>
                    <w:rPr>
                      <w:color w:val="auto"/>
                      <w:kern w:val="0"/>
                      <w:szCs w:val="21"/>
                    </w:rPr>
                  </w:pPr>
                  <w:r>
                    <w:rPr>
                      <w:rFonts w:hint="eastAsia"/>
                      <w:color w:val="auto"/>
                      <w:kern w:val="0"/>
                      <w:szCs w:val="21"/>
                    </w:rPr>
                    <w:t>到2</w:t>
                  </w:r>
                  <w:r>
                    <w:rPr>
                      <w:color w:val="auto"/>
                      <w:kern w:val="0"/>
                      <w:szCs w:val="21"/>
                    </w:rPr>
                    <w:t>025年，水资源节约和循环利用水平显著提高，用水量和用水效率达到云南省下达的总量和强度控制目标。</w:t>
                  </w:r>
                </w:p>
              </w:tc>
              <w:tc>
                <w:tcPr>
                  <w:tcW w:w="2644" w:type="pct"/>
                  <w:noWrap w:val="0"/>
                  <w:vAlign w:val="center"/>
                </w:tcPr>
                <w:p>
                  <w:pPr>
                    <w:autoSpaceDE w:val="0"/>
                    <w:autoSpaceDN w:val="0"/>
                    <w:adjustRightInd w:val="0"/>
                    <w:snapToGrid w:val="0"/>
                    <w:rPr>
                      <w:color w:val="auto"/>
                      <w:kern w:val="0"/>
                      <w:szCs w:val="21"/>
                    </w:rPr>
                  </w:pPr>
                  <w:r>
                    <w:rPr>
                      <w:rFonts w:hint="eastAsia"/>
                      <w:color w:val="auto"/>
                      <w:kern w:val="0"/>
                      <w:szCs w:val="21"/>
                    </w:rPr>
                    <w:t>项目新鲜用水主要为光伏板清洁用水及运营管理人员生活用水，用水量少，不会对当地水资源供应产生明显影响。产生的废水处理后全部回用于光伏板下林草植被及作物浇洒，节约利用水资源。</w:t>
                  </w:r>
                </w:p>
              </w:tc>
              <w:tc>
                <w:tcPr>
                  <w:tcW w:w="456"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土地资源利用上线</w:t>
                  </w:r>
                </w:p>
              </w:tc>
              <w:tc>
                <w:tcPr>
                  <w:tcW w:w="1483" w:type="pct"/>
                  <w:noWrap w:val="0"/>
                  <w:vAlign w:val="center"/>
                </w:tcPr>
                <w:p>
                  <w:pPr>
                    <w:autoSpaceDE w:val="0"/>
                    <w:autoSpaceDN w:val="0"/>
                    <w:adjustRightInd w:val="0"/>
                    <w:snapToGrid w:val="0"/>
                    <w:rPr>
                      <w:rFonts w:hint="eastAsia"/>
                      <w:color w:val="auto"/>
                      <w:kern w:val="0"/>
                      <w:szCs w:val="21"/>
                    </w:rPr>
                  </w:pPr>
                  <w:r>
                    <w:rPr>
                      <w:rFonts w:hint="eastAsia"/>
                      <w:color w:val="auto"/>
                      <w:kern w:val="0"/>
                      <w:szCs w:val="21"/>
                    </w:rPr>
                    <w:t>落实最严格的耕地保护制度。2025年，各县市土地利用达到自然资源和规划、住建等部门对土地资源开发利用总量及强度的土地资源利用上线管控要求。</w:t>
                  </w:r>
                </w:p>
              </w:tc>
              <w:tc>
                <w:tcPr>
                  <w:tcW w:w="2644" w:type="pct"/>
                  <w:noWrap w:val="0"/>
                  <w:vAlign w:val="center"/>
                </w:tcPr>
                <w:p>
                  <w:pPr>
                    <w:autoSpaceDE w:val="0"/>
                    <w:autoSpaceDN w:val="0"/>
                    <w:adjustRightInd w:val="0"/>
                    <w:snapToGrid w:val="0"/>
                    <w:rPr>
                      <w:rFonts w:hint="eastAsia"/>
                      <w:color w:val="auto"/>
                      <w:kern w:val="0"/>
                      <w:szCs w:val="21"/>
                    </w:rPr>
                  </w:pPr>
                  <w:r>
                    <w:rPr>
                      <w:rFonts w:hint="eastAsia"/>
                      <w:color w:val="auto"/>
                      <w:kern w:val="0"/>
                      <w:szCs w:val="21"/>
                    </w:rPr>
                    <w:t>项目用地以荒草地为主，局部少量占用果园和坡耕地，经元谋县自然资源局查询，不涉及占用基本农田</w:t>
                  </w:r>
                  <w:r>
                    <w:rPr>
                      <w:rFonts w:hint="eastAsia"/>
                      <w:color w:val="auto"/>
                      <w:kern w:val="0"/>
                      <w:szCs w:val="21"/>
                      <w:lang w:eastAsia="zh-CN"/>
                    </w:rPr>
                    <w:t>（</w:t>
                  </w:r>
                  <w:r>
                    <w:rPr>
                      <w:rFonts w:hint="eastAsia"/>
                      <w:color w:val="auto"/>
                      <w:kern w:val="0"/>
                      <w:szCs w:val="21"/>
                      <w:lang w:val="en-US" w:eastAsia="zh-CN"/>
                    </w:rPr>
                    <w:t>详见附件</w:t>
                  </w:r>
                  <w:r>
                    <w:rPr>
                      <w:rFonts w:hint="eastAsia"/>
                      <w:color w:val="auto"/>
                      <w:kern w:val="0"/>
                      <w:szCs w:val="21"/>
                      <w:lang w:eastAsia="zh-CN"/>
                    </w:rPr>
                    <w:t>）</w:t>
                  </w:r>
                  <w:r>
                    <w:rPr>
                      <w:rFonts w:hint="eastAsia"/>
                      <w:color w:val="auto"/>
                      <w:kern w:val="0"/>
                      <w:szCs w:val="21"/>
                    </w:rPr>
                    <w:t>。电站采取复合式开发，光伏阵列架设除桩基外不做地面硬化，组件按要求保持一定高度及行、列间距，阵列架设后，光伏板下及板间可恢复农业种植；箱变及分支箱基础、集电线路塔基、升压站等零星永久占地面积小，对地区土地利用的影响不大，依法依规办理建设用地手续，符合国家及地方对光伏项目土地利用的相关要求</w:t>
                  </w:r>
                </w:p>
              </w:tc>
              <w:tc>
                <w:tcPr>
                  <w:tcW w:w="456"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能源资源上线</w:t>
                  </w:r>
                </w:p>
              </w:tc>
              <w:tc>
                <w:tcPr>
                  <w:tcW w:w="1483" w:type="pct"/>
                  <w:noWrap w:val="0"/>
                  <w:vAlign w:val="center"/>
                </w:tcPr>
                <w:p>
                  <w:pPr>
                    <w:autoSpaceDE w:val="0"/>
                    <w:autoSpaceDN w:val="0"/>
                    <w:adjustRightInd w:val="0"/>
                    <w:snapToGrid w:val="0"/>
                    <w:rPr>
                      <w:rFonts w:hint="eastAsia"/>
                      <w:color w:val="auto"/>
                      <w:kern w:val="0"/>
                      <w:szCs w:val="21"/>
                    </w:rPr>
                  </w:pPr>
                  <w:r>
                    <w:rPr>
                      <w:rFonts w:hint="eastAsia"/>
                      <w:color w:val="auto"/>
                      <w:kern w:val="0"/>
                      <w:szCs w:val="21"/>
                    </w:rPr>
                    <w:t>严格落实能耗“双控”制度。2025年全州单位GDP能耗、能源消耗总量等满足能源利用上线的管控要求。</w:t>
                  </w:r>
                </w:p>
              </w:tc>
              <w:tc>
                <w:tcPr>
                  <w:tcW w:w="2644" w:type="pct"/>
                  <w:noWrap w:val="0"/>
                  <w:vAlign w:val="center"/>
                </w:tcPr>
                <w:p>
                  <w:pPr>
                    <w:autoSpaceDE w:val="0"/>
                    <w:autoSpaceDN w:val="0"/>
                    <w:adjustRightInd w:val="0"/>
                    <w:snapToGrid w:val="0"/>
                    <w:rPr>
                      <w:rFonts w:hint="eastAsia"/>
                      <w:color w:val="auto"/>
                      <w:kern w:val="0"/>
                      <w:szCs w:val="21"/>
                    </w:rPr>
                  </w:pPr>
                  <w:r>
                    <w:rPr>
                      <w:rFonts w:hint="eastAsia"/>
                      <w:color w:val="auto"/>
                      <w:kern w:val="0"/>
                      <w:szCs w:val="21"/>
                    </w:rPr>
                    <w:t>项目属清洁能源开发利用工程，自身建设运行能耗少，建成后有助于优化地区能源结构、保障能源供给。</w:t>
                  </w:r>
                </w:p>
              </w:tc>
              <w:tc>
                <w:tcPr>
                  <w:tcW w:w="456"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bl>
          <w:p>
            <w:pPr>
              <w:autoSpaceDE w:val="0"/>
              <w:autoSpaceDN w:val="0"/>
              <w:spacing w:before="120" w:beforeLines="50" w:line="360" w:lineRule="auto"/>
              <w:ind w:firstLine="480" w:firstLineChars="200"/>
              <w:rPr>
                <w:color w:val="auto"/>
                <w:kern w:val="0"/>
                <w:sz w:val="24"/>
              </w:rPr>
            </w:pPr>
            <w:r>
              <w:rPr>
                <w:rFonts w:hint="eastAsia"/>
                <w:color w:val="auto"/>
                <w:kern w:val="0"/>
                <w:sz w:val="24"/>
              </w:rPr>
              <w:t>（</w:t>
            </w:r>
            <w:r>
              <w:rPr>
                <w:color w:val="auto"/>
                <w:kern w:val="0"/>
                <w:sz w:val="24"/>
              </w:rPr>
              <w:t>4</w:t>
            </w:r>
            <w:r>
              <w:rPr>
                <w:rFonts w:hint="eastAsia"/>
                <w:color w:val="auto"/>
                <w:kern w:val="0"/>
                <w:sz w:val="24"/>
              </w:rPr>
              <w:t>）分区管控要求</w:t>
            </w:r>
          </w:p>
          <w:p>
            <w:pPr>
              <w:autoSpaceDE w:val="0"/>
              <w:autoSpaceDN w:val="0"/>
              <w:spacing w:line="360" w:lineRule="auto"/>
              <w:ind w:firstLine="480" w:firstLineChars="200"/>
              <w:rPr>
                <w:color w:val="auto"/>
                <w:kern w:val="0"/>
                <w:sz w:val="24"/>
              </w:rPr>
            </w:pPr>
            <w:r>
              <w:rPr>
                <w:rFonts w:hint="eastAsia"/>
                <w:color w:val="auto"/>
                <w:kern w:val="0"/>
                <w:sz w:val="24"/>
              </w:rPr>
              <w:t>根据《楚雄州‘三线一单’生态环境分区管控实施方案》，全州共划分94个生态环境管控单元，分为优先保护、重点管控和一般管控3类。其中优先保护单元包含生态保护红线和一般生态空间（未划入生态保护红线的自然保护地、饮用水水源保护区、重要湿地、基本草原、生态公益林、天然林等生态功能重要、生态环境敏感区域划为一般生态空间）、饮用水源地等；重点管控单元包含开发强度高、污染物排放强度大、环境问题相对集中的区域和大气环境布局敏感、弱扩散区等；优先保护、重点管控单元之外的区域为一般管控单元。</w:t>
            </w:r>
          </w:p>
          <w:p>
            <w:pPr>
              <w:autoSpaceDE w:val="0"/>
              <w:autoSpaceDN w:val="0"/>
              <w:spacing w:line="360" w:lineRule="auto"/>
              <w:ind w:firstLine="480" w:firstLineChars="200"/>
              <w:rPr>
                <w:color w:val="auto"/>
                <w:kern w:val="0"/>
                <w:sz w:val="24"/>
              </w:rPr>
            </w:pPr>
            <w:r>
              <w:rPr>
                <w:rFonts w:hint="eastAsia"/>
                <w:color w:val="auto"/>
                <w:kern w:val="0"/>
                <w:sz w:val="24"/>
              </w:rPr>
              <w:t>项目用地范围未占用生态保护红线，不占国家公园、自然保护区、森林公园、风景名胜区、草原公园等各类自然保护地，不涉及饮用水水源保护区，不涉及重要湿地、基本草原、天然林等优先保护单元，占用楚雄州元谋县境内集体林地15.5249hm</w:t>
            </w:r>
            <w:r>
              <w:rPr>
                <w:rFonts w:hint="eastAsia"/>
                <w:color w:val="auto"/>
                <w:kern w:val="0"/>
                <w:sz w:val="24"/>
                <w:vertAlign w:val="superscript"/>
              </w:rPr>
              <w:t>2</w:t>
            </w:r>
            <w:r>
              <w:rPr>
                <w:rFonts w:hint="eastAsia"/>
                <w:color w:val="auto"/>
                <w:kern w:val="0"/>
                <w:sz w:val="24"/>
                <w:lang w:eastAsia="zh-CN"/>
              </w:rPr>
              <w:t>（</w:t>
            </w:r>
            <w:r>
              <w:rPr>
                <w:rFonts w:hint="eastAsia"/>
                <w:color w:val="auto"/>
                <w:kern w:val="0"/>
                <w:sz w:val="24"/>
              </w:rPr>
              <w:t>防护林林地3.0673hm</w:t>
            </w:r>
            <w:r>
              <w:rPr>
                <w:rFonts w:hint="eastAsia"/>
                <w:color w:val="auto"/>
                <w:kern w:val="0"/>
                <w:sz w:val="24"/>
                <w:vertAlign w:val="superscript"/>
              </w:rPr>
              <w:t>2</w:t>
            </w:r>
            <w:r>
              <w:rPr>
                <w:rFonts w:hint="eastAsia"/>
                <w:color w:val="auto"/>
                <w:kern w:val="0"/>
                <w:sz w:val="24"/>
              </w:rPr>
              <w:t>、用材林林地0.6525hm</w:t>
            </w:r>
            <w:r>
              <w:rPr>
                <w:rFonts w:hint="eastAsia"/>
                <w:color w:val="auto"/>
                <w:kern w:val="0"/>
                <w:sz w:val="24"/>
                <w:vertAlign w:val="superscript"/>
              </w:rPr>
              <w:t>2</w:t>
            </w:r>
            <w:r>
              <w:rPr>
                <w:rFonts w:hint="eastAsia"/>
                <w:color w:val="auto"/>
                <w:kern w:val="0"/>
                <w:sz w:val="24"/>
              </w:rPr>
              <w:t>、能源林林地9.5599hm</w:t>
            </w:r>
            <w:r>
              <w:rPr>
                <w:rFonts w:hint="eastAsia"/>
                <w:color w:val="auto"/>
                <w:kern w:val="0"/>
                <w:sz w:val="24"/>
                <w:vertAlign w:val="superscript"/>
              </w:rPr>
              <w:t>2</w:t>
            </w:r>
            <w:r>
              <w:rPr>
                <w:rFonts w:hint="eastAsia"/>
                <w:color w:val="auto"/>
                <w:kern w:val="0"/>
                <w:sz w:val="24"/>
              </w:rPr>
              <w:t>、其他林地2.2452hm</w:t>
            </w:r>
            <w:r>
              <w:rPr>
                <w:rFonts w:hint="eastAsia"/>
                <w:color w:val="auto"/>
                <w:kern w:val="0"/>
                <w:sz w:val="24"/>
                <w:vertAlign w:val="superscript"/>
              </w:rPr>
              <w:t>2</w:t>
            </w:r>
            <w:r>
              <w:rPr>
                <w:rFonts w:hint="eastAsia"/>
                <w:color w:val="auto"/>
                <w:kern w:val="0"/>
                <w:sz w:val="24"/>
                <w:lang w:eastAsia="zh-CN"/>
              </w:rPr>
              <w:t>）</w:t>
            </w:r>
            <w:r>
              <w:rPr>
                <w:rFonts w:hint="eastAsia"/>
                <w:color w:val="auto"/>
                <w:kern w:val="0"/>
                <w:sz w:val="24"/>
              </w:rPr>
              <w:t>。此外，项目未处于元谋县工业集中区、县城城镇规划区、黄瓜园镇城镇规划区、大气环境布局敏感区等重点管控单元内，工程也不涉及矿产资源开发。故分析项目与楚雄州总体管控要求、一般管控单元管控要求的相符性如下：</w:t>
            </w:r>
          </w:p>
          <w:p>
            <w:pPr>
              <w:autoSpaceDE w:val="0"/>
              <w:autoSpaceDN w:val="0"/>
              <w:spacing w:line="360" w:lineRule="auto"/>
              <w:jc w:val="center"/>
              <w:rPr>
                <w:b/>
                <w:bCs/>
                <w:color w:val="auto"/>
                <w:kern w:val="0"/>
                <w:sz w:val="24"/>
              </w:rPr>
            </w:pPr>
            <w:r>
              <w:rPr>
                <w:rFonts w:hint="eastAsia"/>
                <w:b/>
                <w:bCs/>
                <w:color w:val="auto"/>
                <w:kern w:val="0"/>
                <w:sz w:val="24"/>
              </w:rPr>
              <w:t>表1</w:t>
            </w:r>
            <w:r>
              <w:rPr>
                <w:b/>
                <w:bCs/>
                <w:color w:val="auto"/>
                <w:kern w:val="0"/>
                <w:sz w:val="24"/>
              </w:rPr>
              <w:t xml:space="preserve">-3  </w:t>
            </w:r>
            <w:r>
              <w:rPr>
                <w:rFonts w:hint="eastAsia"/>
                <w:b/>
                <w:bCs/>
                <w:color w:val="auto"/>
                <w:kern w:val="0"/>
                <w:sz w:val="24"/>
              </w:rPr>
              <w:t>项目与楚雄州“三线一单”分区管控要求的相符性</w:t>
            </w:r>
          </w:p>
          <w:tbl>
            <w:tblPr>
              <w:tblStyle w:val="18"/>
              <w:tblW w:w="4891"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486"/>
              <w:gridCol w:w="3362"/>
              <w:gridCol w:w="2725"/>
              <w:gridCol w:w="76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pct"/>
                  <w:gridSpan w:val="2"/>
                  <w:noWrap w:val="0"/>
                  <w:vAlign w:val="center"/>
                </w:tcPr>
                <w:p>
                  <w:pPr>
                    <w:autoSpaceDE w:val="0"/>
                    <w:autoSpaceDN w:val="0"/>
                    <w:adjustRightInd w:val="0"/>
                    <w:snapToGrid w:val="0"/>
                    <w:jc w:val="center"/>
                    <w:rPr>
                      <w:color w:val="auto"/>
                      <w:kern w:val="0"/>
                      <w:szCs w:val="21"/>
                    </w:rPr>
                  </w:pPr>
                  <w:r>
                    <w:rPr>
                      <w:rFonts w:hint="eastAsia"/>
                      <w:b/>
                      <w:color w:val="auto"/>
                      <w:kern w:val="0"/>
                      <w:szCs w:val="21"/>
                    </w:rPr>
                    <w:t>类别</w:t>
                  </w:r>
                </w:p>
              </w:tc>
              <w:tc>
                <w:tcPr>
                  <w:tcW w:w="2160" w:type="pct"/>
                  <w:noWrap w:val="0"/>
                  <w:vAlign w:val="center"/>
                </w:tcPr>
                <w:p>
                  <w:pPr>
                    <w:autoSpaceDE w:val="0"/>
                    <w:autoSpaceDN w:val="0"/>
                    <w:adjustRightInd w:val="0"/>
                    <w:snapToGrid w:val="0"/>
                    <w:jc w:val="center"/>
                    <w:rPr>
                      <w:color w:val="auto"/>
                      <w:kern w:val="0"/>
                      <w:szCs w:val="21"/>
                    </w:rPr>
                  </w:pPr>
                  <w:r>
                    <w:rPr>
                      <w:rFonts w:hint="eastAsia"/>
                      <w:b/>
                      <w:color w:val="auto"/>
                      <w:kern w:val="0"/>
                      <w:szCs w:val="21"/>
                    </w:rPr>
                    <w:t>要求</w:t>
                  </w:r>
                </w:p>
              </w:tc>
              <w:tc>
                <w:tcPr>
                  <w:tcW w:w="1751" w:type="pct"/>
                  <w:noWrap w:val="0"/>
                  <w:vAlign w:val="center"/>
                </w:tcPr>
                <w:p>
                  <w:pPr>
                    <w:autoSpaceDE w:val="0"/>
                    <w:autoSpaceDN w:val="0"/>
                    <w:adjustRightInd w:val="0"/>
                    <w:snapToGrid w:val="0"/>
                    <w:jc w:val="center"/>
                    <w:rPr>
                      <w:color w:val="auto"/>
                      <w:kern w:val="0"/>
                      <w:szCs w:val="21"/>
                    </w:rPr>
                  </w:pPr>
                  <w:r>
                    <w:rPr>
                      <w:rFonts w:hint="eastAsia"/>
                      <w:b/>
                      <w:color w:val="auto"/>
                      <w:kern w:val="0"/>
                      <w:szCs w:val="21"/>
                    </w:rPr>
                    <w:t>项目情况</w:t>
                  </w:r>
                </w:p>
              </w:tc>
              <w:tc>
                <w:tcPr>
                  <w:tcW w:w="490" w:type="pct"/>
                  <w:noWrap w:val="0"/>
                  <w:vAlign w:val="center"/>
                </w:tcPr>
                <w:p>
                  <w:pPr>
                    <w:autoSpaceDE w:val="0"/>
                    <w:autoSpaceDN w:val="0"/>
                    <w:adjustRightInd w:val="0"/>
                    <w:snapToGrid w:val="0"/>
                    <w:jc w:val="center"/>
                    <w:rPr>
                      <w:color w:val="auto"/>
                      <w:kern w:val="0"/>
                      <w:szCs w:val="21"/>
                    </w:rPr>
                  </w:pPr>
                  <w:r>
                    <w:rPr>
                      <w:rFonts w:hint="eastAsia"/>
                      <w:b/>
                      <w:color w:val="auto"/>
                      <w:kern w:val="0"/>
                      <w:szCs w:val="21"/>
                    </w:rPr>
                    <w:t>符合性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restart"/>
                  <w:noWrap w:val="0"/>
                  <w:vAlign w:val="center"/>
                </w:tcPr>
                <w:p>
                  <w:pPr>
                    <w:autoSpaceDE w:val="0"/>
                    <w:autoSpaceDN w:val="0"/>
                    <w:adjustRightInd w:val="0"/>
                    <w:snapToGrid w:val="0"/>
                    <w:jc w:val="center"/>
                    <w:rPr>
                      <w:color w:val="auto"/>
                      <w:kern w:val="0"/>
                      <w:szCs w:val="21"/>
                    </w:rPr>
                  </w:pPr>
                  <w:r>
                    <w:rPr>
                      <w:rFonts w:hint="eastAsia"/>
                      <w:color w:val="auto"/>
                      <w:kern w:val="0"/>
                      <w:szCs w:val="21"/>
                    </w:rPr>
                    <w:t>总体管控要求</w:t>
                  </w:r>
                </w:p>
              </w:tc>
              <w:tc>
                <w:tcPr>
                  <w:tcW w:w="311" w:type="pct"/>
                  <w:vMerge w:val="restart"/>
                  <w:noWrap w:val="0"/>
                  <w:vAlign w:val="center"/>
                </w:tcPr>
                <w:p>
                  <w:pPr>
                    <w:autoSpaceDE w:val="0"/>
                    <w:autoSpaceDN w:val="0"/>
                    <w:adjustRightInd w:val="0"/>
                    <w:snapToGrid w:val="0"/>
                    <w:jc w:val="center"/>
                    <w:rPr>
                      <w:color w:val="auto"/>
                      <w:kern w:val="0"/>
                      <w:szCs w:val="21"/>
                    </w:rPr>
                  </w:pPr>
                  <w:r>
                    <w:rPr>
                      <w:rFonts w:hint="eastAsia"/>
                      <w:color w:val="auto"/>
                      <w:kern w:val="0"/>
                      <w:szCs w:val="21"/>
                    </w:rPr>
                    <w:t>空间布局约束</w:t>
                  </w:r>
                </w:p>
              </w:tc>
              <w:tc>
                <w:tcPr>
                  <w:tcW w:w="2160" w:type="pct"/>
                  <w:noWrap w:val="0"/>
                  <w:vAlign w:val="center"/>
                </w:tcPr>
                <w:p>
                  <w:pPr>
                    <w:autoSpaceDE w:val="0"/>
                    <w:autoSpaceDN w:val="0"/>
                    <w:adjustRightInd w:val="0"/>
                    <w:snapToGrid w:val="0"/>
                    <w:rPr>
                      <w:color w:val="auto"/>
                      <w:kern w:val="0"/>
                      <w:szCs w:val="21"/>
                    </w:rPr>
                  </w:pPr>
                  <w:r>
                    <w:rPr>
                      <w:rFonts w:hint="eastAsia"/>
                      <w:color w:val="auto"/>
                      <w:kern w:val="0"/>
                      <w:szCs w:val="21"/>
                    </w:rPr>
                    <w:t>（1）严格落实国家产业政策。将资源承载能力、生态环境容量作为承接产业转移的基础和前提，合理确定承接产业转移重点，禁止引进环境污染大、资源消耗高、技术落后的生产能力。严禁以任何名义、任何方式核准或备案产能严重过剩行业的增加产能项目。</w:t>
                  </w:r>
                </w:p>
              </w:tc>
              <w:tc>
                <w:tcPr>
                  <w:tcW w:w="1751" w:type="pct"/>
                  <w:noWrap w:val="0"/>
                  <w:vAlign w:val="center"/>
                </w:tcPr>
                <w:p>
                  <w:pPr>
                    <w:autoSpaceDE w:val="0"/>
                    <w:autoSpaceDN w:val="0"/>
                    <w:adjustRightInd w:val="0"/>
                    <w:snapToGrid w:val="0"/>
                    <w:rPr>
                      <w:color w:val="auto"/>
                      <w:kern w:val="0"/>
                      <w:szCs w:val="21"/>
                    </w:rPr>
                  </w:pPr>
                  <w:r>
                    <w:rPr>
                      <w:color w:val="auto"/>
                      <w:kern w:val="0"/>
                      <w:szCs w:val="21"/>
                    </w:rPr>
                    <w:t>项目</w:t>
                  </w:r>
                  <w:r>
                    <w:rPr>
                      <w:rFonts w:hint="eastAsia"/>
                      <w:color w:val="auto"/>
                      <w:kern w:val="0"/>
                      <w:szCs w:val="21"/>
                    </w:rPr>
                    <w:t>属《产业结构调整指导目录》（20</w:t>
                  </w:r>
                  <w:r>
                    <w:rPr>
                      <w:rFonts w:hint="eastAsia"/>
                      <w:color w:val="auto"/>
                      <w:kern w:val="0"/>
                      <w:szCs w:val="21"/>
                      <w:lang w:val="en-US" w:eastAsia="zh-CN"/>
                    </w:rPr>
                    <w:t>24</w:t>
                  </w:r>
                  <w:r>
                    <w:rPr>
                      <w:rFonts w:hint="eastAsia"/>
                      <w:color w:val="auto"/>
                      <w:kern w:val="0"/>
                      <w:szCs w:val="21"/>
                    </w:rPr>
                    <w:t>年本）鼓励类，符合国家产业政策要求。不属于落后产能或过剩产能。</w:t>
                  </w:r>
                </w:p>
              </w:tc>
              <w:tc>
                <w:tcPr>
                  <w:tcW w:w="490"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pPr>
                    <w:autoSpaceDE w:val="0"/>
                    <w:autoSpaceDN w:val="0"/>
                    <w:adjustRightInd w:val="0"/>
                    <w:snapToGrid w:val="0"/>
                    <w:jc w:val="center"/>
                    <w:rPr>
                      <w:color w:val="auto"/>
                      <w:kern w:val="0"/>
                      <w:szCs w:val="21"/>
                    </w:rPr>
                  </w:pPr>
                </w:p>
              </w:tc>
              <w:tc>
                <w:tcPr>
                  <w:tcW w:w="311" w:type="pct"/>
                  <w:vMerge w:val="continue"/>
                  <w:noWrap w:val="0"/>
                  <w:vAlign w:val="center"/>
                </w:tcPr>
                <w:p>
                  <w:pPr>
                    <w:autoSpaceDE w:val="0"/>
                    <w:autoSpaceDN w:val="0"/>
                    <w:adjustRightInd w:val="0"/>
                    <w:snapToGrid w:val="0"/>
                    <w:jc w:val="center"/>
                    <w:rPr>
                      <w:color w:val="auto"/>
                      <w:kern w:val="0"/>
                      <w:szCs w:val="21"/>
                    </w:rPr>
                  </w:pPr>
                </w:p>
              </w:tc>
              <w:tc>
                <w:tcPr>
                  <w:tcW w:w="2160" w:type="pct"/>
                  <w:noWrap w:val="0"/>
                  <w:vAlign w:val="center"/>
                </w:tcPr>
                <w:p>
                  <w:pPr>
                    <w:autoSpaceDE w:val="0"/>
                    <w:autoSpaceDN w:val="0"/>
                    <w:adjustRightInd w:val="0"/>
                    <w:snapToGrid w:val="0"/>
                    <w:rPr>
                      <w:color w:val="auto"/>
                      <w:kern w:val="0"/>
                      <w:szCs w:val="21"/>
                    </w:rPr>
                  </w:pPr>
                  <w:r>
                    <w:rPr>
                      <w:rFonts w:hint="eastAsia"/>
                      <w:color w:val="auto"/>
                      <w:kern w:val="0"/>
                      <w:szCs w:val="21"/>
                    </w:rPr>
                    <w:t>（2）严格按照《云南省长江经济带发展负面清单指南实施细则》（试行）要求，禁止在金沙江、长江一级支流（南广河、赤水河）岸线边界1公里范围内新建、扩建化工园区和化工项目。禁止在合规园区外新建、扩建钢铁、石化、化工、焦化、建材、有色等高污染项目。</w:t>
                  </w:r>
                </w:p>
              </w:tc>
              <w:tc>
                <w:tcPr>
                  <w:tcW w:w="1751" w:type="pct"/>
                  <w:noWrap w:val="0"/>
                  <w:vAlign w:val="center"/>
                </w:tcPr>
                <w:p>
                  <w:pPr>
                    <w:autoSpaceDE w:val="0"/>
                    <w:autoSpaceDN w:val="0"/>
                    <w:adjustRightInd w:val="0"/>
                    <w:snapToGrid w:val="0"/>
                    <w:rPr>
                      <w:color w:val="auto"/>
                      <w:kern w:val="0"/>
                      <w:szCs w:val="21"/>
                    </w:rPr>
                  </w:pPr>
                  <w:r>
                    <w:rPr>
                      <w:rFonts w:hint="eastAsia"/>
                      <w:color w:val="auto"/>
                      <w:kern w:val="0"/>
                      <w:szCs w:val="21"/>
                    </w:rPr>
                    <w:t>项目为太阳能光伏发电建设项目，不属于该条所列禁止建设类型。</w:t>
                  </w:r>
                </w:p>
              </w:tc>
              <w:tc>
                <w:tcPr>
                  <w:tcW w:w="490"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pPr>
                    <w:autoSpaceDE w:val="0"/>
                    <w:autoSpaceDN w:val="0"/>
                    <w:adjustRightInd w:val="0"/>
                    <w:snapToGrid w:val="0"/>
                    <w:jc w:val="center"/>
                    <w:rPr>
                      <w:color w:val="auto"/>
                      <w:kern w:val="0"/>
                      <w:szCs w:val="21"/>
                    </w:rPr>
                  </w:pPr>
                </w:p>
              </w:tc>
              <w:tc>
                <w:tcPr>
                  <w:tcW w:w="311" w:type="pct"/>
                  <w:vMerge w:val="continue"/>
                  <w:noWrap w:val="0"/>
                  <w:vAlign w:val="center"/>
                </w:tcPr>
                <w:p>
                  <w:pPr>
                    <w:autoSpaceDE w:val="0"/>
                    <w:autoSpaceDN w:val="0"/>
                    <w:adjustRightInd w:val="0"/>
                    <w:snapToGrid w:val="0"/>
                    <w:jc w:val="center"/>
                    <w:rPr>
                      <w:color w:val="auto"/>
                      <w:kern w:val="0"/>
                      <w:szCs w:val="21"/>
                    </w:rPr>
                  </w:pPr>
                </w:p>
              </w:tc>
              <w:tc>
                <w:tcPr>
                  <w:tcW w:w="2160" w:type="pct"/>
                  <w:noWrap w:val="0"/>
                  <w:vAlign w:val="center"/>
                </w:tcPr>
                <w:p>
                  <w:pPr>
                    <w:autoSpaceDE w:val="0"/>
                    <w:autoSpaceDN w:val="0"/>
                    <w:adjustRightInd w:val="0"/>
                    <w:snapToGrid w:val="0"/>
                    <w:rPr>
                      <w:color w:val="auto"/>
                      <w:kern w:val="0"/>
                      <w:szCs w:val="21"/>
                    </w:rPr>
                  </w:pPr>
                  <w:r>
                    <w:rPr>
                      <w:rFonts w:hint="eastAsia"/>
                      <w:color w:val="auto"/>
                      <w:kern w:val="0"/>
                      <w:szCs w:val="21"/>
                    </w:rPr>
                    <w:t>（3）禁止在金沙江、长江一级支流（南广河、赤水河）建设除党中央、国务院、国家投资主管部门、省级有关部门批复同意以外的过江基础设施项目。禁止在金沙江岸线3公里、长江一级支流岸线（南广河、赤水河）1公里范围内新建、改建、扩建尾矿库。</w:t>
                  </w:r>
                </w:p>
              </w:tc>
              <w:tc>
                <w:tcPr>
                  <w:tcW w:w="1751" w:type="pct"/>
                  <w:noWrap w:val="0"/>
                  <w:vAlign w:val="center"/>
                </w:tcPr>
                <w:p>
                  <w:pPr>
                    <w:autoSpaceDE w:val="0"/>
                    <w:autoSpaceDN w:val="0"/>
                    <w:adjustRightInd w:val="0"/>
                    <w:snapToGrid w:val="0"/>
                    <w:rPr>
                      <w:color w:val="auto"/>
                      <w:kern w:val="0"/>
                      <w:szCs w:val="21"/>
                    </w:rPr>
                  </w:pPr>
                  <w:r>
                    <w:rPr>
                      <w:rFonts w:hint="eastAsia"/>
                      <w:color w:val="auto"/>
                      <w:kern w:val="0"/>
                      <w:szCs w:val="21"/>
                    </w:rPr>
                    <w:t>根据</w:t>
                  </w:r>
                  <w:r>
                    <w:rPr>
                      <w:rFonts w:hint="eastAsia"/>
                      <w:color w:val="auto"/>
                      <w:kern w:val="0"/>
                      <w:szCs w:val="21"/>
                      <w:lang w:val="en-US" w:eastAsia="zh-CN"/>
                    </w:rPr>
                    <w:t>初步</w:t>
                  </w:r>
                  <w:r>
                    <w:rPr>
                      <w:rFonts w:hint="eastAsia"/>
                      <w:color w:val="auto"/>
                      <w:kern w:val="0"/>
                      <w:szCs w:val="21"/>
                    </w:rPr>
                    <w:t>设计</w:t>
                  </w:r>
                  <w:r>
                    <w:rPr>
                      <w:rFonts w:hint="eastAsia"/>
                      <w:color w:val="auto"/>
                      <w:kern w:val="0"/>
                      <w:szCs w:val="21"/>
                      <w:lang w:val="en-US" w:eastAsia="zh-CN"/>
                    </w:rPr>
                    <w:t>说明书</w:t>
                  </w:r>
                  <w:r>
                    <w:rPr>
                      <w:rFonts w:hint="eastAsia"/>
                      <w:color w:val="auto"/>
                      <w:kern w:val="0"/>
                      <w:szCs w:val="21"/>
                    </w:rPr>
                    <w:t>，项目</w:t>
                  </w:r>
                  <w:r>
                    <w:rPr>
                      <w:rFonts w:hint="eastAsia"/>
                      <w:color w:val="auto"/>
                      <w:kern w:val="0"/>
                      <w:szCs w:val="21"/>
                      <w:lang w:val="en-US" w:eastAsia="zh-CN"/>
                    </w:rPr>
                    <w:t>松树湾</w:t>
                  </w:r>
                  <w:r>
                    <w:rPr>
                      <w:rFonts w:hint="eastAsia"/>
                      <w:color w:val="auto"/>
                      <w:kern w:val="0"/>
                      <w:szCs w:val="21"/>
                    </w:rPr>
                    <w:t>片区</w:t>
                  </w:r>
                  <w:r>
                    <w:rPr>
                      <w:rFonts w:hint="eastAsia"/>
                      <w:color w:val="auto"/>
                      <w:szCs w:val="21"/>
                    </w:rPr>
                    <w:t>拟建项目集电线路自</w:t>
                  </w:r>
                  <w:r>
                    <w:rPr>
                      <w:rFonts w:hint="eastAsia"/>
                      <w:color w:val="auto"/>
                      <w:szCs w:val="21"/>
                      <w:lang w:val="en-US" w:eastAsia="zh-CN"/>
                    </w:rPr>
                    <w:t>东</w:t>
                  </w:r>
                  <w:r>
                    <w:rPr>
                      <w:rFonts w:hint="eastAsia"/>
                      <w:color w:val="auto"/>
                      <w:szCs w:val="21"/>
                    </w:rPr>
                    <w:t>向</w:t>
                  </w:r>
                  <w:r>
                    <w:rPr>
                      <w:rFonts w:hint="eastAsia"/>
                      <w:color w:val="auto"/>
                      <w:szCs w:val="21"/>
                      <w:lang w:val="en-US" w:eastAsia="zh-CN"/>
                    </w:rPr>
                    <w:t>西</w:t>
                  </w:r>
                  <w:r>
                    <w:rPr>
                      <w:rFonts w:hint="eastAsia"/>
                      <w:color w:val="auto"/>
                      <w:szCs w:val="21"/>
                    </w:rPr>
                    <w:t>跨越龙川江，不属于</w:t>
                  </w:r>
                  <w:r>
                    <w:rPr>
                      <w:rFonts w:hint="eastAsia"/>
                      <w:color w:val="auto"/>
                      <w:kern w:val="0"/>
                      <w:szCs w:val="21"/>
                    </w:rPr>
                    <w:t>过江基础设施项目，不涉及在金沙江及金沙江、一级支流上建设过</w:t>
                  </w:r>
                  <w:r>
                    <w:rPr>
                      <w:color w:val="auto"/>
                      <w:kern w:val="0"/>
                      <w:szCs w:val="21"/>
                    </w:rPr>
                    <w:t>江设施。</w:t>
                  </w:r>
                  <w:r>
                    <w:rPr>
                      <w:rFonts w:hint="eastAsia"/>
                      <w:color w:val="auto"/>
                      <w:kern w:val="0"/>
                      <w:szCs w:val="21"/>
                    </w:rPr>
                    <w:t>项目不涉及尾矿库。</w:t>
                  </w:r>
                </w:p>
              </w:tc>
              <w:tc>
                <w:tcPr>
                  <w:tcW w:w="490"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pPr>
                    <w:autoSpaceDE w:val="0"/>
                    <w:autoSpaceDN w:val="0"/>
                    <w:adjustRightInd w:val="0"/>
                    <w:snapToGrid w:val="0"/>
                    <w:jc w:val="center"/>
                    <w:rPr>
                      <w:color w:val="auto"/>
                      <w:kern w:val="0"/>
                      <w:szCs w:val="21"/>
                    </w:rPr>
                  </w:pPr>
                </w:p>
              </w:tc>
              <w:tc>
                <w:tcPr>
                  <w:tcW w:w="311" w:type="pct"/>
                  <w:vMerge w:val="continue"/>
                  <w:noWrap w:val="0"/>
                  <w:vAlign w:val="center"/>
                </w:tcPr>
                <w:p>
                  <w:pPr>
                    <w:autoSpaceDE w:val="0"/>
                    <w:autoSpaceDN w:val="0"/>
                    <w:adjustRightInd w:val="0"/>
                    <w:snapToGrid w:val="0"/>
                    <w:jc w:val="center"/>
                    <w:rPr>
                      <w:color w:val="auto"/>
                      <w:kern w:val="0"/>
                      <w:szCs w:val="21"/>
                    </w:rPr>
                  </w:pPr>
                </w:p>
              </w:tc>
              <w:tc>
                <w:tcPr>
                  <w:tcW w:w="2160" w:type="pct"/>
                  <w:noWrap w:val="0"/>
                  <w:vAlign w:val="center"/>
                </w:tcPr>
                <w:p>
                  <w:pPr>
                    <w:autoSpaceDE w:val="0"/>
                    <w:autoSpaceDN w:val="0"/>
                    <w:adjustRightInd w:val="0"/>
                    <w:snapToGrid w:val="0"/>
                    <w:rPr>
                      <w:color w:val="auto"/>
                      <w:kern w:val="0"/>
                      <w:szCs w:val="21"/>
                    </w:rPr>
                  </w:pPr>
                  <w:r>
                    <w:rPr>
                      <w:rFonts w:hint="eastAsia"/>
                      <w:color w:val="auto"/>
                      <w:kern w:val="0"/>
                      <w:szCs w:val="21"/>
                    </w:rPr>
                    <w:t>（4）在永久基本农田集中区域，不得新建可能造成土壤污染的建设项目；已建成的应当限期关闭拆除。拟开发为农用地的未利用地，要开展土壤环境质量状况评估，不符合相应标准的，不得种植食用农产品。</w:t>
                  </w:r>
                </w:p>
              </w:tc>
              <w:tc>
                <w:tcPr>
                  <w:tcW w:w="1751" w:type="pct"/>
                  <w:noWrap w:val="0"/>
                  <w:vAlign w:val="center"/>
                </w:tcPr>
                <w:p>
                  <w:pPr>
                    <w:autoSpaceDE w:val="0"/>
                    <w:autoSpaceDN w:val="0"/>
                    <w:adjustRightInd w:val="0"/>
                    <w:snapToGrid w:val="0"/>
                    <w:rPr>
                      <w:color w:val="auto"/>
                      <w:kern w:val="0"/>
                      <w:szCs w:val="21"/>
                    </w:rPr>
                  </w:pPr>
                  <w:r>
                    <w:rPr>
                      <w:rFonts w:hint="eastAsia"/>
                      <w:color w:val="auto"/>
                      <w:kern w:val="0"/>
                      <w:szCs w:val="21"/>
                    </w:rPr>
                    <w:t>区域不属于永久基本农田集中区，项目通过对</w:t>
                  </w:r>
                  <w:r>
                    <w:rPr>
                      <w:rFonts w:hint="eastAsia"/>
                      <w:color w:val="auto"/>
                      <w:szCs w:val="21"/>
                    </w:rPr>
                    <w:t>油品</w:t>
                  </w:r>
                  <w:r>
                    <w:rPr>
                      <w:rFonts w:hint="eastAsia"/>
                      <w:color w:val="auto"/>
                      <w:kern w:val="0"/>
                      <w:szCs w:val="21"/>
                    </w:rPr>
                    <w:t>库、集油坑、事故油池、危废暂存间采取重点防渗、对生活污水处理设施采取一般防渗、并规范处理各类固废，土壤污染风险可控。本工程不涉及将未利用地开发为农用地。</w:t>
                  </w:r>
                </w:p>
              </w:tc>
              <w:tc>
                <w:tcPr>
                  <w:tcW w:w="490"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pPr>
                    <w:autoSpaceDE w:val="0"/>
                    <w:autoSpaceDN w:val="0"/>
                    <w:adjustRightInd w:val="0"/>
                    <w:snapToGrid w:val="0"/>
                    <w:jc w:val="center"/>
                    <w:rPr>
                      <w:color w:val="auto"/>
                      <w:kern w:val="0"/>
                      <w:szCs w:val="21"/>
                    </w:rPr>
                  </w:pPr>
                </w:p>
              </w:tc>
              <w:tc>
                <w:tcPr>
                  <w:tcW w:w="311" w:type="pct"/>
                  <w:vMerge w:val="continue"/>
                  <w:noWrap w:val="0"/>
                  <w:vAlign w:val="center"/>
                </w:tcPr>
                <w:p>
                  <w:pPr>
                    <w:autoSpaceDE w:val="0"/>
                    <w:autoSpaceDN w:val="0"/>
                    <w:adjustRightInd w:val="0"/>
                    <w:snapToGrid w:val="0"/>
                    <w:jc w:val="center"/>
                    <w:rPr>
                      <w:color w:val="auto"/>
                      <w:kern w:val="0"/>
                      <w:szCs w:val="21"/>
                    </w:rPr>
                  </w:pPr>
                </w:p>
              </w:tc>
              <w:tc>
                <w:tcPr>
                  <w:tcW w:w="2160" w:type="pct"/>
                  <w:noWrap w:val="0"/>
                  <w:vAlign w:val="center"/>
                </w:tcPr>
                <w:p>
                  <w:pPr>
                    <w:autoSpaceDE w:val="0"/>
                    <w:autoSpaceDN w:val="0"/>
                    <w:adjustRightInd w:val="0"/>
                    <w:snapToGrid w:val="0"/>
                    <w:rPr>
                      <w:color w:val="auto"/>
                      <w:kern w:val="0"/>
                      <w:szCs w:val="21"/>
                    </w:rPr>
                  </w:pPr>
                  <w:r>
                    <w:rPr>
                      <w:rFonts w:hint="eastAsia"/>
                      <w:color w:val="auto"/>
                      <w:kern w:val="0"/>
                      <w:szCs w:val="21"/>
                    </w:rPr>
                    <w:t>（5）在天然气干、支线可以覆盖的地区原则上不再新建、改建、扩建以煤（油）为燃料的项目。全州产业聚集区集中建设热电联产机组或大型集中供热设施，逐步淘汰分散燃煤锅炉。在不具备热电联产集中供热条件的地区，现有多台燃煤小锅炉的，可按照等容量替代原则建设大容量燃煤锅炉。</w:t>
                  </w:r>
                </w:p>
              </w:tc>
              <w:tc>
                <w:tcPr>
                  <w:tcW w:w="1751" w:type="pct"/>
                  <w:noWrap w:val="0"/>
                  <w:vAlign w:val="center"/>
                </w:tcPr>
                <w:p>
                  <w:pPr>
                    <w:autoSpaceDE w:val="0"/>
                    <w:autoSpaceDN w:val="0"/>
                    <w:adjustRightInd w:val="0"/>
                    <w:snapToGrid w:val="0"/>
                    <w:rPr>
                      <w:color w:val="auto"/>
                      <w:kern w:val="0"/>
                      <w:szCs w:val="21"/>
                    </w:rPr>
                  </w:pPr>
                  <w:r>
                    <w:rPr>
                      <w:rFonts w:hint="eastAsia"/>
                      <w:color w:val="auto"/>
                      <w:kern w:val="0"/>
                      <w:szCs w:val="21"/>
                    </w:rPr>
                    <w:t>项目运行全部以清洁能源供能，不涉及煤、油等燃料使用，不涉及燃煤锅炉建设。</w:t>
                  </w:r>
                </w:p>
              </w:tc>
              <w:tc>
                <w:tcPr>
                  <w:tcW w:w="490"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pPr>
                    <w:autoSpaceDE w:val="0"/>
                    <w:autoSpaceDN w:val="0"/>
                    <w:adjustRightInd w:val="0"/>
                    <w:snapToGrid w:val="0"/>
                    <w:jc w:val="center"/>
                    <w:rPr>
                      <w:color w:val="auto"/>
                      <w:kern w:val="0"/>
                      <w:szCs w:val="21"/>
                    </w:rPr>
                  </w:pPr>
                </w:p>
              </w:tc>
              <w:tc>
                <w:tcPr>
                  <w:tcW w:w="311" w:type="pct"/>
                  <w:vMerge w:val="restart"/>
                  <w:noWrap w:val="0"/>
                  <w:vAlign w:val="center"/>
                </w:tcPr>
                <w:p>
                  <w:pPr>
                    <w:autoSpaceDE w:val="0"/>
                    <w:autoSpaceDN w:val="0"/>
                    <w:adjustRightInd w:val="0"/>
                    <w:snapToGrid w:val="0"/>
                    <w:jc w:val="center"/>
                    <w:rPr>
                      <w:color w:val="auto"/>
                      <w:kern w:val="0"/>
                      <w:szCs w:val="21"/>
                    </w:rPr>
                  </w:pPr>
                  <w:r>
                    <w:rPr>
                      <w:rFonts w:hint="eastAsia"/>
                      <w:color w:val="auto"/>
                      <w:kern w:val="0"/>
                      <w:szCs w:val="21"/>
                    </w:rPr>
                    <w:t>污染物排放管控</w:t>
                  </w:r>
                </w:p>
              </w:tc>
              <w:tc>
                <w:tcPr>
                  <w:tcW w:w="2160" w:type="pct"/>
                  <w:noWrap w:val="0"/>
                  <w:vAlign w:val="center"/>
                </w:tcPr>
                <w:p>
                  <w:pPr>
                    <w:autoSpaceDE w:val="0"/>
                    <w:autoSpaceDN w:val="0"/>
                    <w:adjustRightInd w:val="0"/>
                    <w:snapToGrid w:val="0"/>
                    <w:rPr>
                      <w:color w:val="auto"/>
                      <w:kern w:val="0"/>
                      <w:szCs w:val="21"/>
                    </w:rPr>
                  </w:pPr>
                  <w:r>
                    <w:rPr>
                      <w:rFonts w:hint="eastAsia"/>
                      <w:color w:val="auto"/>
                      <w:kern w:val="0"/>
                      <w:szCs w:val="21"/>
                    </w:rPr>
                    <w:t>（1）严格控制缺水地区、水污染严重地区和敏感区域高耗水、高污染行业发展，新建、改建、扩建重点行业建设项目实行主要水污染物排放减量置换。</w:t>
                  </w:r>
                </w:p>
              </w:tc>
              <w:tc>
                <w:tcPr>
                  <w:tcW w:w="1751" w:type="pct"/>
                  <w:noWrap w:val="0"/>
                  <w:vAlign w:val="center"/>
                </w:tcPr>
                <w:p>
                  <w:pPr>
                    <w:autoSpaceDE w:val="0"/>
                    <w:autoSpaceDN w:val="0"/>
                    <w:adjustRightInd w:val="0"/>
                    <w:snapToGrid w:val="0"/>
                    <w:rPr>
                      <w:color w:val="auto"/>
                      <w:kern w:val="0"/>
                      <w:szCs w:val="21"/>
                    </w:rPr>
                  </w:pPr>
                  <w:r>
                    <w:rPr>
                      <w:color w:val="auto"/>
                      <w:kern w:val="0"/>
                      <w:szCs w:val="21"/>
                    </w:rPr>
                    <w:t>项目不属于</w:t>
                  </w:r>
                  <w:r>
                    <w:rPr>
                      <w:rFonts w:hint="eastAsia"/>
                      <w:color w:val="auto"/>
                      <w:kern w:val="0"/>
                      <w:szCs w:val="21"/>
                    </w:rPr>
                    <w:t>高耗水</w:t>
                  </w:r>
                  <w:r>
                    <w:rPr>
                      <w:rFonts w:hint="eastAsia"/>
                      <w:color w:val="auto"/>
                      <w:kern w:val="0"/>
                      <w:szCs w:val="21"/>
                      <w:lang w:eastAsia="zh-CN"/>
                    </w:rPr>
                    <w:t>、</w:t>
                  </w:r>
                  <w:r>
                    <w:rPr>
                      <w:rFonts w:hint="eastAsia"/>
                      <w:color w:val="auto"/>
                      <w:kern w:val="0"/>
                      <w:szCs w:val="21"/>
                    </w:rPr>
                    <w:t>高污染行业。运行期用水量少，产生的废水处理后全部回用，不直接排入地表水体。</w:t>
                  </w:r>
                </w:p>
              </w:tc>
              <w:tc>
                <w:tcPr>
                  <w:tcW w:w="490"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pPr>
                    <w:autoSpaceDE w:val="0"/>
                    <w:autoSpaceDN w:val="0"/>
                    <w:adjustRightInd w:val="0"/>
                    <w:snapToGrid w:val="0"/>
                    <w:jc w:val="center"/>
                    <w:rPr>
                      <w:color w:val="auto"/>
                      <w:kern w:val="0"/>
                      <w:szCs w:val="21"/>
                    </w:rPr>
                  </w:pPr>
                </w:p>
              </w:tc>
              <w:tc>
                <w:tcPr>
                  <w:tcW w:w="311" w:type="pct"/>
                  <w:vMerge w:val="continue"/>
                  <w:noWrap w:val="0"/>
                  <w:vAlign w:val="center"/>
                </w:tcPr>
                <w:p>
                  <w:pPr>
                    <w:autoSpaceDE w:val="0"/>
                    <w:autoSpaceDN w:val="0"/>
                    <w:adjustRightInd w:val="0"/>
                    <w:snapToGrid w:val="0"/>
                    <w:jc w:val="center"/>
                    <w:rPr>
                      <w:color w:val="auto"/>
                      <w:kern w:val="0"/>
                      <w:szCs w:val="21"/>
                    </w:rPr>
                  </w:pPr>
                </w:p>
              </w:tc>
              <w:tc>
                <w:tcPr>
                  <w:tcW w:w="2160" w:type="pct"/>
                  <w:noWrap w:val="0"/>
                  <w:vAlign w:val="center"/>
                </w:tcPr>
                <w:p>
                  <w:pPr>
                    <w:autoSpaceDE w:val="0"/>
                    <w:autoSpaceDN w:val="0"/>
                    <w:adjustRightInd w:val="0"/>
                    <w:snapToGrid w:val="0"/>
                    <w:rPr>
                      <w:color w:val="auto"/>
                      <w:kern w:val="0"/>
                      <w:szCs w:val="21"/>
                    </w:rPr>
                  </w:pPr>
                  <w:r>
                    <w:rPr>
                      <w:rFonts w:hint="eastAsia"/>
                      <w:color w:val="auto"/>
                      <w:kern w:val="0"/>
                      <w:szCs w:val="21"/>
                    </w:rPr>
                    <w:t>（2）严格保护城乡饮用水水源地，整治饮用水源保护区内的污染源，确保饮水安全。实现城镇生活污水、生活垃圾处理设施全覆盖和稳定运行。推进农村面源污染治理。对入驻企业较少，主要产生生活污水，工业污水中不含有毒有害物质的工业集中区，其污水可就近依托城镇污水处理厂进行处理；对工业污水排放量较小的工业集中区，可依托工业企业治污设施处理后达标排放。新建冶金、电镀、有色金属、化工、印染、制革、原料药制造等企业，原则上布局在符合产业定位的园区，其排放的污水由园区污水处理厂集中处理。</w:t>
                  </w:r>
                </w:p>
              </w:tc>
              <w:tc>
                <w:tcPr>
                  <w:tcW w:w="1751" w:type="pct"/>
                  <w:noWrap w:val="0"/>
                  <w:vAlign w:val="center"/>
                </w:tcPr>
                <w:p>
                  <w:pPr>
                    <w:autoSpaceDE w:val="0"/>
                    <w:autoSpaceDN w:val="0"/>
                    <w:adjustRightInd w:val="0"/>
                    <w:snapToGrid w:val="0"/>
                    <w:rPr>
                      <w:color w:val="auto"/>
                      <w:kern w:val="0"/>
                      <w:szCs w:val="21"/>
                    </w:rPr>
                  </w:pPr>
                  <w:r>
                    <w:rPr>
                      <w:rFonts w:hint="eastAsia"/>
                      <w:color w:val="auto"/>
                      <w:kern w:val="0"/>
                      <w:szCs w:val="21"/>
                    </w:rPr>
                    <w:t>项目不涉及饮用水水源地。运行过程中废水主要是光伏板清洗废水及运营管理人员生活污水，全部回用于光伏板下林草植被及作物浇洒，不直接排入地表水体。</w:t>
                  </w:r>
                </w:p>
              </w:tc>
              <w:tc>
                <w:tcPr>
                  <w:tcW w:w="490"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pPr>
                    <w:autoSpaceDE w:val="0"/>
                    <w:autoSpaceDN w:val="0"/>
                    <w:adjustRightInd w:val="0"/>
                    <w:snapToGrid w:val="0"/>
                    <w:jc w:val="center"/>
                    <w:rPr>
                      <w:color w:val="auto"/>
                      <w:kern w:val="0"/>
                      <w:szCs w:val="21"/>
                    </w:rPr>
                  </w:pPr>
                </w:p>
              </w:tc>
              <w:tc>
                <w:tcPr>
                  <w:tcW w:w="311" w:type="pct"/>
                  <w:vMerge w:val="continue"/>
                  <w:noWrap w:val="0"/>
                  <w:vAlign w:val="center"/>
                </w:tcPr>
                <w:p>
                  <w:pPr>
                    <w:autoSpaceDE w:val="0"/>
                    <w:autoSpaceDN w:val="0"/>
                    <w:adjustRightInd w:val="0"/>
                    <w:snapToGrid w:val="0"/>
                    <w:jc w:val="center"/>
                    <w:rPr>
                      <w:color w:val="auto"/>
                      <w:kern w:val="0"/>
                      <w:szCs w:val="21"/>
                    </w:rPr>
                  </w:pPr>
                </w:p>
              </w:tc>
              <w:tc>
                <w:tcPr>
                  <w:tcW w:w="2160" w:type="pct"/>
                  <w:noWrap w:val="0"/>
                  <w:vAlign w:val="center"/>
                </w:tcPr>
                <w:p>
                  <w:pPr>
                    <w:autoSpaceDE w:val="0"/>
                    <w:autoSpaceDN w:val="0"/>
                    <w:adjustRightInd w:val="0"/>
                    <w:snapToGrid w:val="0"/>
                    <w:rPr>
                      <w:color w:val="auto"/>
                      <w:kern w:val="0"/>
                      <w:szCs w:val="21"/>
                    </w:rPr>
                  </w:pPr>
                  <w:r>
                    <w:rPr>
                      <w:rFonts w:hint="eastAsia"/>
                      <w:color w:val="auto"/>
                      <w:kern w:val="0"/>
                      <w:szCs w:val="21"/>
                    </w:rPr>
                    <w:t>（3）加大VOCs减排力度，扎实推动PM2.5和臭氧协同控制，有效巩固环境空气质量优良天数比例。在持续推进氮氧化物减排的基础上，重点加大石化、化工及含挥发性有机化合物产品制造企业和喷漆、制鞋、印刷、电子、服装干洗等行业清洁生产和污染治理力度，逐步淘汰挥发性有机化合物含量高的产品生产和使用，严控生产过程中逃逸性有机气体的排放。</w:t>
                  </w:r>
                </w:p>
              </w:tc>
              <w:tc>
                <w:tcPr>
                  <w:tcW w:w="1751" w:type="pct"/>
                  <w:noWrap w:val="0"/>
                  <w:vAlign w:val="center"/>
                </w:tcPr>
                <w:p>
                  <w:pPr>
                    <w:autoSpaceDE w:val="0"/>
                    <w:autoSpaceDN w:val="0"/>
                    <w:adjustRightInd w:val="0"/>
                    <w:snapToGrid w:val="0"/>
                    <w:rPr>
                      <w:color w:val="auto"/>
                      <w:kern w:val="0"/>
                      <w:szCs w:val="21"/>
                    </w:rPr>
                  </w:pPr>
                  <w:r>
                    <w:rPr>
                      <w:rFonts w:hint="eastAsia"/>
                      <w:color w:val="auto"/>
                      <w:kern w:val="0"/>
                      <w:szCs w:val="21"/>
                    </w:rPr>
                    <w:t>项目非VOCs重点行业，运行期无大的大气污染产生。</w:t>
                  </w:r>
                </w:p>
              </w:tc>
              <w:tc>
                <w:tcPr>
                  <w:tcW w:w="490"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pPr>
                    <w:autoSpaceDE w:val="0"/>
                    <w:autoSpaceDN w:val="0"/>
                    <w:adjustRightInd w:val="0"/>
                    <w:snapToGrid w:val="0"/>
                    <w:jc w:val="center"/>
                    <w:rPr>
                      <w:color w:val="auto"/>
                      <w:kern w:val="0"/>
                      <w:szCs w:val="21"/>
                    </w:rPr>
                  </w:pPr>
                </w:p>
              </w:tc>
              <w:tc>
                <w:tcPr>
                  <w:tcW w:w="311" w:type="pct"/>
                  <w:vMerge w:val="continue"/>
                  <w:noWrap w:val="0"/>
                  <w:vAlign w:val="center"/>
                </w:tcPr>
                <w:p>
                  <w:pPr>
                    <w:autoSpaceDE w:val="0"/>
                    <w:autoSpaceDN w:val="0"/>
                    <w:adjustRightInd w:val="0"/>
                    <w:snapToGrid w:val="0"/>
                    <w:jc w:val="center"/>
                    <w:rPr>
                      <w:color w:val="auto"/>
                      <w:kern w:val="0"/>
                      <w:szCs w:val="21"/>
                    </w:rPr>
                  </w:pPr>
                </w:p>
              </w:tc>
              <w:tc>
                <w:tcPr>
                  <w:tcW w:w="2160" w:type="pct"/>
                  <w:noWrap w:val="0"/>
                  <w:vAlign w:val="center"/>
                </w:tcPr>
                <w:p>
                  <w:pPr>
                    <w:autoSpaceDE w:val="0"/>
                    <w:autoSpaceDN w:val="0"/>
                    <w:adjustRightInd w:val="0"/>
                    <w:snapToGrid w:val="0"/>
                    <w:rPr>
                      <w:color w:val="auto"/>
                      <w:kern w:val="0"/>
                      <w:szCs w:val="21"/>
                    </w:rPr>
                  </w:pPr>
                  <w:r>
                    <w:rPr>
                      <w:rFonts w:hint="eastAsia"/>
                      <w:color w:val="auto"/>
                      <w:kern w:val="0"/>
                      <w:szCs w:val="21"/>
                    </w:rPr>
                    <w:t>（4）加强土壤污染防治，对农用地实施分类管理，对重点行业企业建设用地实行环境准入管理，进入各使用环节（储备、转让、收回以及改变用途）之前应按照规定进行土壤污染状况调查，动态更新土壤环境污染重点监管企业名单，实施土壤污染环境风险管控和修复名录制度，对污染地块开发利用实行联动监管。</w:t>
                  </w:r>
                </w:p>
              </w:tc>
              <w:tc>
                <w:tcPr>
                  <w:tcW w:w="1751" w:type="pct"/>
                  <w:noWrap w:val="0"/>
                  <w:vAlign w:val="center"/>
                </w:tcPr>
                <w:p>
                  <w:pPr>
                    <w:autoSpaceDE w:val="0"/>
                    <w:autoSpaceDN w:val="0"/>
                    <w:adjustRightInd w:val="0"/>
                    <w:snapToGrid w:val="0"/>
                    <w:rPr>
                      <w:color w:val="auto"/>
                      <w:kern w:val="0"/>
                      <w:szCs w:val="21"/>
                    </w:rPr>
                  </w:pPr>
                  <w:r>
                    <w:rPr>
                      <w:rFonts w:hint="eastAsia"/>
                      <w:color w:val="auto"/>
                      <w:kern w:val="0"/>
                      <w:szCs w:val="21"/>
                    </w:rPr>
                    <w:t>项目非土壤污染重点行业。运行期通过对</w:t>
                  </w:r>
                  <w:r>
                    <w:rPr>
                      <w:rFonts w:hint="eastAsia"/>
                      <w:color w:val="auto"/>
                      <w:szCs w:val="21"/>
                    </w:rPr>
                    <w:t>油品</w:t>
                  </w:r>
                  <w:r>
                    <w:rPr>
                      <w:rFonts w:hint="eastAsia"/>
                      <w:color w:val="auto"/>
                      <w:kern w:val="0"/>
                      <w:szCs w:val="21"/>
                    </w:rPr>
                    <w:t>库、集油坑、事故油池及危废暂存间采取重点防渗、对生活污水处理设施采取一般防渗、规范处理各类固废，土壤污染风险可控。</w:t>
                  </w:r>
                </w:p>
              </w:tc>
              <w:tc>
                <w:tcPr>
                  <w:tcW w:w="490"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pPr>
                    <w:autoSpaceDE w:val="0"/>
                    <w:autoSpaceDN w:val="0"/>
                    <w:adjustRightInd w:val="0"/>
                    <w:snapToGrid w:val="0"/>
                    <w:jc w:val="center"/>
                    <w:rPr>
                      <w:color w:val="auto"/>
                      <w:kern w:val="0"/>
                      <w:szCs w:val="21"/>
                    </w:rPr>
                  </w:pPr>
                </w:p>
              </w:tc>
              <w:tc>
                <w:tcPr>
                  <w:tcW w:w="311" w:type="pct"/>
                  <w:vMerge w:val="continue"/>
                  <w:noWrap w:val="0"/>
                  <w:vAlign w:val="center"/>
                </w:tcPr>
                <w:p>
                  <w:pPr>
                    <w:autoSpaceDE w:val="0"/>
                    <w:autoSpaceDN w:val="0"/>
                    <w:adjustRightInd w:val="0"/>
                    <w:snapToGrid w:val="0"/>
                    <w:jc w:val="center"/>
                    <w:rPr>
                      <w:color w:val="auto"/>
                      <w:kern w:val="0"/>
                      <w:szCs w:val="21"/>
                    </w:rPr>
                  </w:pPr>
                </w:p>
              </w:tc>
              <w:tc>
                <w:tcPr>
                  <w:tcW w:w="2160" w:type="pct"/>
                  <w:noWrap w:val="0"/>
                  <w:vAlign w:val="center"/>
                </w:tcPr>
                <w:p>
                  <w:pPr>
                    <w:autoSpaceDE w:val="0"/>
                    <w:autoSpaceDN w:val="0"/>
                    <w:adjustRightInd w:val="0"/>
                    <w:snapToGrid w:val="0"/>
                    <w:rPr>
                      <w:color w:val="auto"/>
                      <w:kern w:val="0"/>
                      <w:szCs w:val="21"/>
                    </w:rPr>
                  </w:pPr>
                  <w:r>
                    <w:rPr>
                      <w:rFonts w:hint="eastAsia"/>
                      <w:color w:val="auto"/>
                      <w:kern w:val="0"/>
                      <w:szCs w:val="21"/>
                    </w:rPr>
                    <w:t>（5）提高钢铁、水泥等高耗能产业减量置换比例，把高能效和低碳排放纳入产能减量置换门槛，明确重点行业二氧化碳排放达峰目标，控制工业、交通、建筑等行业温室气体排放。</w:t>
                  </w:r>
                </w:p>
              </w:tc>
              <w:tc>
                <w:tcPr>
                  <w:tcW w:w="1751" w:type="pct"/>
                  <w:noWrap w:val="0"/>
                  <w:vAlign w:val="center"/>
                </w:tcPr>
                <w:p>
                  <w:pPr>
                    <w:autoSpaceDE w:val="0"/>
                    <w:autoSpaceDN w:val="0"/>
                    <w:adjustRightInd w:val="0"/>
                    <w:snapToGrid w:val="0"/>
                    <w:rPr>
                      <w:color w:val="auto"/>
                      <w:kern w:val="0"/>
                      <w:szCs w:val="21"/>
                    </w:rPr>
                  </w:pPr>
                  <w:r>
                    <w:rPr>
                      <w:rFonts w:hint="eastAsia"/>
                      <w:color w:val="auto"/>
                      <w:kern w:val="0"/>
                      <w:szCs w:val="21"/>
                    </w:rPr>
                    <w:t>本</w:t>
                  </w:r>
                  <w:r>
                    <w:rPr>
                      <w:color w:val="auto"/>
                      <w:kern w:val="0"/>
                      <w:szCs w:val="21"/>
                    </w:rPr>
                    <w:t>项目</w:t>
                  </w:r>
                  <w:r>
                    <w:rPr>
                      <w:rFonts w:hint="eastAsia"/>
                      <w:color w:val="auto"/>
                      <w:kern w:val="0"/>
                      <w:szCs w:val="21"/>
                    </w:rPr>
                    <w:t>属清洁能源开发利用项目，</w:t>
                  </w:r>
                  <w:r>
                    <w:rPr>
                      <w:color w:val="auto"/>
                      <w:kern w:val="0"/>
                      <w:szCs w:val="21"/>
                    </w:rPr>
                    <w:t>自身</w:t>
                  </w:r>
                  <w:r>
                    <w:rPr>
                      <w:rFonts w:hint="eastAsia"/>
                      <w:color w:val="auto"/>
                      <w:kern w:val="0"/>
                      <w:szCs w:val="21"/>
                    </w:rPr>
                    <w:t>建设运行</w:t>
                  </w:r>
                  <w:r>
                    <w:rPr>
                      <w:color w:val="auto"/>
                      <w:kern w:val="0"/>
                      <w:szCs w:val="21"/>
                    </w:rPr>
                    <w:t>能耗少，建成后有利于地区能源结构优化、减少碳排放。</w:t>
                  </w:r>
                </w:p>
              </w:tc>
              <w:tc>
                <w:tcPr>
                  <w:tcW w:w="490"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pPr>
                    <w:autoSpaceDE w:val="0"/>
                    <w:autoSpaceDN w:val="0"/>
                    <w:adjustRightInd w:val="0"/>
                    <w:snapToGrid w:val="0"/>
                    <w:jc w:val="center"/>
                    <w:rPr>
                      <w:color w:val="auto"/>
                      <w:kern w:val="0"/>
                      <w:szCs w:val="21"/>
                    </w:rPr>
                  </w:pPr>
                </w:p>
              </w:tc>
              <w:tc>
                <w:tcPr>
                  <w:tcW w:w="311" w:type="pct"/>
                  <w:vMerge w:val="continue"/>
                  <w:noWrap w:val="0"/>
                  <w:vAlign w:val="center"/>
                </w:tcPr>
                <w:p>
                  <w:pPr>
                    <w:autoSpaceDE w:val="0"/>
                    <w:autoSpaceDN w:val="0"/>
                    <w:adjustRightInd w:val="0"/>
                    <w:snapToGrid w:val="0"/>
                    <w:jc w:val="center"/>
                    <w:rPr>
                      <w:color w:val="auto"/>
                      <w:kern w:val="0"/>
                      <w:szCs w:val="21"/>
                    </w:rPr>
                  </w:pPr>
                </w:p>
              </w:tc>
              <w:tc>
                <w:tcPr>
                  <w:tcW w:w="2160" w:type="pct"/>
                  <w:noWrap w:val="0"/>
                  <w:vAlign w:val="center"/>
                </w:tcPr>
                <w:p>
                  <w:pPr>
                    <w:autoSpaceDE w:val="0"/>
                    <w:autoSpaceDN w:val="0"/>
                    <w:adjustRightInd w:val="0"/>
                    <w:snapToGrid w:val="0"/>
                    <w:rPr>
                      <w:color w:val="auto"/>
                      <w:kern w:val="0"/>
                      <w:szCs w:val="21"/>
                    </w:rPr>
                  </w:pPr>
                  <w:r>
                    <w:rPr>
                      <w:rFonts w:hint="eastAsia"/>
                      <w:color w:val="auto"/>
                      <w:kern w:val="0"/>
                      <w:szCs w:val="21"/>
                    </w:rPr>
                    <w:t>（6）全州主要污染物总量控制目标达到省级考核要求。</w:t>
                  </w:r>
                </w:p>
              </w:tc>
              <w:tc>
                <w:tcPr>
                  <w:tcW w:w="1751" w:type="pct"/>
                  <w:noWrap w:val="0"/>
                  <w:vAlign w:val="center"/>
                </w:tcPr>
                <w:p>
                  <w:pPr>
                    <w:autoSpaceDE w:val="0"/>
                    <w:autoSpaceDN w:val="0"/>
                    <w:adjustRightInd w:val="0"/>
                    <w:snapToGrid w:val="0"/>
                    <w:rPr>
                      <w:color w:val="auto"/>
                      <w:kern w:val="0"/>
                      <w:szCs w:val="21"/>
                    </w:rPr>
                  </w:pPr>
                  <w:r>
                    <w:rPr>
                      <w:color w:val="auto"/>
                      <w:kern w:val="0"/>
                      <w:szCs w:val="21"/>
                    </w:rPr>
                    <w:t>项目</w:t>
                  </w:r>
                  <w:r>
                    <w:rPr>
                      <w:rFonts w:hint="eastAsia"/>
                      <w:color w:val="auto"/>
                      <w:kern w:val="0"/>
                      <w:szCs w:val="21"/>
                    </w:rPr>
                    <w:t>建设运行</w:t>
                  </w:r>
                  <w:r>
                    <w:rPr>
                      <w:color w:val="auto"/>
                      <w:kern w:val="0"/>
                      <w:szCs w:val="21"/>
                    </w:rPr>
                    <w:t>无大的污染排放，不占总量控制指标</w:t>
                  </w:r>
                </w:p>
              </w:tc>
              <w:tc>
                <w:tcPr>
                  <w:tcW w:w="490"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pPr>
                    <w:autoSpaceDE w:val="0"/>
                    <w:autoSpaceDN w:val="0"/>
                    <w:adjustRightInd w:val="0"/>
                    <w:snapToGrid w:val="0"/>
                    <w:jc w:val="center"/>
                    <w:rPr>
                      <w:color w:val="auto"/>
                      <w:kern w:val="0"/>
                      <w:szCs w:val="21"/>
                    </w:rPr>
                  </w:pPr>
                </w:p>
              </w:tc>
              <w:tc>
                <w:tcPr>
                  <w:tcW w:w="311" w:type="pct"/>
                  <w:vMerge w:val="restart"/>
                  <w:noWrap w:val="0"/>
                  <w:vAlign w:val="center"/>
                </w:tcPr>
                <w:p>
                  <w:pPr>
                    <w:autoSpaceDE w:val="0"/>
                    <w:autoSpaceDN w:val="0"/>
                    <w:adjustRightInd w:val="0"/>
                    <w:snapToGrid w:val="0"/>
                    <w:jc w:val="center"/>
                    <w:rPr>
                      <w:color w:val="auto"/>
                      <w:kern w:val="0"/>
                      <w:szCs w:val="21"/>
                    </w:rPr>
                  </w:pPr>
                  <w:r>
                    <w:rPr>
                      <w:rFonts w:hint="eastAsia"/>
                      <w:color w:val="auto"/>
                      <w:kern w:val="0"/>
                      <w:szCs w:val="21"/>
                    </w:rPr>
                    <w:t>环境风险防控</w:t>
                  </w:r>
                </w:p>
              </w:tc>
              <w:tc>
                <w:tcPr>
                  <w:tcW w:w="2160" w:type="pct"/>
                  <w:noWrap w:val="0"/>
                  <w:vAlign w:val="center"/>
                </w:tcPr>
                <w:p>
                  <w:pPr>
                    <w:autoSpaceDE w:val="0"/>
                    <w:autoSpaceDN w:val="0"/>
                    <w:adjustRightInd w:val="0"/>
                    <w:snapToGrid w:val="0"/>
                    <w:rPr>
                      <w:color w:val="auto"/>
                      <w:kern w:val="0"/>
                      <w:szCs w:val="21"/>
                    </w:rPr>
                  </w:pPr>
                  <w:r>
                    <w:rPr>
                      <w:rFonts w:hint="eastAsia"/>
                      <w:color w:val="auto"/>
                      <w:kern w:val="0"/>
                      <w:szCs w:val="21"/>
                    </w:rPr>
                    <w:t>（1）以金沙江楚雄段为重点，研究建立环境风险评估体系，定期评估沿江河湖库工业企业、工业集中区环境风险，落实防控措施。重点开展长江流域金沙江楚雄段生态隐患和环境风险调查评估，划定高风险区域。</w:t>
                  </w:r>
                </w:p>
              </w:tc>
              <w:tc>
                <w:tcPr>
                  <w:tcW w:w="1751" w:type="pct"/>
                  <w:noWrap w:val="0"/>
                  <w:vAlign w:val="center"/>
                </w:tcPr>
                <w:p>
                  <w:pPr>
                    <w:autoSpaceDE w:val="0"/>
                    <w:autoSpaceDN w:val="0"/>
                    <w:adjustRightInd w:val="0"/>
                    <w:snapToGrid w:val="0"/>
                    <w:rPr>
                      <w:color w:val="auto"/>
                      <w:kern w:val="0"/>
                      <w:szCs w:val="21"/>
                    </w:rPr>
                  </w:pPr>
                  <w:r>
                    <w:rPr>
                      <w:rFonts w:hint="eastAsia"/>
                      <w:color w:val="auto"/>
                      <w:kern w:val="0"/>
                      <w:szCs w:val="21"/>
                    </w:rPr>
                    <w:t>本项目非工业类项目。环境风险主要来自储存、使用的油品以及废铅蓄电池等，通过分区防渗、加强管理和风险防范，环境风险可控。</w:t>
                  </w:r>
                </w:p>
              </w:tc>
              <w:tc>
                <w:tcPr>
                  <w:tcW w:w="490"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pPr>
                    <w:autoSpaceDE w:val="0"/>
                    <w:autoSpaceDN w:val="0"/>
                    <w:adjustRightInd w:val="0"/>
                    <w:snapToGrid w:val="0"/>
                    <w:jc w:val="center"/>
                    <w:rPr>
                      <w:color w:val="auto"/>
                      <w:kern w:val="0"/>
                      <w:szCs w:val="21"/>
                    </w:rPr>
                  </w:pPr>
                </w:p>
              </w:tc>
              <w:tc>
                <w:tcPr>
                  <w:tcW w:w="311" w:type="pct"/>
                  <w:vMerge w:val="continue"/>
                  <w:noWrap w:val="0"/>
                  <w:vAlign w:val="center"/>
                </w:tcPr>
                <w:p>
                  <w:pPr>
                    <w:autoSpaceDE w:val="0"/>
                    <w:autoSpaceDN w:val="0"/>
                    <w:adjustRightInd w:val="0"/>
                    <w:snapToGrid w:val="0"/>
                    <w:jc w:val="center"/>
                    <w:rPr>
                      <w:color w:val="auto"/>
                      <w:kern w:val="0"/>
                      <w:szCs w:val="21"/>
                    </w:rPr>
                  </w:pPr>
                </w:p>
              </w:tc>
              <w:tc>
                <w:tcPr>
                  <w:tcW w:w="2160" w:type="pct"/>
                  <w:noWrap w:val="0"/>
                  <w:vAlign w:val="center"/>
                </w:tcPr>
                <w:p>
                  <w:pPr>
                    <w:autoSpaceDE w:val="0"/>
                    <w:autoSpaceDN w:val="0"/>
                    <w:adjustRightInd w:val="0"/>
                    <w:snapToGrid w:val="0"/>
                    <w:rPr>
                      <w:color w:val="auto"/>
                      <w:kern w:val="0"/>
                      <w:szCs w:val="21"/>
                    </w:rPr>
                  </w:pPr>
                  <w:r>
                    <w:rPr>
                      <w:rFonts w:hint="eastAsia"/>
                      <w:color w:val="auto"/>
                      <w:kern w:val="0"/>
                      <w:szCs w:val="21"/>
                    </w:rPr>
                    <w:t>（2）强化全州与其他滇中城市的大气污染防治联防联控协作机制，加强区域内重污染天气应急联动。</w:t>
                  </w:r>
                </w:p>
              </w:tc>
              <w:tc>
                <w:tcPr>
                  <w:tcW w:w="1751" w:type="pct"/>
                  <w:noWrap w:val="0"/>
                  <w:vAlign w:val="center"/>
                </w:tcPr>
                <w:p>
                  <w:pPr>
                    <w:autoSpaceDE w:val="0"/>
                    <w:autoSpaceDN w:val="0"/>
                    <w:adjustRightInd w:val="0"/>
                    <w:snapToGrid w:val="0"/>
                    <w:rPr>
                      <w:color w:val="auto"/>
                      <w:kern w:val="0"/>
                      <w:szCs w:val="21"/>
                    </w:rPr>
                  </w:pPr>
                  <w:r>
                    <w:rPr>
                      <w:rFonts w:hint="eastAsia"/>
                      <w:color w:val="auto"/>
                      <w:kern w:val="0"/>
                      <w:szCs w:val="21"/>
                    </w:rPr>
                    <w:t>项目建设运行无大的大气污染，通过严格落实环评提出的各项措施可达标排放，对环境空气影响小</w:t>
                  </w:r>
                </w:p>
              </w:tc>
              <w:tc>
                <w:tcPr>
                  <w:tcW w:w="490"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pPr>
                    <w:autoSpaceDE w:val="0"/>
                    <w:autoSpaceDN w:val="0"/>
                    <w:adjustRightInd w:val="0"/>
                    <w:snapToGrid w:val="0"/>
                    <w:jc w:val="center"/>
                    <w:rPr>
                      <w:color w:val="auto"/>
                      <w:kern w:val="0"/>
                      <w:szCs w:val="21"/>
                    </w:rPr>
                  </w:pPr>
                </w:p>
              </w:tc>
              <w:tc>
                <w:tcPr>
                  <w:tcW w:w="311" w:type="pct"/>
                  <w:vMerge w:val="continue"/>
                  <w:noWrap w:val="0"/>
                  <w:vAlign w:val="center"/>
                </w:tcPr>
                <w:p>
                  <w:pPr>
                    <w:autoSpaceDE w:val="0"/>
                    <w:autoSpaceDN w:val="0"/>
                    <w:adjustRightInd w:val="0"/>
                    <w:snapToGrid w:val="0"/>
                    <w:jc w:val="center"/>
                    <w:rPr>
                      <w:color w:val="auto"/>
                      <w:kern w:val="0"/>
                      <w:szCs w:val="21"/>
                    </w:rPr>
                  </w:pPr>
                </w:p>
              </w:tc>
              <w:tc>
                <w:tcPr>
                  <w:tcW w:w="2160" w:type="pct"/>
                  <w:noWrap w:val="0"/>
                  <w:vAlign w:val="center"/>
                </w:tcPr>
                <w:p>
                  <w:pPr>
                    <w:autoSpaceDE w:val="0"/>
                    <w:autoSpaceDN w:val="0"/>
                    <w:adjustRightInd w:val="0"/>
                    <w:snapToGrid w:val="0"/>
                    <w:rPr>
                      <w:color w:val="auto"/>
                      <w:kern w:val="0"/>
                      <w:szCs w:val="21"/>
                    </w:rPr>
                  </w:pPr>
                  <w:r>
                    <w:rPr>
                      <w:rFonts w:hint="eastAsia"/>
                      <w:color w:val="auto"/>
                      <w:kern w:val="0"/>
                      <w:szCs w:val="21"/>
                    </w:rPr>
                    <w:t>（3）禁止在环境风险防控重点区域如城乡建设规划区、居民集中区、医院和学校附近、重要水源涵养生态功能区等，以及因环境污染导致环境质量不能稳定达标的区域内新建或扩建可能引发环境风险的项目，如冶金、化工、造纸、危险品生产和储运等。</w:t>
                  </w:r>
                </w:p>
              </w:tc>
              <w:tc>
                <w:tcPr>
                  <w:tcW w:w="1751" w:type="pct"/>
                  <w:noWrap w:val="0"/>
                  <w:vAlign w:val="center"/>
                </w:tcPr>
                <w:p>
                  <w:pPr>
                    <w:autoSpaceDE w:val="0"/>
                    <w:autoSpaceDN w:val="0"/>
                    <w:adjustRightInd w:val="0"/>
                    <w:snapToGrid w:val="0"/>
                    <w:rPr>
                      <w:color w:val="auto"/>
                      <w:kern w:val="0"/>
                      <w:szCs w:val="21"/>
                    </w:rPr>
                  </w:pPr>
                  <w:r>
                    <w:rPr>
                      <w:rFonts w:hint="eastAsia"/>
                      <w:color w:val="auto"/>
                      <w:kern w:val="0"/>
                      <w:szCs w:val="21"/>
                    </w:rPr>
                    <w:t>本项目未处于该条所列的居民集中区、水源涵养生态功能区、环境污染区等环境风险防控重点区域。项目环境风险主要来自储存、使用的油品以及废铅蓄电池等，不构成重大危险源，通过合理布局、分区防渗、加强风险防范，环境风险可控。</w:t>
                  </w:r>
                </w:p>
              </w:tc>
              <w:tc>
                <w:tcPr>
                  <w:tcW w:w="490"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pPr>
                    <w:autoSpaceDE w:val="0"/>
                    <w:autoSpaceDN w:val="0"/>
                    <w:adjustRightInd w:val="0"/>
                    <w:snapToGrid w:val="0"/>
                    <w:jc w:val="center"/>
                    <w:rPr>
                      <w:color w:val="auto"/>
                      <w:kern w:val="0"/>
                      <w:szCs w:val="21"/>
                    </w:rPr>
                  </w:pPr>
                </w:p>
              </w:tc>
              <w:tc>
                <w:tcPr>
                  <w:tcW w:w="311" w:type="pct"/>
                  <w:vMerge w:val="continue"/>
                  <w:noWrap w:val="0"/>
                  <w:vAlign w:val="center"/>
                </w:tcPr>
                <w:p>
                  <w:pPr>
                    <w:autoSpaceDE w:val="0"/>
                    <w:autoSpaceDN w:val="0"/>
                    <w:adjustRightInd w:val="0"/>
                    <w:snapToGrid w:val="0"/>
                    <w:jc w:val="center"/>
                    <w:rPr>
                      <w:color w:val="auto"/>
                      <w:kern w:val="0"/>
                      <w:szCs w:val="21"/>
                    </w:rPr>
                  </w:pPr>
                </w:p>
              </w:tc>
              <w:tc>
                <w:tcPr>
                  <w:tcW w:w="2160" w:type="pct"/>
                  <w:noWrap w:val="0"/>
                  <w:vAlign w:val="center"/>
                </w:tcPr>
                <w:p>
                  <w:pPr>
                    <w:autoSpaceDE w:val="0"/>
                    <w:autoSpaceDN w:val="0"/>
                    <w:adjustRightInd w:val="0"/>
                    <w:snapToGrid w:val="0"/>
                    <w:rPr>
                      <w:color w:val="auto"/>
                      <w:kern w:val="0"/>
                      <w:szCs w:val="21"/>
                    </w:rPr>
                  </w:pPr>
                  <w:r>
                    <w:rPr>
                      <w:rFonts w:hint="eastAsia"/>
                      <w:color w:val="auto"/>
                      <w:kern w:val="0"/>
                      <w:szCs w:val="21"/>
                    </w:rPr>
                    <w:t>（4）垃圾处理场、垃圾中转站、污水处理厂、生物发酵、规模化畜禽养殖、屠宰等产生恶臭气体的单位应当科学选址，与机关、学校、医院、居民住宅区等人口集中地区和其他依法需要特殊保护的区域保持符合规定的防护距离。</w:t>
                  </w:r>
                </w:p>
              </w:tc>
              <w:tc>
                <w:tcPr>
                  <w:tcW w:w="1751" w:type="pct"/>
                  <w:noWrap w:val="0"/>
                  <w:vAlign w:val="center"/>
                </w:tcPr>
                <w:p>
                  <w:pPr>
                    <w:autoSpaceDE w:val="0"/>
                    <w:autoSpaceDN w:val="0"/>
                    <w:adjustRightInd w:val="0"/>
                    <w:snapToGrid w:val="0"/>
                    <w:rPr>
                      <w:color w:val="auto"/>
                      <w:kern w:val="0"/>
                      <w:szCs w:val="21"/>
                    </w:rPr>
                  </w:pPr>
                  <w:r>
                    <w:rPr>
                      <w:rFonts w:hint="eastAsia"/>
                      <w:color w:val="auto"/>
                      <w:kern w:val="0"/>
                      <w:szCs w:val="21"/>
                    </w:rPr>
                    <w:t>不涉及</w:t>
                  </w:r>
                </w:p>
              </w:tc>
              <w:tc>
                <w:tcPr>
                  <w:tcW w:w="490"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pPr>
                    <w:autoSpaceDE w:val="0"/>
                    <w:autoSpaceDN w:val="0"/>
                    <w:adjustRightInd w:val="0"/>
                    <w:snapToGrid w:val="0"/>
                    <w:jc w:val="center"/>
                    <w:rPr>
                      <w:color w:val="auto"/>
                      <w:kern w:val="0"/>
                      <w:szCs w:val="21"/>
                    </w:rPr>
                  </w:pPr>
                </w:p>
              </w:tc>
              <w:tc>
                <w:tcPr>
                  <w:tcW w:w="311" w:type="pct"/>
                  <w:vMerge w:val="restart"/>
                  <w:noWrap w:val="0"/>
                  <w:vAlign w:val="center"/>
                </w:tcPr>
                <w:p>
                  <w:pPr>
                    <w:autoSpaceDE w:val="0"/>
                    <w:autoSpaceDN w:val="0"/>
                    <w:adjustRightInd w:val="0"/>
                    <w:snapToGrid w:val="0"/>
                    <w:jc w:val="center"/>
                    <w:rPr>
                      <w:color w:val="auto"/>
                      <w:kern w:val="0"/>
                      <w:szCs w:val="21"/>
                    </w:rPr>
                  </w:pPr>
                  <w:r>
                    <w:rPr>
                      <w:rFonts w:hint="eastAsia"/>
                      <w:color w:val="auto"/>
                      <w:kern w:val="0"/>
                      <w:szCs w:val="21"/>
                    </w:rPr>
                    <w:t>资源利用效率</w:t>
                  </w:r>
                </w:p>
              </w:tc>
              <w:tc>
                <w:tcPr>
                  <w:tcW w:w="2160" w:type="pct"/>
                  <w:noWrap w:val="0"/>
                  <w:vAlign w:val="center"/>
                </w:tcPr>
                <w:p>
                  <w:pPr>
                    <w:autoSpaceDE w:val="0"/>
                    <w:autoSpaceDN w:val="0"/>
                    <w:adjustRightInd w:val="0"/>
                    <w:snapToGrid w:val="0"/>
                    <w:rPr>
                      <w:color w:val="auto"/>
                      <w:kern w:val="0"/>
                      <w:szCs w:val="21"/>
                    </w:rPr>
                  </w:pPr>
                  <w:r>
                    <w:rPr>
                      <w:rFonts w:hint="eastAsia"/>
                      <w:color w:val="auto"/>
                      <w:kern w:val="0"/>
                      <w:szCs w:val="21"/>
                    </w:rPr>
                    <w:t>（1）降低水、土地、矿产资源消耗强度，强化约束性指标管理。</w:t>
                  </w:r>
                </w:p>
              </w:tc>
              <w:tc>
                <w:tcPr>
                  <w:tcW w:w="1751" w:type="pct"/>
                  <w:noWrap w:val="0"/>
                  <w:vAlign w:val="center"/>
                </w:tcPr>
                <w:p>
                  <w:pPr>
                    <w:autoSpaceDE w:val="0"/>
                    <w:autoSpaceDN w:val="0"/>
                    <w:adjustRightInd w:val="0"/>
                    <w:snapToGrid w:val="0"/>
                    <w:rPr>
                      <w:color w:val="auto"/>
                      <w:kern w:val="0"/>
                      <w:szCs w:val="21"/>
                    </w:rPr>
                  </w:pPr>
                  <w:r>
                    <w:rPr>
                      <w:rFonts w:hint="eastAsia"/>
                      <w:color w:val="auto"/>
                      <w:kern w:val="0"/>
                      <w:szCs w:val="21"/>
                    </w:rPr>
                    <w:t>项目用水量少；不涉及矿产资源开采；用地采取复合式开发，严格遵守国家及地方对光伏项目土地利用的相关要求。</w:t>
                  </w:r>
                </w:p>
              </w:tc>
              <w:tc>
                <w:tcPr>
                  <w:tcW w:w="490"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pPr>
                    <w:autoSpaceDE w:val="0"/>
                    <w:autoSpaceDN w:val="0"/>
                    <w:adjustRightInd w:val="0"/>
                    <w:snapToGrid w:val="0"/>
                    <w:jc w:val="center"/>
                    <w:rPr>
                      <w:color w:val="auto"/>
                      <w:kern w:val="0"/>
                      <w:szCs w:val="21"/>
                    </w:rPr>
                  </w:pPr>
                </w:p>
              </w:tc>
              <w:tc>
                <w:tcPr>
                  <w:tcW w:w="311" w:type="pct"/>
                  <w:vMerge w:val="continue"/>
                  <w:noWrap w:val="0"/>
                  <w:vAlign w:val="center"/>
                </w:tcPr>
                <w:p>
                  <w:pPr>
                    <w:autoSpaceDE w:val="0"/>
                    <w:autoSpaceDN w:val="0"/>
                    <w:adjustRightInd w:val="0"/>
                    <w:snapToGrid w:val="0"/>
                    <w:jc w:val="center"/>
                    <w:rPr>
                      <w:color w:val="auto"/>
                      <w:kern w:val="0"/>
                      <w:szCs w:val="21"/>
                    </w:rPr>
                  </w:pPr>
                </w:p>
              </w:tc>
              <w:tc>
                <w:tcPr>
                  <w:tcW w:w="2160" w:type="pct"/>
                  <w:noWrap w:val="0"/>
                  <w:vAlign w:val="center"/>
                </w:tcPr>
                <w:p>
                  <w:pPr>
                    <w:autoSpaceDE w:val="0"/>
                    <w:autoSpaceDN w:val="0"/>
                    <w:adjustRightInd w:val="0"/>
                    <w:snapToGrid w:val="0"/>
                    <w:rPr>
                      <w:color w:val="auto"/>
                      <w:kern w:val="0"/>
                      <w:szCs w:val="21"/>
                    </w:rPr>
                  </w:pPr>
                  <w:r>
                    <w:rPr>
                      <w:rFonts w:hint="eastAsia"/>
                      <w:color w:val="auto"/>
                      <w:kern w:val="0"/>
                      <w:szCs w:val="21"/>
                    </w:rPr>
                    <w:t>（2）实行最严格的水资源管理制度，严格用水总量、强度指标管理，严格取水管控，建立重点监控取水单位名录，强化重点监控取水单位管理。全州年用水总量、万元工业增加值用水量降幅等指标达到省考核要求。</w:t>
                  </w:r>
                </w:p>
              </w:tc>
              <w:tc>
                <w:tcPr>
                  <w:tcW w:w="1751" w:type="pct"/>
                  <w:noWrap w:val="0"/>
                  <w:vAlign w:val="center"/>
                </w:tcPr>
                <w:p>
                  <w:pPr>
                    <w:autoSpaceDE w:val="0"/>
                    <w:autoSpaceDN w:val="0"/>
                    <w:adjustRightInd w:val="0"/>
                    <w:snapToGrid w:val="0"/>
                    <w:rPr>
                      <w:color w:val="auto"/>
                      <w:kern w:val="0"/>
                      <w:szCs w:val="21"/>
                    </w:rPr>
                  </w:pPr>
                  <w:r>
                    <w:rPr>
                      <w:rFonts w:hint="eastAsia"/>
                      <w:color w:val="auto"/>
                      <w:kern w:val="0"/>
                      <w:szCs w:val="21"/>
                    </w:rPr>
                    <w:t>项目新鲜用水量较少，采用罐车拉水至项目区储存使用，不自行取水，不会对当地水资源供应产生明显影响。</w:t>
                  </w:r>
                </w:p>
              </w:tc>
              <w:tc>
                <w:tcPr>
                  <w:tcW w:w="490"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pPr>
                    <w:autoSpaceDE w:val="0"/>
                    <w:autoSpaceDN w:val="0"/>
                    <w:adjustRightInd w:val="0"/>
                    <w:snapToGrid w:val="0"/>
                    <w:jc w:val="center"/>
                    <w:rPr>
                      <w:color w:val="auto"/>
                      <w:kern w:val="0"/>
                      <w:szCs w:val="21"/>
                    </w:rPr>
                  </w:pPr>
                </w:p>
              </w:tc>
              <w:tc>
                <w:tcPr>
                  <w:tcW w:w="311" w:type="pct"/>
                  <w:vMerge w:val="continue"/>
                  <w:noWrap w:val="0"/>
                  <w:vAlign w:val="center"/>
                </w:tcPr>
                <w:p>
                  <w:pPr>
                    <w:autoSpaceDE w:val="0"/>
                    <w:autoSpaceDN w:val="0"/>
                    <w:adjustRightInd w:val="0"/>
                    <w:snapToGrid w:val="0"/>
                    <w:jc w:val="center"/>
                    <w:rPr>
                      <w:color w:val="auto"/>
                      <w:kern w:val="0"/>
                      <w:szCs w:val="21"/>
                    </w:rPr>
                  </w:pPr>
                </w:p>
              </w:tc>
              <w:tc>
                <w:tcPr>
                  <w:tcW w:w="2160" w:type="pct"/>
                  <w:noWrap w:val="0"/>
                  <w:vAlign w:val="center"/>
                </w:tcPr>
                <w:p>
                  <w:pPr>
                    <w:autoSpaceDE w:val="0"/>
                    <w:autoSpaceDN w:val="0"/>
                    <w:adjustRightInd w:val="0"/>
                    <w:snapToGrid w:val="0"/>
                    <w:rPr>
                      <w:color w:val="auto"/>
                      <w:kern w:val="0"/>
                      <w:szCs w:val="21"/>
                    </w:rPr>
                  </w:pPr>
                  <w:r>
                    <w:rPr>
                      <w:rFonts w:hint="eastAsia"/>
                      <w:color w:val="auto"/>
                      <w:kern w:val="0"/>
                      <w:szCs w:val="21"/>
                    </w:rPr>
                    <w:t>（3）坚持最严格的耕地保护制度，守住耕地保护红线。坚持节约用地，严格执行耕地占补平衡等制度，提高土地投资强度和单位面积产出水平。</w:t>
                  </w:r>
                </w:p>
              </w:tc>
              <w:tc>
                <w:tcPr>
                  <w:tcW w:w="1751" w:type="pct"/>
                  <w:noWrap w:val="0"/>
                  <w:vAlign w:val="center"/>
                </w:tcPr>
                <w:p>
                  <w:pPr>
                    <w:autoSpaceDE w:val="0"/>
                    <w:autoSpaceDN w:val="0"/>
                    <w:adjustRightInd w:val="0"/>
                    <w:snapToGrid w:val="0"/>
                    <w:rPr>
                      <w:color w:val="auto"/>
                      <w:kern w:val="0"/>
                      <w:szCs w:val="21"/>
                    </w:rPr>
                  </w:pPr>
                  <w:r>
                    <w:rPr>
                      <w:rFonts w:hint="eastAsia"/>
                      <w:color w:val="auto"/>
                      <w:kern w:val="0"/>
                      <w:szCs w:val="21"/>
                    </w:rPr>
                    <w:t>经元谋县自然资源局核查，</w:t>
                  </w:r>
                  <w:r>
                    <w:rPr>
                      <w:rFonts w:hint="eastAsia"/>
                      <w:color w:val="auto"/>
                      <w:kern w:val="0"/>
                      <w:szCs w:val="21"/>
                      <w:lang w:val="en-US" w:eastAsia="zh-CN"/>
                    </w:rPr>
                    <w:t>项目</w:t>
                  </w:r>
                  <w:r>
                    <w:rPr>
                      <w:rFonts w:hint="eastAsia"/>
                      <w:color w:val="auto"/>
                      <w:kern w:val="0"/>
                      <w:szCs w:val="21"/>
                    </w:rPr>
                    <w:t>不占基本农田</w:t>
                  </w:r>
                  <w:r>
                    <w:rPr>
                      <w:rFonts w:hint="eastAsia"/>
                      <w:color w:val="auto"/>
                      <w:kern w:val="0"/>
                      <w:szCs w:val="21"/>
                      <w:lang w:eastAsia="zh-CN"/>
                    </w:rPr>
                    <w:t>。</w:t>
                  </w:r>
                  <w:r>
                    <w:rPr>
                      <w:rFonts w:hint="eastAsia"/>
                      <w:color w:val="auto"/>
                      <w:kern w:val="0"/>
                      <w:szCs w:val="21"/>
                    </w:rPr>
                    <w:t>电站采取复合式开发，光伏阵列架设除桩基外地面不做硬化，组件保持一定高度及行、列间距，阵列架设后光伏板下及板间可继续进行农业生产，恢复原用途；箱变及分支箱基础、集电线路塔基、升压站等零星永久占地面积小，对地区农业生产的影响不大，依法依规办理建设用地手续，符合国家及地方对光伏项目建设用地的相关要求。</w:t>
                  </w:r>
                </w:p>
              </w:tc>
              <w:tc>
                <w:tcPr>
                  <w:tcW w:w="490"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pPr>
                    <w:autoSpaceDE w:val="0"/>
                    <w:autoSpaceDN w:val="0"/>
                    <w:adjustRightInd w:val="0"/>
                    <w:snapToGrid w:val="0"/>
                    <w:jc w:val="center"/>
                    <w:rPr>
                      <w:color w:val="auto"/>
                      <w:kern w:val="0"/>
                      <w:szCs w:val="21"/>
                    </w:rPr>
                  </w:pPr>
                </w:p>
              </w:tc>
              <w:tc>
                <w:tcPr>
                  <w:tcW w:w="311" w:type="pct"/>
                  <w:vMerge w:val="continue"/>
                  <w:noWrap w:val="0"/>
                  <w:vAlign w:val="center"/>
                </w:tcPr>
                <w:p>
                  <w:pPr>
                    <w:autoSpaceDE w:val="0"/>
                    <w:autoSpaceDN w:val="0"/>
                    <w:adjustRightInd w:val="0"/>
                    <w:snapToGrid w:val="0"/>
                    <w:jc w:val="center"/>
                    <w:rPr>
                      <w:color w:val="auto"/>
                      <w:kern w:val="0"/>
                      <w:szCs w:val="21"/>
                    </w:rPr>
                  </w:pPr>
                </w:p>
              </w:tc>
              <w:tc>
                <w:tcPr>
                  <w:tcW w:w="2160" w:type="pct"/>
                  <w:noWrap w:val="0"/>
                  <w:vAlign w:val="center"/>
                </w:tcPr>
                <w:p>
                  <w:pPr>
                    <w:autoSpaceDE w:val="0"/>
                    <w:autoSpaceDN w:val="0"/>
                    <w:adjustRightInd w:val="0"/>
                    <w:snapToGrid w:val="0"/>
                    <w:rPr>
                      <w:color w:val="auto"/>
                      <w:kern w:val="0"/>
                      <w:szCs w:val="21"/>
                    </w:rPr>
                  </w:pPr>
                  <w:r>
                    <w:rPr>
                      <w:rFonts w:hint="eastAsia"/>
                      <w:color w:val="auto"/>
                      <w:kern w:val="0"/>
                      <w:szCs w:val="21"/>
                    </w:rPr>
                    <w:t>（4）全州单位GDP能耗持续下降，能耗增量控制目标达到省考核要求。</w:t>
                  </w:r>
                </w:p>
              </w:tc>
              <w:tc>
                <w:tcPr>
                  <w:tcW w:w="1751" w:type="pct"/>
                  <w:noWrap w:val="0"/>
                  <w:vAlign w:val="center"/>
                </w:tcPr>
                <w:p>
                  <w:pPr>
                    <w:autoSpaceDE w:val="0"/>
                    <w:autoSpaceDN w:val="0"/>
                    <w:adjustRightInd w:val="0"/>
                    <w:snapToGrid w:val="0"/>
                    <w:rPr>
                      <w:color w:val="auto"/>
                      <w:kern w:val="0"/>
                      <w:szCs w:val="21"/>
                    </w:rPr>
                  </w:pPr>
                  <w:r>
                    <w:rPr>
                      <w:color w:val="auto"/>
                      <w:kern w:val="0"/>
                      <w:szCs w:val="21"/>
                    </w:rPr>
                    <w:t>项目</w:t>
                  </w:r>
                  <w:r>
                    <w:rPr>
                      <w:rFonts w:hint="eastAsia"/>
                      <w:color w:val="auto"/>
                      <w:kern w:val="0"/>
                      <w:szCs w:val="21"/>
                    </w:rPr>
                    <w:t>属清洁能源生产项目，</w:t>
                  </w:r>
                  <w:r>
                    <w:rPr>
                      <w:color w:val="auto"/>
                      <w:kern w:val="0"/>
                      <w:szCs w:val="21"/>
                    </w:rPr>
                    <w:t>建成后有利于地区能源结构优化</w:t>
                  </w:r>
                </w:p>
              </w:tc>
              <w:tc>
                <w:tcPr>
                  <w:tcW w:w="490"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pPr>
                    <w:autoSpaceDE w:val="0"/>
                    <w:autoSpaceDN w:val="0"/>
                    <w:adjustRightInd w:val="0"/>
                    <w:snapToGrid w:val="0"/>
                    <w:jc w:val="center"/>
                    <w:rPr>
                      <w:color w:val="auto"/>
                      <w:kern w:val="0"/>
                      <w:szCs w:val="21"/>
                    </w:rPr>
                  </w:pPr>
                </w:p>
              </w:tc>
              <w:tc>
                <w:tcPr>
                  <w:tcW w:w="311" w:type="pct"/>
                  <w:vMerge w:val="continue"/>
                  <w:noWrap w:val="0"/>
                  <w:vAlign w:val="center"/>
                </w:tcPr>
                <w:p>
                  <w:pPr>
                    <w:autoSpaceDE w:val="0"/>
                    <w:autoSpaceDN w:val="0"/>
                    <w:adjustRightInd w:val="0"/>
                    <w:snapToGrid w:val="0"/>
                    <w:jc w:val="center"/>
                    <w:rPr>
                      <w:color w:val="auto"/>
                      <w:kern w:val="0"/>
                      <w:szCs w:val="21"/>
                    </w:rPr>
                  </w:pPr>
                </w:p>
              </w:tc>
              <w:tc>
                <w:tcPr>
                  <w:tcW w:w="2160" w:type="pct"/>
                  <w:noWrap w:val="0"/>
                  <w:vAlign w:val="center"/>
                </w:tcPr>
                <w:p>
                  <w:pPr>
                    <w:autoSpaceDE w:val="0"/>
                    <w:autoSpaceDN w:val="0"/>
                    <w:adjustRightInd w:val="0"/>
                    <w:snapToGrid w:val="0"/>
                    <w:rPr>
                      <w:color w:val="auto"/>
                      <w:kern w:val="0"/>
                      <w:szCs w:val="21"/>
                    </w:rPr>
                  </w:pPr>
                  <w:r>
                    <w:rPr>
                      <w:rFonts w:hint="eastAsia"/>
                      <w:color w:val="auto"/>
                      <w:kern w:val="0"/>
                      <w:szCs w:val="21"/>
                    </w:rPr>
                    <w:t>（5）鼓励全州石化、化工、有色金属冶炼等行业运用工业节水、技术和装备，促进企业废水深度处理回用。</w:t>
                  </w:r>
                </w:p>
              </w:tc>
              <w:tc>
                <w:tcPr>
                  <w:tcW w:w="1751" w:type="pct"/>
                  <w:noWrap w:val="0"/>
                  <w:vAlign w:val="center"/>
                </w:tcPr>
                <w:p>
                  <w:pPr>
                    <w:autoSpaceDE w:val="0"/>
                    <w:autoSpaceDN w:val="0"/>
                    <w:adjustRightInd w:val="0"/>
                    <w:snapToGrid w:val="0"/>
                    <w:rPr>
                      <w:color w:val="auto"/>
                      <w:kern w:val="0"/>
                      <w:szCs w:val="21"/>
                    </w:rPr>
                  </w:pPr>
                  <w:r>
                    <w:rPr>
                      <w:rFonts w:hint="eastAsia"/>
                      <w:color w:val="auto"/>
                      <w:kern w:val="0"/>
                      <w:szCs w:val="21"/>
                    </w:rPr>
                    <w:t>项目用水量少，废水全部回用于光伏板下林草植被浇洒。</w:t>
                  </w:r>
                </w:p>
              </w:tc>
              <w:tc>
                <w:tcPr>
                  <w:tcW w:w="490"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pPr>
                    <w:autoSpaceDE w:val="0"/>
                    <w:autoSpaceDN w:val="0"/>
                    <w:adjustRightInd w:val="0"/>
                    <w:snapToGrid w:val="0"/>
                    <w:jc w:val="center"/>
                    <w:rPr>
                      <w:color w:val="auto"/>
                      <w:kern w:val="0"/>
                      <w:szCs w:val="21"/>
                    </w:rPr>
                  </w:pPr>
                </w:p>
              </w:tc>
              <w:tc>
                <w:tcPr>
                  <w:tcW w:w="311" w:type="pct"/>
                  <w:vMerge w:val="continue"/>
                  <w:noWrap w:val="0"/>
                  <w:vAlign w:val="center"/>
                </w:tcPr>
                <w:p>
                  <w:pPr>
                    <w:autoSpaceDE w:val="0"/>
                    <w:autoSpaceDN w:val="0"/>
                    <w:adjustRightInd w:val="0"/>
                    <w:snapToGrid w:val="0"/>
                    <w:jc w:val="center"/>
                    <w:rPr>
                      <w:color w:val="auto"/>
                      <w:kern w:val="0"/>
                      <w:szCs w:val="21"/>
                    </w:rPr>
                  </w:pPr>
                </w:p>
              </w:tc>
              <w:tc>
                <w:tcPr>
                  <w:tcW w:w="2160" w:type="pct"/>
                  <w:noWrap w:val="0"/>
                  <w:vAlign w:val="center"/>
                </w:tcPr>
                <w:p>
                  <w:pPr>
                    <w:autoSpaceDE w:val="0"/>
                    <w:autoSpaceDN w:val="0"/>
                    <w:adjustRightInd w:val="0"/>
                    <w:snapToGrid w:val="0"/>
                    <w:rPr>
                      <w:color w:val="auto"/>
                      <w:kern w:val="0"/>
                      <w:szCs w:val="21"/>
                    </w:rPr>
                  </w:pPr>
                  <w:r>
                    <w:rPr>
                      <w:rFonts w:hint="eastAsia"/>
                      <w:color w:val="auto"/>
                      <w:kern w:val="0"/>
                      <w:szCs w:val="21"/>
                    </w:rPr>
                    <w:t>（6）实施金沙江龙川江等重点流域水库群联合调度，增加枯水期下泄流量，确保生态用水比例只增不降。</w:t>
                  </w:r>
                </w:p>
              </w:tc>
              <w:tc>
                <w:tcPr>
                  <w:tcW w:w="1751" w:type="pct"/>
                  <w:noWrap w:val="0"/>
                  <w:vAlign w:val="center"/>
                </w:tcPr>
                <w:p>
                  <w:pPr>
                    <w:autoSpaceDE w:val="0"/>
                    <w:autoSpaceDN w:val="0"/>
                    <w:adjustRightInd w:val="0"/>
                    <w:snapToGrid w:val="0"/>
                    <w:rPr>
                      <w:color w:val="auto"/>
                      <w:kern w:val="0"/>
                      <w:szCs w:val="21"/>
                    </w:rPr>
                  </w:pPr>
                  <w:r>
                    <w:rPr>
                      <w:rFonts w:hint="eastAsia"/>
                      <w:color w:val="auto"/>
                      <w:kern w:val="0"/>
                      <w:szCs w:val="21"/>
                    </w:rPr>
                    <w:t>项目用水量较少，不自行设置取水口，不会对地区水资源供应产生明显影响。</w:t>
                  </w:r>
                </w:p>
              </w:tc>
              <w:tc>
                <w:tcPr>
                  <w:tcW w:w="490"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优先管控单元</w:t>
                  </w:r>
                </w:p>
              </w:tc>
              <w:tc>
                <w:tcPr>
                  <w:tcW w:w="311"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一般生态空间优先保护单元</w:t>
                  </w:r>
                </w:p>
              </w:tc>
              <w:tc>
                <w:tcPr>
                  <w:tcW w:w="2160" w:type="pct"/>
                  <w:noWrap w:val="0"/>
                  <w:vAlign w:val="center"/>
                </w:tcPr>
                <w:p>
                  <w:pPr>
                    <w:autoSpaceDE w:val="0"/>
                    <w:autoSpaceDN w:val="0"/>
                    <w:adjustRightInd w:val="0"/>
                    <w:snapToGrid w:val="0"/>
                    <w:rPr>
                      <w:color w:val="auto"/>
                      <w:kern w:val="0"/>
                      <w:szCs w:val="21"/>
                    </w:rPr>
                  </w:pPr>
                  <w:r>
                    <w:rPr>
                      <w:rFonts w:hint="eastAsia"/>
                      <w:color w:val="auto"/>
                      <w:kern w:val="0"/>
                      <w:szCs w:val="21"/>
                    </w:rPr>
                    <w:t>（1）执行《云南省人民政府关于实施“三线一单”生态环境分区管控的意见》。原则上按照限制开发区域的要求进行管理，严格限制大规模开发建设活动。以保护和修复生态环境、提供生态产品为首要任务，因地制宜地发展不影响主体功能定位的产业。</w:t>
                  </w:r>
                </w:p>
                <w:p>
                  <w:pPr>
                    <w:autoSpaceDE w:val="0"/>
                    <w:autoSpaceDN w:val="0"/>
                    <w:adjustRightInd w:val="0"/>
                    <w:snapToGrid w:val="0"/>
                    <w:rPr>
                      <w:rFonts w:hint="eastAsia"/>
                      <w:color w:val="auto"/>
                      <w:kern w:val="0"/>
                      <w:szCs w:val="21"/>
                    </w:rPr>
                  </w:pPr>
                  <w:r>
                    <w:rPr>
                      <w:rFonts w:hint="eastAsia"/>
                      <w:color w:val="auto"/>
                      <w:kern w:val="0"/>
                      <w:szCs w:val="21"/>
                    </w:rPr>
                    <w:t>（2）未纳入生态保护红线的各类自然保护地按照相关法律法规规定进行管控；重要湿地依据《湿地保护管理规定》、《国务院办公厅关于印发湿地保护修复制度方案的通知》、《云南省湿地保护条例》、《云南省人民政府关于加强湿地保护工作的意见》等进行管理；生态公益林依据《国家级公益林管理办法》、《云南省地方公益林管理办法》进行管理；天然林依据《国家 林业局关于严格保护天然林的通知》（林资发〔2015〕181号）、《天然林保护修复制度方案》的通知（厅字〔2019〕39号）等进行管理；基本草原依据《中华人民共和国草原法》进行管理。</w:t>
                  </w:r>
                </w:p>
              </w:tc>
              <w:tc>
                <w:tcPr>
                  <w:tcW w:w="1751" w:type="pct"/>
                  <w:noWrap w:val="0"/>
                  <w:vAlign w:val="center"/>
                </w:tcPr>
                <w:p>
                  <w:pPr>
                    <w:autoSpaceDE w:val="0"/>
                    <w:autoSpaceDN w:val="0"/>
                    <w:adjustRightInd w:val="0"/>
                    <w:snapToGrid w:val="0"/>
                    <w:rPr>
                      <w:rFonts w:hint="eastAsia"/>
                      <w:color w:val="auto"/>
                      <w:kern w:val="0"/>
                      <w:szCs w:val="21"/>
                    </w:rPr>
                  </w:pPr>
                  <w:r>
                    <w:rPr>
                      <w:rFonts w:hint="eastAsia" w:cs="Times New Roman"/>
                      <w:color w:val="auto"/>
                      <w:kern w:val="0"/>
                      <w:szCs w:val="21"/>
                      <w:lang w:eastAsia="zh-CN"/>
                    </w:rPr>
                    <w:t>（</w:t>
                  </w:r>
                  <w:r>
                    <w:rPr>
                      <w:rFonts w:hint="eastAsia" w:cs="Times New Roman"/>
                      <w:color w:val="auto"/>
                      <w:kern w:val="0"/>
                      <w:szCs w:val="21"/>
                      <w:lang w:val="en-US" w:eastAsia="zh-CN"/>
                    </w:rPr>
                    <w:t>1</w:t>
                  </w:r>
                  <w:r>
                    <w:rPr>
                      <w:rFonts w:hint="eastAsia" w:cs="Times New Roman"/>
                      <w:color w:val="auto"/>
                      <w:kern w:val="0"/>
                      <w:szCs w:val="21"/>
                      <w:lang w:eastAsia="zh-CN"/>
                    </w:rPr>
                    <w:t>）</w:t>
                  </w:r>
                  <w:r>
                    <w:rPr>
                      <w:rFonts w:hint="eastAsia" w:ascii="Times New Roman" w:hAnsi="Times New Roman" w:eastAsia="宋体" w:cs="Times New Roman"/>
                      <w:color w:val="auto"/>
                      <w:kern w:val="0"/>
                      <w:szCs w:val="21"/>
                    </w:rPr>
                    <w:t>项目涉及涉及占用楚雄州元谋县境内集体林地15.5249公顷(防护林林地3.0673公顷、用材林林地0.6525公顷、能源林林地9.5599公顷、其他林地2.2452公顷)</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color w:val="auto"/>
                      <w:kern w:val="0"/>
                      <w:szCs w:val="21"/>
                    </w:rPr>
                    <w:t>其中</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color w:val="auto"/>
                      <w:kern w:val="0"/>
                      <w:szCs w:val="21"/>
                    </w:rPr>
                    <w:t>占用老城乡丙月村委会集体林地10.4838公顷、丙间村委会集体林地1.0397公顷、尹地村委会集体林地2.2851公顷，元马镇翠峰社区居委会集体林地0.8805公顷、龙泉社区居委会集体林地0.7159公顷、清河社区居委会集体林地0.1199公顷</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color w:val="auto"/>
                      <w:kern w:val="0"/>
                      <w:szCs w:val="21"/>
                      <w:lang w:val="en-US" w:eastAsia="zh-CN"/>
                    </w:rPr>
                    <w:t>见附件6）。</w:t>
                  </w:r>
                  <w:r>
                    <w:rPr>
                      <w:rFonts w:hint="eastAsia" w:ascii="Times New Roman" w:hAnsi="Times New Roman" w:eastAsia="宋体" w:cs="Times New Roman"/>
                      <w:color w:val="auto"/>
                      <w:kern w:val="0"/>
                      <w:szCs w:val="21"/>
                    </w:rPr>
                    <w:t>经调查，项目选址范围不位于元谋县“三区三线”划定的生态保护红线范围内</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color w:val="auto"/>
                      <w:kern w:val="0"/>
                      <w:szCs w:val="21"/>
                    </w:rPr>
                    <w:t>也不属于各类自然保护地、世界自然遗产地、野生动物重要栖息地、珍稀濒危和极小种群野生植物重要原生境、天然林重点保护区范围内的林地。根据场地现状，其中集电线路塔基涉及的公益林现状不属于天然乔木林；现状为草地，不属于有林地、疏林地、未成林造林地、采伐迹地、火烧迹地，以及年降雨量400毫米以下区域覆盖度高于30%的灌木林地和年降雨量400毫米以上区域覆盖度高于50%的灌木林地；符合“云林规[2021]5号”光伏项目使用林草地用地类型规定。项目总体布局及设计已尽量减小对公益林的占用影响，在依法办理并取得使用林地许可的基础上，符合《国家级公益林管理办法》《云南省地方公益林管理办法》要求。</w:t>
                  </w:r>
                </w:p>
              </w:tc>
              <w:tc>
                <w:tcPr>
                  <w:tcW w:w="490" w:type="pct"/>
                  <w:noWrap w:val="0"/>
                  <w:vAlign w:val="center"/>
                </w:tcPr>
                <w:p>
                  <w:pPr>
                    <w:autoSpaceDE w:val="0"/>
                    <w:autoSpaceDN w:val="0"/>
                    <w:adjustRightInd w:val="0"/>
                    <w:snapToGrid w:val="0"/>
                    <w:jc w:val="center"/>
                    <w:rPr>
                      <w:rFonts w:hint="eastAsia"/>
                      <w:color w:val="auto"/>
                      <w:kern w:val="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一般管控单元</w:t>
                  </w:r>
                </w:p>
              </w:tc>
              <w:tc>
                <w:tcPr>
                  <w:tcW w:w="311"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空间布局约束</w:t>
                  </w:r>
                </w:p>
              </w:tc>
              <w:tc>
                <w:tcPr>
                  <w:tcW w:w="2160" w:type="pct"/>
                  <w:noWrap w:val="0"/>
                  <w:vAlign w:val="center"/>
                </w:tcPr>
                <w:p>
                  <w:pPr>
                    <w:autoSpaceDE w:val="0"/>
                    <w:autoSpaceDN w:val="0"/>
                    <w:adjustRightInd w:val="0"/>
                    <w:snapToGrid w:val="0"/>
                    <w:rPr>
                      <w:color w:val="auto"/>
                      <w:kern w:val="0"/>
                      <w:szCs w:val="21"/>
                    </w:rPr>
                  </w:pPr>
                  <w:r>
                    <w:rPr>
                      <w:rFonts w:hint="eastAsia"/>
                      <w:color w:val="auto"/>
                      <w:kern w:val="0"/>
                      <w:szCs w:val="21"/>
                    </w:rPr>
                    <w:t>落实生态环境保护基本要求，项目建设和运行应满足产业准入、总量控制、排放标准等管理规定和国家法律法规要求。</w:t>
                  </w:r>
                </w:p>
              </w:tc>
              <w:tc>
                <w:tcPr>
                  <w:tcW w:w="1751" w:type="pct"/>
                  <w:noWrap w:val="0"/>
                  <w:vAlign w:val="center"/>
                </w:tcPr>
                <w:p>
                  <w:pPr>
                    <w:autoSpaceDE w:val="0"/>
                    <w:autoSpaceDN w:val="0"/>
                    <w:adjustRightInd w:val="0"/>
                    <w:snapToGrid w:val="0"/>
                    <w:rPr>
                      <w:color w:val="auto"/>
                      <w:kern w:val="0"/>
                      <w:szCs w:val="21"/>
                    </w:rPr>
                  </w:pPr>
                  <w:r>
                    <w:rPr>
                      <w:rFonts w:hint="eastAsia"/>
                      <w:color w:val="auto"/>
                      <w:kern w:val="0"/>
                      <w:szCs w:val="21"/>
                    </w:rPr>
                    <w:t>项目符合产业政策、符合相关法律法规及规划要求。通过落实环评提出的各项措施后项目建设运行各污染物可达标排放，不占用区域总量控制指标。</w:t>
                  </w:r>
                </w:p>
              </w:tc>
              <w:tc>
                <w:tcPr>
                  <w:tcW w:w="490"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bl>
          <w:p>
            <w:pPr>
              <w:widowControl w:val="0"/>
              <w:adjustRightInd w:val="0"/>
              <w:snapToGrid w:val="0"/>
              <w:spacing w:line="420" w:lineRule="exact"/>
              <w:ind w:firstLine="425"/>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综上分析，项目与《楚雄州“三线一单”生态环境分区管控实施方案》要求相符合。</w:t>
            </w:r>
          </w:p>
          <w:p>
            <w:pPr>
              <w:autoSpaceDE w:val="0"/>
              <w:autoSpaceDN w:val="0"/>
              <w:spacing w:line="360" w:lineRule="auto"/>
              <w:rPr>
                <w:b/>
                <w:bCs/>
                <w:color w:val="auto"/>
                <w:kern w:val="0"/>
                <w:sz w:val="24"/>
              </w:rPr>
            </w:pPr>
            <w:r>
              <w:rPr>
                <w:rFonts w:hint="eastAsia"/>
                <w:b/>
                <w:bCs/>
                <w:color w:val="auto"/>
                <w:kern w:val="0"/>
                <w:sz w:val="24"/>
              </w:rPr>
              <w:t>3、与《长江经济带发展负面清单指南（试行，2</w:t>
            </w:r>
            <w:r>
              <w:rPr>
                <w:b/>
                <w:bCs/>
                <w:color w:val="auto"/>
                <w:kern w:val="0"/>
                <w:sz w:val="24"/>
              </w:rPr>
              <w:t>022</w:t>
            </w:r>
            <w:r>
              <w:rPr>
                <w:rFonts w:hint="eastAsia"/>
                <w:b/>
                <w:bCs/>
                <w:color w:val="auto"/>
                <w:kern w:val="0"/>
                <w:sz w:val="24"/>
              </w:rPr>
              <w:t xml:space="preserve">年版）》的符合性 </w:t>
            </w:r>
          </w:p>
          <w:p>
            <w:pPr>
              <w:autoSpaceDE w:val="0"/>
              <w:autoSpaceDN w:val="0"/>
              <w:spacing w:line="360" w:lineRule="auto"/>
              <w:ind w:firstLine="480" w:firstLineChars="200"/>
              <w:rPr>
                <w:color w:val="auto"/>
                <w:kern w:val="0"/>
                <w:sz w:val="24"/>
              </w:rPr>
            </w:pPr>
            <w:r>
              <w:rPr>
                <w:rFonts w:hint="eastAsia"/>
                <w:color w:val="auto"/>
                <w:kern w:val="0"/>
                <w:sz w:val="24"/>
              </w:rPr>
              <w:t>根据2</w:t>
            </w:r>
            <w:r>
              <w:rPr>
                <w:color w:val="auto"/>
                <w:kern w:val="0"/>
                <w:sz w:val="24"/>
              </w:rPr>
              <w:t>022</w:t>
            </w:r>
            <w:r>
              <w:rPr>
                <w:rFonts w:hint="eastAsia"/>
                <w:color w:val="auto"/>
                <w:kern w:val="0"/>
                <w:sz w:val="24"/>
              </w:rPr>
              <w:t>年1月1</w:t>
            </w:r>
            <w:r>
              <w:rPr>
                <w:color w:val="auto"/>
                <w:kern w:val="0"/>
                <w:sz w:val="24"/>
              </w:rPr>
              <w:t>9</w:t>
            </w:r>
            <w:r>
              <w:rPr>
                <w:rFonts w:hint="eastAsia"/>
                <w:color w:val="auto"/>
                <w:kern w:val="0"/>
                <w:sz w:val="24"/>
              </w:rPr>
              <w:t>日“推动长江经济带发展领导小组办公室关于印发《长江经济带发展负面清单指南（试行，2022年版）》的通知”（长江办</w:t>
            </w:r>
            <w:r>
              <w:rPr>
                <w:rFonts w:hint="eastAsia" w:ascii="宋体" w:hAnsi="宋体"/>
                <w:color w:val="auto"/>
                <w:kern w:val="0"/>
                <w:sz w:val="24"/>
              </w:rPr>
              <w:t>﹝</w:t>
            </w:r>
            <w:r>
              <w:rPr>
                <w:color w:val="auto"/>
                <w:kern w:val="0"/>
                <w:sz w:val="24"/>
              </w:rPr>
              <w:t>2022</w:t>
            </w:r>
            <w:r>
              <w:rPr>
                <w:rFonts w:hint="eastAsia" w:ascii="宋体" w:hAnsi="宋体"/>
                <w:color w:val="auto"/>
                <w:kern w:val="0"/>
                <w:sz w:val="24"/>
              </w:rPr>
              <w:t>﹞</w:t>
            </w:r>
            <w:r>
              <w:rPr>
                <w:color w:val="auto"/>
                <w:kern w:val="0"/>
                <w:sz w:val="24"/>
              </w:rPr>
              <w:t>7</w:t>
            </w:r>
            <w:r>
              <w:rPr>
                <w:rFonts w:hint="eastAsia"/>
                <w:color w:val="auto"/>
                <w:kern w:val="0"/>
                <w:sz w:val="24"/>
              </w:rPr>
              <w:t>号），项目与《指南》的符合性分析如下：</w:t>
            </w:r>
          </w:p>
          <w:p>
            <w:pPr>
              <w:autoSpaceDE w:val="0"/>
              <w:autoSpaceDN w:val="0"/>
              <w:spacing w:line="360" w:lineRule="auto"/>
              <w:jc w:val="center"/>
              <w:rPr>
                <w:b/>
                <w:bCs/>
                <w:color w:val="auto"/>
                <w:kern w:val="0"/>
                <w:sz w:val="24"/>
              </w:rPr>
            </w:pPr>
            <w:r>
              <w:rPr>
                <w:rFonts w:hint="eastAsia"/>
                <w:b/>
                <w:bCs/>
                <w:color w:val="auto"/>
                <w:kern w:val="0"/>
                <w:sz w:val="24"/>
              </w:rPr>
              <w:t>表1</w:t>
            </w:r>
            <w:r>
              <w:rPr>
                <w:b/>
                <w:bCs/>
                <w:color w:val="auto"/>
                <w:kern w:val="0"/>
                <w:sz w:val="24"/>
              </w:rPr>
              <w:t xml:space="preserve">-4  </w:t>
            </w:r>
            <w:r>
              <w:rPr>
                <w:rFonts w:hint="eastAsia"/>
                <w:b/>
                <w:bCs/>
                <w:color w:val="auto"/>
                <w:kern w:val="0"/>
                <w:sz w:val="24"/>
              </w:rPr>
              <w:t>项目与《长江经济带发展负面清单指南（试行，2022年版）》符合性</w:t>
            </w:r>
          </w:p>
          <w:tbl>
            <w:tblPr>
              <w:tblStyle w:val="18"/>
              <w:tblW w:w="771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3"/>
              <w:gridCol w:w="2620"/>
              <w:gridCol w:w="97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123" w:type="dxa"/>
                  <w:noWrap w:val="0"/>
                  <w:vAlign w:val="center"/>
                </w:tcPr>
                <w:p>
                  <w:pPr>
                    <w:autoSpaceDE w:val="0"/>
                    <w:autoSpaceDN w:val="0"/>
                    <w:adjustRightInd w:val="0"/>
                    <w:snapToGrid w:val="0"/>
                    <w:jc w:val="both"/>
                    <w:rPr>
                      <w:b/>
                      <w:bCs/>
                      <w:color w:val="auto"/>
                      <w:kern w:val="0"/>
                      <w:szCs w:val="21"/>
                    </w:rPr>
                  </w:pPr>
                  <w:r>
                    <w:rPr>
                      <w:rFonts w:hint="eastAsia"/>
                      <w:b/>
                      <w:bCs/>
                      <w:color w:val="auto"/>
                      <w:kern w:val="0"/>
                      <w:szCs w:val="21"/>
                    </w:rPr>
                    <w:t>《指南》要求</w:t>
                  </w:r>
                </w:p>
              </w:tc>
              <w:tc>
                <w:tcPr>
                  <w:tcW w:w="2620" w:type="dxa"/>
                  <w:noWrap w:val="0"/>
                  <w:vAlign w:val="center"/>
                </w:tcPr>
                <w:p>
                  <w:pPr>
                    <w:autoSpaceDE w:val="0"/>
                    <w:autoSpaceDN w:val="0"/>
                    <w:adjustRightInd w:val="0"/>
                    <w:snapToGrid w:val="0"/>
                    <w:jc w:val="both"/>
                    <w:rPr>
                      <w:b/>
                      <w:bCs/>
                      <w:color w:val="auto"/>
                      <w:kern w:val="0"/>
                      <w:szCs w:val="21"/>
                    </w:rPr>
                  </w:pPr>
                  <w:r>
                    <w:rPr>
                      <w:rFonts w:hint="eastAsia"/>
                      <w:b/>
                      <w:bCs/>
                      <w:color w:val="auto"/>
                      <w:kern w:val="0"/>
                      <w:szCs w:val="21"/>
                    </w:rPr>
                    <w:t>项目情况</w:t>
                  </w:r>
                </w:p>
              </w:tc>
              <w:tc>
                <w:tcPr>
                  <w:tcW w:w="975" w:type="dxa"/>
                  <w:noWrap w:val="0"/>
                  <w:vAlign w:val="center"/>
                </w:tcPr>
                <w:p>
                  <w:pPr>
                    <w:autoSpaceDE w:val="0"/>
                    <w:autoSpaceDN w:val="0"/>
                    <w:adjustRightInd w:val="0"/>
                    <w:snapToGrid w:val="0"/>
                    <w:ind w:left="0" w:leftChars="0" w:right="0" w:rightChars="0" w:firstLine="0" w:firstLineChars="0"/>
                    <w:jc w:val="center"/>
                    <w:rPr>
                      <w:b/>
                      <w:bCs/>
                      <w:color w:val="auto"/>
                      <w:kern w:val="0"/>
                      <w:szCs w:val="21"/>
                    </w:rPr>
                  </w:pPr>
                  <w:r>
                    <w:rPr>
                      <w:rFonts w:hint="eastAsia"/>
                      <w:b/>
                      <w:bCs/>
                      <w:color w:val="auto"/>
                      <w:kern w:val="0"/>
                      <w:szCs w:val="21"/>
                    </w:rPr>
                    <w:t>相符性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123" w:type="dxa"/>
                  <w:noWrap w:val="0"/>
                  <w:vAlign w:val="center"/>
                </w:tcPr>
                <w:p>
                  <w:pPr>
                    <w:autoSpaceDE w:val="0"/>
                    <w:autoSpaceDN w:val="0"/>
                    <w:adjustRightInd w:val="0"/>
                    <w:snapToGrid w:val="0"/>
                    <w:jc w:val="both"/>
                    <w:rPr>
                      <w:color w:val="auto"/>
                      <w:kern w:val="0"/>
                      <w:szCs w:val="21"/>
                    </w:rPr>
                  </w:pPr>
                  <w:r>
                    <w:rPr>
                      <w:rFonts w:hint="eastAsia"/>
                      <w:color w:val="auto"/>
                      <w:kern w:val="0"/>
                      <w:szCs w:val="21"/>
                    </w:rPr>
                    <w:t>1.禁止建设不符合全国和省级港口布局规划以及港口总体规划的码头项目，禁止建设不符合《长江干线过江通道布局规划》的过长江通道项目。</w:t>
                  </w:r>
                </w:p>
              </w:tc>
              <w:tc>
                <w:tcPr>
                  <w:tcW w:w="2620" w:type="dxa"/>
                  <w:noWrap w:val="0"/>
                  <w:vAlign w:val="center"/>
                </w:tcPr>
                <w:p>
                  <w:pPr>
                    <w:autoSpaceDE w:val="0"/>
                    <w:autoSpaceDN w:val="0"/>
                    <w:adjustRightInd w:val="0"/>
                    <w:snapToGrid w:val="0"/>
                    <w:jc w:val="both"/>
                    <w:rPr>
                      <w:color w:val="auto"/>
                      <w:kern w:val="0"/>
                      <w:szCs w:val="21"/>
                    </w:rPr>
                  </w:pPr>
                  <w:r>
                    <w:rPr>
                      <w:rFonts w:hint="eastAsia"/>
                      <w:color w:val="auto"/>
                      <w:kern w:val="0"/>
                      <w:szCs w:val="21"/>
                    </w:rPr>
                    <w:t>本项目为太阳能光伏电站建设，不涉及港口、码头建设，无涉水、过江设施。</w:t>
                  </w:r>
                </w:p>
              </w:tc>
              <w:tc>
                <w:tcPr>
                  <w:tcW w:w="975" w:type="dxa"/>
                  <w:noWrap w:val="0"/>
                  <w:vAlign w:val="center"/>
                </w:tcPr>
                <w:p>
                  <w:pPr>
                    <w:autoSpaceDE w:val="0"/>
                    <w:autoSpaceDN w:val="0"/>
                    <w:adjustRightInd w:val="0"/>
                    <w:snapToGrid w:val="0"/>
                    <w:ind w:left="0" w:leftChars="0" w:right="0" w:rightChars="0" w:firstLine="0" w:firstLineChars="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123" w:type="dxa"/>
                  <w:noWrap w:val="0"/>
                  <w:vAlign w:val="center"/>
                </w:tcPr>
                <w:p>
                  <w:pPr>
                    <w:autoSpaceDE w:val="0"/>
                    <w:autoSpaceDN w:val="0"/>
                    <w:adjustRightInd w:val="0"/>
                    <w:snapToGrid w:val="0"/>
                    <w:jc w:val="both"/>
                    <w:rPr>
                      <w:color w:val="auto"/>
                      <w:kern w:val="0"/>
                      <w:szCs w:val="21"/>
                    </w:rPr>
                  </w:pPr>
                  <w:r>
                    <w:rPr>
                      <w:rFonts w:hint="eastAsia"/>
                      <w:color w:val="auto"/>
                      <w:kern w:val="0"/>
                      <w:szCs w:val="21"/>
                    </w:rPr>
                    <w:t>2.禁止在自然保护区核心区、缓冲区的岸线和河段范围内投资建设旅游和生产经营项目。禁止在风景名胜区核心景区的岸线和河段范围内投资建设与风景名胜资源保护无关的项目。</w:t>
                  </w:r>
                </w:p>
              </w:tc>
              <w:tc>
                <w:tcPr>
                  <w:tcW w:w="2620" w:type="dxa"/>
                  <w:noWrap w:val="0"/>
                  <w:vAlign w:val="center"/>
                </w:tcPr>
                <w:p>
                  <w:pPr>
                    <w:autoSpaceDE w:val="0"/>
                    <w:autoSpaceDN w:val="0"/>
                    <w:adjustRightInd w:val="0"/>
                    <w:snapToGrid w:val="0"/>
                    <w:jc w:val="both"/>
                    <w:rPr>
                      <w:color w:val="auto"/>
                      <w:kern w:val="0"/>
                      <w:szCs w:val="21"/>
                    </w:rPr>
                  </w:pPr>
                  <w:r>
                    <w:rPr>
                      <w:rFonts w:hint="eastAsia" w:ascii="Times New Roman" w:hAnsi="Times New Roman" w:eastAsia="宋体" w:cs="Times New Roman"/>
                      <w:color w:val="auto"/>
                      <w:kern w:val="0"/>
                      <w:szCs w:val="21"/>
                    </w:rPr>
                    <w:t>项目未处于河流岸线区域。本项目</w:t>
                  </w:r>
                  <w:r>
                    <w:rPr>
                      <w:rFonts w:hint="eastAsia" w:ascii="Times New Roman" w:hAnsi="Times New Roman" w:eastAsia="宋体" w:cs="Times New Roman"/>
                      <w:color w:val="auto"/>
                      <w:kern w:val="0"/>
                      <w:szCs w:val="21"/>
                      <w:lang w:val="en-US" w:eastAsia="zh-CN"/>
                    </w:rPr>
                    <w:t>不涉及</w:t>
                  </w:r>
                  <w:r>
                    <w:rPr>
                      <w:rFonts w:hint="default" w:ascii="Times New Roman" w:hAnsi="Times New Roman" w:eastAsia="宋体" w:cs="Times New Roman"/>
                      <w:color w:val="auto"/>
                      <w:kern w:val="0"/>
                      <w:szCs w:val="21"/>
                    </w:rPr>
                    <w:t>元谋土林州级保护区班果土林片区</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color w:val="auto"/>
                      <w:kern w:val="0"/>
                      <w:szCs w:val="21"/>
                    </w:rPr>
                    <w:t>元谋土林州级自然保护区及元谋风景名胜区物茂土林片区，但各类永久、临时设施均不进入自然保护区及风景名胜区内。</w:t>
                  </w:r>
                </w:p>
              </w:tc>
              <w:tc>
                <w:tcPr>
                  <w:tcW w:w="975" w:type="dxa"/>
                  <w:noWrap w:val="0"/>
                  <w:vAlign w:val="center"/>
                </w:tcPr>
                <w:p>
                  <w:pPr>
                    <w:autoSpaceDE w:val="0"/>
                    <w:autoSpaceDN w:val="0"/>
                    <w:adjustRightInd w:val="0"/>
                    <w:snapToGrid w:val="0"/>
                    <w:ind w:left="0" w:leftChars="0" w:right="0" w:rightChars="0" w:firstLine="0" w:firstLineChars="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123" w:type="dxa"/>
                  <w:noWrap w:val="0"/>
                  <w:vAlign w:val="center"/>
                </w:tcPr>
                <w:p>
                  <w:pPr>
                    <w:autoSpaceDE w:val="0"/>
                    <w:autoSpaceDN w:val="0"/>
                    <w:adjustRightInd w:val="0"/>
                    <w:snapToGrid w:val="0"/>
                    <w:jc w:val="both"/>
                    <w:rPr>
                      <w:color w:val="auto"/>
                      <w:kern w:val="0"/>
                      <w:szCs w:val="21"/>
                    </w:rPr>
                  </w:pPr>
                  <w:r>
                    <w:rPr>
                      <w:rFonts w:hint="eastAsia"/>
                      <w:color w:val="auto"/>
                      <w:kern w:val="0"/>
                      <w:szCs w:val="21"/>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620" w:type="dxa"/>
                  <w:noWrap w:val="0"/>
                  <w:vAlign w:val="center"/>
                </w:tcPr>
                <w:p>
                  <w:pPr>
                    <w:autoSpaceDE w:val="0"/>
                    <w:autoSpaceDN w:val="0"/>
                    <w:adjustRightInd w:val="0"/>
                    <w:snapToGrid w:val="0"/>
                    <w:jc w:val="both"/>
                    <w:rPr>
                      <w:color w:val="auto"/>
                      <w:kern w:val="0"/>
                      <w:szCs w:val="21"/>
                    </w:rPr>
                  </w:pPr>
                  <w:r>
                    <w:rPr>
                      <w:rFonts w:hint="eastAsia"/>
                      <w:color w:val="auto"/>
                      <w:kern w:val="0"/>
                      <w:szCs w:val="21"/>
                    </w:rPr>
                    <w:t>项目不涉及饮用水水源保护区。</w:t>
                  </w:r>
                </w:p>
              </w:tc>
              <w:tc>
                <w:tcPr>
                  <w:tcW w:w="975" w:type="dxa"/>
                  <w:noWrap w:val="0"/>
                  <w:vAlign w:val="center"/>
                </w:tcPr>
                <w:p>
                  <w:pPr>
                    <w:autoSpaceDE w:val="0"/>
                    <w:autoSpaceDN w:val="0"/>
                    <w:adjustRightInd w:val="0"/>
                    <w:snapToGrid w:val="0"/>
                    <w:ind w:left="0" w:leftChars="0" w:right="0" w:rightChars="0" w:firstLine="0" w:firstLineChars="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123" w:type="dxa"/>
                  <w:noWrap w:val="0"/>
                  <w:vAlign w:val="center"/>
                </w:tcPr>
                <w:p>
                  <w:pPr>
                    <w:autoSpaceDE w:val="0"/>
                    <w:autoSpaceDN w:val="0"/>
                    <w:adjustRightInd w:val="0"/>
                    <w:snapToGrid w:val="0"/>
                    <w:jc w:val="both"/>
                    <w:rPr>
                      <w:color w:val="auto"/>
                      <w:kern w:val="0"/>
                      <w:szCs w:val="21"/>
                    </w:rPr>
                  </w:pPr>
                  <w:r>
                    <w:rPr>
                      <w:rFonts w:hint="eastAsia"/>
                      <w:color w:val="auto"/>
                      <w:kern w:val="0"/>
                      <w:szCs w:val="21"/>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620" w:type="dxa"/>
                  <w:noWrap w:val="0"/>
                  <w:vAlign w:val="center"/>
                </w:tcPr>
                <w:p>
                  <w:pPr>
                    <w:autoSpaceDE w:val="0"/>
                    <w:autoSpaceDN w:val="0"/>
                    <w:adjustRightInd w:val="0"/>
                    <w:snapToGrid w:val="0"/>
                    <w:jc w:val="both"/>
                    <w:rPr>
                      <w:color w:val="auto"/>
                      <w:kern w:val="0"/>
                      <w:szCs w:val="21"/>
                    </w:rPr>
                  </w:pPr>
                  <w:r>
                    <w:rPr>
                      <w:rFonts w:hint="eastAsia"/>
                      <w:color w:val="auto"/>
                      <w:kern w:val="0"/>
                      <w:szCs w:val="21"/>
                    </w:rPr>
                    <w:t>项目不涉及水产种质资源保护区、国家湿地公园。</w:t>
                  </w:r>
                </w:p>
              </w:tc>
              <w:tc>
                <w:tcPr>
                  <w:tcW w:w="975" w:type="dxa"/>
                  <w:noWrap w:val="0"/>
                  <w:vAlign w:val="center"/>
                </w:tcPr>
                <w:p>
                  <w:pPr>
                    <w:autoSpaceDE w:val="0"/>
                    <w:autoSpaceDN w:val="0"/>
                    <w:adjustRightInd w:val="0"/>
                    <w:snapToGrid w:val="0"/>
                    <w:ind w:left="0" w:leftChars="0" w:right="0" w:rightChars="0" w:firstLine="0" w:firstLineChars="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123" w:type="dxa"/>
                  <w:noWrap w:val="0"/>
                  <w:vAlign w:val="center"/>
                </w:tcPr>
                <w:p>
                  <w:pPr>
                    <w:autoSpaceDE w:val="0"/>
                    <w:autoSpaceDN w:val="0"/>
                    <w:adjustRightInd w:val="0"/>
                    <w:snapToGrid w:val="0"/>
                    <w:jc w:val="both"/>
                    <w:rPr>
                      <w:color w:val="auto"/>
                      <w:kern w:val="0"/>
                      <w:szCs w:val="21"/>
                    </w:rPr>
                  </w:pPr>
                  <w:r>
                    <w:rPr>
                      <w:rFonts w:hint="eastAsia"/>
                      <w:color w:val="auto"/>
                      <w:kern w:val="0"/>
                      <w:szCs w:val="21"/>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620" w:type="dxa"/>
                  <w:noWrap w:val="0"/>
                  <w:vAlign w:val="center"/>
                </w:tcPr>
                <w:p>
                  <w:pPr>
                    <w:autoSpaceDE w:val="0"/>
                    <w:autoSpaceDN w:val="0"/>
                    <w:adjustRightInd w:val="0"/>
                    <w:snapToGrid w:val="0"/>
                    <w:jc w:val="both"/>
                    <w:rPr>
                      <w:rFonts w:hint="default" w:eastAsia="宋体"/>
                      <w:color w:val="auto"/>
                      <w:kern w:val="0"/>
                      <w:szCs w:val="21"/>
                      <w:lang w:val="en-US" w:eastAsia="zh-CN"/>
                    </w:rPr>
                  </w:pPr>
                  <w:r>
                    <w:rPr>
                      <w:rFonts w:hint="eastAsia"/>
                      <w:color w:val="auto"/>
                      <w:kern w:val="0"/>
                      <w:szCs w:val="21"/>
                    </w:rPr>
                    <w:t>项目周边主要地表水体为有龙川江、</w:t>
                  </w:r>
                  <w:r>
                    <w:rPr>
                      <w:rFonts w:hint="eastAsia"/>
                      <w:color w:val="auto"/>
                      <w:kern w:val="0"/>
                      <w:szCs w:val="21"/>
                      <w:lang w:val="en-US" w:eastAsia="zh-CN"/>
                    </w:rPr>
                    <w:t>大</w:t>
                  </w:r>
                  <w:r>
                    <w:rPr>
                      <w:rFonts w:hint="eastAsia"/>
                      <w:color w:val="auto"/>
                      <w:kern w:val="0"/>
                      <w:szCs w:val="21"/>
                    </w:rPr>
                    <w:t>黑山箐、</w:t>
                  </w:r>
                  <w:r>
                    <w:rPr>
                      <w:rFonts w:hint="eastAsia"/>
                      <w:color w:val="auto"/>
                    </w:rPr>
                    <w:t>丙间水库饮用水水源保护区、麻柳水库饮用水水源保护区</w:t>
                  </w:r>
                  <w:r>
                    <w:rPr>
                      <w:rFonts w:hint="eastAsia"/>
                      <w:color w:val="auto"/>
                      <w:kern w:val="0"/>
                      <w:szCs w:val="21"/>
                    </w:rPr>
                    <w:t>，本项目与上述河流最近处直线距离在</w:t>
                  </w:r>
                  <w:r>
                    <w:rPr>
                      <w:rFonts w:hint="eastAsia"/>
                      <w:color w:val="auto"/>
                      <w:kern w:val="0"/>
                      <w:szCs w:val="21"/>
                      <w:lang w:val="en-US" w:eastAsia="zh-CN"/>
                    </w:rPr>
                    <w:t>100</w:t>
                  </w:r>
                  <w:r>
                    <w:rPr>
                      <w:rFonts w:hint="eastAsia"/>
                      <w:color w:val="auto"/>
                      <w:kern w:val="0"/>
                      <w:szCs w:val="21"/>
                    </w:rPr>
                    <w:t>m以上，不占用河湖岸线。经元谋县水务局核查，项目建设区不位于重要江河、湖泊水功能一级区不会对饮用水水源区水质产生影响</w:t>
                  </w:r>
                  <w:r>
                    <w:rPr>
                      <w:rFonts w:hint="eastAsia"/>
                      <w:color w:val="auto"/>
                      <w:kern w:val="0"/>
                      <w:szCs w:val="21"/>
                      <w:lang w:eastAsia="zh-CN"/>
                    </w:rPr>
                    <w:t>；</w:t>
                  </w:r>
                  <w:r>
                    <w:rPr>
                      <w:rFonts w:hint="eastAsia"/>
                      <w:color w:val="auto"/>
                      <w:kern w:val="0"/>
                      <w:szCs w:val="21"/>
                    </w:rPr>
                    <w:t>项目建设区不属于“禁止开发区域”和水资源严重短缺地区，不位于崩塌滑坡危险区、泥石流易发区</w:t>
                  </w:r>
                  <w:r>
                    <w:rPr>
                      <w:rFonts w:hint="eastAsia"/>
                      <w:color w:val="auto"/>
                      <w:kern w:val="0"/>
                      <w:szCs w:val="21"/>
                      <w:lang w:eastAsia="zh-CN"/>
                    </w:rPr>
                    <w:t>；</w:t>
                  </w:r>
                  <w:r>
                    <w:rPr>
                      <w:rFonts w:hint="eastAsia"/>
                      <w:color w:val="auto"/>
                      <w:kern w:val="0"/>
                      <w:szCs w:val="21"/>
                    </w:rPr>
                    <w:t>项目区未涉及饮用水水源保护区、水功能一级区的保护区和保留区、自然保护区、世界文化和自然遗产地、风景名胜区、地质公园、森林公园和重要湿地</w:t>
                  </w:r>
                  <w:r>
                    <w:rPr>
                      <w:rFonts w:hint="eastAsia"/>
                      <w:color w:val="auto"/>
                      <w:kern w:val="0"/>
                      <w:szCs w:val="21"/>
                      <w:lang w:eastAsia="zh-CN"/>
                    </w:rPr>
                    <w:t>。</w:t>
                  </w:r>
                  <w:r>
                    <w:rPr>
                      <w:rFonts w:hint="eastAsia"/>
                      <w:color w:val="auto"/>
                      <w:kern w:val="0"/>
                      <w:szCs w:val="21"/>
                    </w:rPr>
                    <w:t>原则同意项目按申报图纸开展建设</w:t>
                  </w:r>
                  <w:r>
                    <w:rPr>
                      <w:rFonts w:hint="eastAsia"/>
                      <w:color w:val="auto"/>
                      <w:kern w:val="0"/>
                      <w:szCs w:val="21"/>
                      <w:lang w:eastAsia="zh-CN"/>
                    </w:rPr>
                    <w:t>（</w:t>
                  </w:r>
                  <w:r>
                    <w:rPr>
                      <w:rFonts w:hint="eastAsia"/>
                      <w:color w:val="auto"/>
                      <w:kern w:val="0"/>
                      <w:szCs w:val="21"/>
                      <w:lang w:val="en-US" w:eastAsia="zh-CN"/>
                    </w:rPr>
                    <w:t>见附件7）。</w:t>
                  </w:r>
                </w:p>
              </w:tc>
              <w:tc>
                <w:tcPr>
                  <w:tcW w:w="975" w:type="dxa"/>
                  <w:noWrap w:val="0"/>
                  <w:vAlign w:val="center"/>
                </w:tcPr>
                <w:p>
                  <w:pPr>
                    <w:autoSpaceDE w:val="0"/>
                    <w:autoSpaceDN w:val="0"/>
                    <w:adjustRightInd w:val="0"/>
                    <w:snapToGrid w:val="0"/>
                    <w:ind w:left="0" w:leftChars="0" w:right="0" w:rightChars="0" w:firstLine="0" w:firstLineChars="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123" w:type="dxa"/>
                  <w:noWrap w:val="0"/>
                  <w:vAlign w:val="center"/>
                </w:tcPr>
                <w:p>
                  <w:pPr>
                    <w:autoSpaceDE w:val="0"/>
                    <w:autoSpaceDN w:val="0"/>
                    <w:adjustRightInd w:val="0"/>
                    <w:snapToGrid w:val="0"/>
                    <w:jc w:val="both"/>
                    <w:rPr>
                      <w:color w:val="auto"/>
                      <w:kern w:val="0"/>
                      <w:szCs w:val="21"/>
                    </w:rPr>
                  </w:pPr>
                  <w:r>
                    <w:rPr>
                      <w:rFonts w:hint="eastAsia"/>
                      <w:color w:val="auto"/>
                      <w:kern w:val="0"/>
                      <w:szCs w:val="21"/>
                    </w:rPr>
                    <w:t>6.禁止未经许可在长江干支流及湖泊新设、改设或扩大排污口。</w:t>
                  </w:r>
                </w:p>
              </w:tc>
              <w:tc>
                <w:tcPr>
                  <w:tcW w:w="2620" w:type="dxa"/>
                  <w:noWrap w:val="0"/>
                  <w:vAlign w:val="center"/>
                </w:tcPr>
                <w:p>
                  <w:pPr>
                    <w:autoSpaceDE w:val="0"/>
                    <w:autoSpaceDN w:val="0"/>
                    <w:adjustRightInd w:val="0"/>
                    <w:snapToGrid w:val="0"/>
                    <w:jc w:val="both"/>
                    <w:rPr>
                      <w:color w:val="auto"/>
                      <w:kern w:val="0"/>
                      <w:szCs w:val="21"/>
                    </w:rPr>
                  </w:pPr>
                  <w:r>
                    <w:rPr>
                      <w:rFonts w:hint="eastAsia"/>
                      <w:color w:val="auto"/>
                      <w:kern w:val="0"/>
                      <w:szCs w:val="21"/>
                    </w:rPr>
                    <w:t>项目废水全部回用，不设排污口。</w:t>
                  </w:r>
                </w:p>
              </w:tc>
              <w:tc>
                <w:tcPr>
                  <w:tcW w:w="975" w:type="dxa"/>
                  <w:noWrap w:val="0"/>
                  <w:vAlign w:val="center"/>
                </w:tcPr>
                <w:p>
                  <w:pPr>
                    <w:autoSpaceDE w:val="0"/>
                    <w:autoSpaceDN w:val="0"/>
                    <w:adjustRightInd w:val="0"/>
                    <w:snapToGrid w:val="0"/>
                    <w:ind w:left="0" w:leftChars="0" w:right="0" w:rightChars="0" w:firstLine="0" w:firstLineChars="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123" w:type="dxa"/>
                  <w:noWrap w:val="0"/>
                  <w:vAlign w:val="center"/>
                </w:tcPr>
                <w:p>
                  <w:pPr>
                    <w:autoSpaceDE w:val="0"/>
                    <w:autoSpaceDN w:val="0"/>
                    <w:adjustRightInd w:val="0"/>
                    <w:snapToGrid w:val="0"/>
                    <w:jc w:val="both"/>
                    <w:rPr>
                      <w:color w:val="auto"/>
                      <w:kern w:val="0"/>
                      <w:szCs w:val="21"/>
                    </w:rPr>
                  </w:pPr>
                  <w:r>
                    <w:rPr>
                      <w:rFonts w:hint="eastAsia"/>
                      <w:color w:val="auto"/>
                      <w:kern w:val="0"/>
                      <w:szCs w:val="21"/>
                    </w:rPr>
                    <w:t>7.禁止在“一江一口两湖七河”和332个水生生物保护区开展生产性捕捞。</w:t>
                  </w:r>
                </w:p>
              </w:tc>
              <w:tc>
                <w:tcPr>
                  <w:tcW w:w="2620" w:type="dxa"/>
                  <w:noWrap w:val="0"/>
                  <w:vAlign w:val="center"/>
                </w:tcPr>
                <w:p>
                  <w:pPr>
                    <w:autoSpaceDE w:val="0"/>
                    <w:autoSpaceDN w:val="0"/>
                    <w:adjustRightInd w:val="0"/>
                    <w:snapToGrid w:val="0"/>
                    <w:jc w:val="both"/>
                    <w:rPr>
                      <w:color w:val="auto"/>
                      <w:kern w:val="0"/>
                      <w:szCs w:val="21"/>
                    </w:rPr>
                  </w:pPr>
                  <w:r>
                    <w:rPr>
                      <w:rFonts w:hint="eastAsia"/>
                      <w:color w:val="auto"/>
                      <w:kern w:val="0"/>
                      <w:szCs w:val="21"/>
                    </w:rPr>
                    <w:t>项目不涉及生产性捕捞活动。建设运行过程中应加强人员管理，严禁非法捕捞行为。</w:t>
                  </w:r>
                </w:p>
              </w:tc>
              <w:tc>
                <w:tcPr>
                  <w:tcW w:w="975" w:type="dxa"/>
                  <w:noWrap w:val="0"/>
                  <w:vAlign w:val="center"/>
                </w:tcPr>
                <w:p>
                  <w:pPr>
                    <w:autoSpaceDE w:val="0"/>
                    <w:autoSpaceDN w:val="0"/>
                    <w:adjustRightInd w:val="0"/>
                    <w:snapToGrid w:val="0"/>
                    <w:ind w:left="0" w:leftChars="0" w:right="0" w:rightChars="0" w:firstLine="0" w:firstLineChars="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123" w:type="dxa"/>
                  <w:noWrap w:val="0"/>
                  <w:vAlign w:val="center"/>
                </w:tcPr>
                <w:p>
                  <w:pPr>
                    <w:autoSpaceDE w:val="0"/>
                    <w:autoSpaceDN w:val="0"/>
                    <w:adjustRightInd w:val="0"/>
                    <w:snapToGrid w:val="0"/>
                    <w:jc w:val="both"/>
                    <w:rPr>
                      <w:color w:val="auto"/>
                      <w:kern w:val="0"/>
                      <w:szCs w:val="21"/>
                    </w:rPr>
                  </w:pPr>
                  <w:r>
                    <w:rPr>
                      <w:rFonts w:hint="eastAsia"/>
                      <w:color w:val="auto"/>
                      <w:kern w:val="0"/>
                      <w:szCs w:val="21"/>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620" w:type="dxa"/>
                  <w:noWrap w:val="0"/>
                  <w:vAlign w:val="center"/>
                </w:tcPr>
                <w:p>
                  <w:pPr>
                    <w:autoSpaceDE w:val="0"/>
                    <w:autoSpaceDN w:val="0"/>
                    <w:adjustRightInd w:val="0"/>
                    <w:snapToGrid w:val="0"/>
                    <w:jc w:val="both"/>
                    <w:rPr>
                      <w:color w:val="auto"/>
                      <w:kern w:val="0"/>
                      <w:szCs w:val="21"/>
                    </w:rPr>
                  </w:pPr>
                  <w:r>
                    <w:rPr>
                      <w:rFonts w:hint="eastAsia"/>
                      <w:color w:val="auto"/>
                      <w:kern w:val="0"/>
                      <w:szCs w:val="21"/>
                    </w:rPr>
                    <w:t>本项目</w:t>
                  </w:r>
                  <w:r>
                    <w:rPr>
                      <w:color w:val="auto"/>
                      <w:kern w:val="0"/>
                      <w:szCs w:val="21"/>
                    </w:rPr>
                    <w:t>为光伏电站建设，不</w:t>
                  </w:r>
                  <w:r>
                    <w:rPr>
                      <w:rFonts w:hint="eastAsia"/>
                      <w:color w:val="auto"/>
                      <w:kern w:val="0"/>
                      <w:szCs w:val="21"/>
                    </w:rPr>
                    <w:t>属</w:t>
                  </w:r>
                  <w:r>
                    <w:rPr>
                      <w:color w:val="auto"/>
                      <w:kern w:val="0"/>
                      <w:szCs w:val="21"/>
                    </w:rPr>
                    <w:t>化工</w:t>
                  </w:r>
                  <w:r>
                    <w:rPr>
                      <w:rFonts w:hint="eastAsia"/>
                      <w:color w:val="auto"/>
                      <w:kern w:val="0"/>
                      <w:szCs w:val="21"/>
                    </w:rPr>
                    <w:t>类项目，不涉及</w:t>
                  </w:r>
                  <w:r>
                    <w:rPr>
                      <w:color w:val="auto"/>
                      <w:kern w:val="0"/>
                      <w:szCs w:val="21"/>
                    </w:rPr>
                    <w:t>尾矿库</w:t>
                  </w:r>
                  <w:r>
                    <w:rPr>
                      <w:rFonts w:hint="eastAsia"/>
                      <w:color w:val="auto"/>
                      <w:kern w:val="0"/>
                      <w:szCs w:val="21"/>
                    </w:rPr>
                    <w:t>、冶炼渣库、磷石膏库等建设</w:t>
                  </w:r>
                  <w:r>
                    <w:rPr>
                      <w:color w:val="auto"/>
                      <w:kern w:val="0"/>
                      <w:szCs w:val="21"/>
                    </w:rPr>
                    <w:t>。</w:t>
                  </w:r>
                </w:p>
              </w:tc>
              <w:tc>
                <w:tcPr>
                  <w:tcW w:w="975" w:type="dxa"/>
                  <w:noWrap w:val="0"/>
                  <w:vAlign w:val="center"/>
                </w:tcPr>
                <w:p>
                  <w:pPr>
                    <w:autoSpaceDE w:val="0"/>
                    <w:autoSpaceDN w:val="0"/>
                    <w:adjustRightInd w:val="0"/>
                    <w:snapToGrid w:val="0"/>
                    <w:ind w:left="0" w:leftChars="0" w:right="0" w:rightChars="0" w:firstLine="0" w:firstLineChars="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123" w:type="dxa"/>
                  <w:noWrap w:val="0"/>
                  <w:vAlign w:val="center"/>
                </w:tcPr>
                <w:p>
                  <w:pPr>
                    <w:autoSpaceDE w:val="0"/>
                    <w:autoSpaceDN w:val="0"/>
                    <w:adjustRightInd w:val="0"/>
                    <w:snapToGrid w:val="0"/>
                    <w:jc w:val="both"/>
                    <w:rPr>
                      <w:color w:val="auto"/>
                      <w:kern w:val="0"/>
                      <w:szCs w:val="21"/>
                    </w:rPr>
                  </w:pPr>
                  <w:r>
                    <w:rPr>
                      <w:rFonts w:hint="eastAsia"/>
                      <w:color w:val="auto"/>
                      <w:kern w:val="0"/>
                      <w:szCs w:val="21"/>
                    </w:rPr>
                    <w:t>9.禁止在合规园区外新建、扩建钢铁、石化、化工、焦化、建材、有色、制浆造纸等高污染项目。</w:t>
                  </w:r>
                </w:p>
              </w:tc>
              <w:tc>
                <w:tcPr>
                  <w:tcW w:w="2620" w:type="dxa"/>
                  <w:noWrap w:val="0"/>
                  <w:vAlign w:val="center"/>
                </w:tcPr>
                <w:p>
                  <w:pPr>
                    <w:autoSpaceDE w:val="0"/>
                    <w:autoSpaceDN w:val="0"/>
                    <w:adjustRightInd w:val="0"/>
                    <w:snapToGrid w:val="0"/>
                    <w:jc w:val="both"/>
                    <w:rPr>
                      <w:color w:val="auto"/>
                      <w:kern w:val="0"/>
                      <w:szCs w:val="21"/>
                    </w:rPr>
                  </w:pPr>
                  <w:r>
                    <w:rPr>
                      <w:rFonts w:hint="eastAsia"/>
                      <w:color w:val="auto"/>
                      <w:kern w:val="0"/>
                      <w:szCs w:val="21"/>
                    </w:rPr>
                    <w:t>本项目</w:t>
                  </w:r>
                  <w:r>
                    <w:rPr>
                      <w:color w:val="auto"/>
                      <w:kern w:val="0"/>
                      <w:szCs w:val="21"/>
                    </w:rPr>
                    <w:t>为光伏电站建设，不</w:t>
                  </w:r>
                  <w:r>
                    <w:rPr>
                      <w:rFonts w:hint="eastAsia"/>
                      <w:color w:val="auto"/>
                      <w:kern w:val="0"/>
                      <w:szCs w:val="21"/>
                    </w:rPr>
                    <w:t>属高污染类项目。</w:t>
                  </w:r>
                </w:p>
              </w:tc>
              <w:tc>
                <w:tcPr>
                  <w:tcW w:w="975" w:type="dxa"/>
                  <w:noWrap w:val="0"/>
                  <w:vAlign w:val="center"/>
                </w:tcPr>
                <w:p>
                  <w:pPr>
                    <w:autoSpaceDE w:val="0"/>
                    <w:autoSpaceDN w:val="0"/>
                    <w:adjustRightInd w:val="0"/>
                    <w:snapToGrid w:val="0"/>
                    <w:ind w:left="0" w:leftChars="0" w:right="0" w:rightChars="0" w:firstLine="0" w:firstLineChars="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123" w:type="dxa"/>
                  <w:noWrap w:val="0"/>
                  <w:vAlign w:val="center"/>
                </w:tcPr>
                <w:p>
                  <w:pPr>
                    <w:autoSpaceDE w:val="0"/>
                    <w:autoSpaceDN w:val="0"/>
                    <w:adjustRightInd w:val="0"/>
                    <w:snapToGrid w:val="0"/>
                    <w:jc w:val="both"/>
                    <w:rPr>
                      <w:color w:val="auto"/>
                      <w:kern w:val="0"/>
                      <w:szCs w:val="21"/>
                    </w:rPr>
                  </w:pPr>
                  <w:r>
                    <w:rPr>
                      <w:rFonts w:hint="eastAsia"/>
                      <w:color w:val="auto"/>
                      <w:kern w:val="0"/>
                      <w:szCs w:val="21"/>
                    </w:rPr>
                    <w:t>10.禁止新建、扩建不符合国家石化、现代煤化工等产业布局规划的项目。</w:t>
                  </w:r>
                </w:p>
              </w:tc>
              <w:tc>
                <w:tcPr>
                  <w:tcW w:w="2620" w:type="dxa"/>
                  <w:noWrap w:val="0"/>
                  <w:vAlign w:val="center"/>
                </w:tcPr>
                <w:p>
                  <w:pPr>
                    <w:autoSpaceDE w:val="0"/>
                    <w:autoSpaceDN w:val="0"/>
                    <w:adjustRightInd w:val="0"/>
                    <w:snapToGrid w:val="0"/>
                    <w:jc w:val="both"/>
                    <w:rPr>
                      <w:color w:val="auto"/>
                      <w:kern w:val="0"/>
                      <w:szCs w:val="21"/>
                    </w:rPr>
                  </w:pPr>
                  <w:r>
                    <w:rPr>
                      <w:rFonts w:hint="eastAsia"/>
                      <w:color w:val="auto"/>
                      <w:kern w:val="0"/>
                      <w:szCs w:val="21"/>
                    </w:rPr>
                    <w:t>项目为绿色能源开发利用项目</w:t>
                  </w:r>
                </w:p>
              </w:tc>
              <w:tc>
                <w:tcPr>
                  <w:tcW w:w="975" w:type="dxa"/>
                  <w:noWrap w:val="0"/>
                  <w:vAlign w:val="center"/>
                </w:tcPr>
                <w:p>
                  <w:pPr>
                    <w:autoSpaceDE w:val="0"/>
                    <w:autoSpaceDN w:val="0"/>
                    <w:adjustRightInd w:val="0"/>
                    <w:snapToGrid w:val="0"/>
                    <w:ind w:left="0" w:leftChars="0" w:right="0" w:rightChars="0" w:firstLine="0" w:firstLineChars="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123" w:type="dxa"/>
                  <w:noWrap w:val="0"/>
                  <w:vAlign w:val="center"/>
                </w:tcPr>
                <w:p>
                  <w:pPr>
                    <w:autoSpaceDE w:val="0"/>
                    <w:autoSpaceDN w:val="0"/>
                    <w:adjustRightInd w:val="0"/>
                    <w:snapToGrid w:val="0"/>
                    <w:jc w:val="both"/>
                    <w:rPr>
                      <w:color w:val="auto"/>
                      <w:kern w:val="0"/>
                      <w:szCs w:val="21"/>
                    </w:rPr>
                  </w:pPr>
                  <w:r>
                    <w:rPr>
                      <w:rFonts w:hint="eastAsia"/>
                      <w:color w:val="auto"/>
                      <w:kern w:val="0"/>
                      <w:szCs w:val="21"/>
                    </w:rPr>
                    <w:t>11.禁止新建、扩建法律法规和相关政策明令禁止的落后产能项目。禁止新建、扩建不符合国家产能置换要求的严重过剩产能行业的项目。禁止新建、扩建不符合要求的高耗能高排放项目。</w:t>
                  </w:r>
                </w:p>
              </w:tc>
              <w:tc>
                <w:tcPr>
                  <w:tcW w:w="2620" w:type="dxa"/>
                  <w:noWrap w:val="0"/>
                  <w:vAlign w:val="center"/>
                </w:tcPr>
                <w:p>
                  <w:pPr>
                    <w:autoSpaceDE w:val="0"/>
                    <w:autoSpaceDN w:val="0"/>
                    <w:adjustRightInd w:val="0"/>
                    <w:snapToGrid w:val="0"/>
                    <w:jc w:val="both"/>
                    <w:rPr>
                      <w:color w:val="auto"/>
                      <w:kern w:val="0"/>
                      <w:szCs w:val="21"/>
                    </w:rPr>
                  </w:pPr>
                  <w:r>
                    <w:rPr>
                      <w:rFonts w:hint="eastAsia"/>
                      <w:color w:val="auto"/>
                      <w:kern w:val="0"/>
                      <w:szCs w:val="21"/>
                    </w:rPr>
                    <w:t>本项目属《产业结构调整指导目录》（</w:t>
                  </w:r>
                  <w:r>
                    <w:rPr>
                      <w:rFonts w:hint="eastAsia"/>
                      <w:color w:val="auto"/>
                      <w:kern w:val="0"/>
                      <w:szCs w:val="21"/>
                      <w:lang w:val="en-US" w:eastAsia="zh-CN"/>
                    </w:rPr>
                    <w:t>2024</w:t>
                  </w:r>
                  <w:r>
                    <w:rPr>
                      <w:rFonts w:hint="eastAsia"/>
                      <w:color w:val="auto"/>
                      <w:kern w:val="0"/>
                      <w:szCs w:val="21"/>
                    </w:rPr>
                    <w:t>年本）鼓励类，不属于落后产能、过剩产能。项目为绿色能源开发利用项目，非高耗能高排放项目。</w:t>
                  </w:r>
                </w:p>
              </w:tc>
              <w:tc>
                <w:tcPr>
                  <w:tcW w:w="975" w:type="dxa"/>
                  <w:noWrap w:val="0"/>
                  <w:vAlign w:val="center"/>
                </w:tcPr>
                <w:p>
                  <w:pPr>
                    <w:autoSpaceDE w:val="0"/>
                    <w:autoSpaceDN w:val="0"/>
                    <w:adjustRightInd w:val="0"/>
                    <w:snapToGrid w:val="0"/>
                    <w:ind w:left="0" w:leftChars="0" w:right="0" w:rightChars="0" w:firstLine="0" w:firstLineChars="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123" w:type="dxa"/>
                  <w:noWrap w:val="0"/>
                  <w:vAlign w:val="center"/>
                </w:tcPr>
                <w:p>
                  <w:pPr>
                    <w:autoSpaceDE w:val="0"/>
                    <w:autoSpaceDN w:val="0"/>
                    <w:adjustRightInd w:val="0"/>
                    <w:snapToGrid w:val="0"/>
                    <w:jc w:val="both"/>
                    <w:rPr>
                      <w:color w:val="auto"/>
                      <w:kern w:val="0"/>
                      <w:szCs w:val="21"/>
                    </w:rPr>
                  </w:pPr>
                  <w:r>
                    <w:rPr>
                      <w:rFonts w:hint="eastAsia"/>
                      <w:color w:val="auto"/>
                      <w:kern w:val="0"/>
                      <w:szCs w:val="21"/>
                    </w:rPr>
                    <w:t>12. 法律法规及相关政策文件有更加严格规定的从其规定。</w:t>
                  </w:r>
                </w:p>
              </w:tc>
              <w:tc>
                <w:tcPr>
                  <w:tcW w:w="2620" w:type="dxa"/>
                  <w:noWrap w:val="0"/>
                  <w:vAlign w:val="center"/>
                </w:tcPr>
                <w:p>
                  <w:pPr>
                    <w:autoSpaceDE w:val="0"/>
                    <w:autoSpaceDN w:val="0"/>
                    <w:adjustRightInd w:val="0"/>
                    <w:snapToGrid w:val="0"/>
                    <w:jc w:val="both"/>
                    <w:rPr>
                      <w:color w:val="auto"/>
                      <w:kern w:val="0"/>
                      <w:szCs w:val="21"/>
                    </w:rPr>
                  </w:pPr>
                  <w:r>
                    <w:rPr>
                      <w:rFonts w:hint="eastAsia"/>
                      <w:color w:val="auto"/>
                      <w:kern w:val="0"/>
                      <w:szCs w:val="21"/>
                    </w:rPr>
                    <w:t>项目建设符合相关法律法规及政策文件要求。</w:t>
                  </w:r>
                </w:p>
              </w:tc>
              <w:tc>
                <w:tcPr>
                  <w:tcW w:w="975" w:type="dxa"/>
                  <w:noWrap w:val="0"/>
                  <w:vAlign w:val="center"/>
                </w:tcPr>
                <w:p>
                  <w:pPr>
                    <w:autoSpaceDE w:val="0"/>
                    <w:autoSpaceDN w:val="0"/>
                    <w:adjustRightInd w:val="0"/>
                    <w:snapToGrid w:val="0"/>
                    <w:ind w:left="0" w:leftChars="0" w:right="0" w:rightChars="0" w:firstLine="0" w:firstLineChars="0"/>
                    <w:jc w:val="center"/>
                    <w:rPr>
                      <w:color w:val="auto"/>
                      <w:kern w:val="0"/>
                      <w:szCs w:val="21"/>
                    </w:rPr>
                  </w:pPr>
                  <w:r>
                    <w:rPr>
                      <w:rFonts w:hint="eastAsia"/>
                      <w:color w:val="auto"/>
                      <w:kern w:val="0"/>
                      <w:szCs w:val="21"/>
                    </w:rPr>
                    <w:t>符合</w:t>
                  </w:r>
                </w:p>
              </w:tc>
            </w:tr>
          </w:tbl>
          <w:p>
            <w:pPr>
              <w:ind w:firstLine="480" w:firstLineChars="200"/>
              <w:rPr>
                <w:rFonts w:hint="eastAsia"/>
                <w:color w:val="auto"/>
              </w:rPr>
            </w:pPr>
            <w:r>
              <w:rPr>
                <w:rFonts w:hint="eastAsia"/>
                <w:color w:val="auto"/>
                <w:kern w:val="0"/>
                <w:sz w:val="24"/>
              </w:rPr>
              <w:t>综上所述，本项目符合《长江经济带发展负面清单指南（试行，2022年版）》要求。</w:t>
            </w:r>
          </w:p>
          <w:p>
            <w:pPr>
              <w:autoSpaceDE w:val="0"/>
              <w:autoSpaceDN w:val="0"/>
              <w:spacing w:line="360" w:lineRule="auto"/>
              <w:rPr>
                <w:rFonts w:hint="eastAsia"/>
                <w:b/>
                <w:bCs/>
                <w:color w:val="auto"/>
                <w:kern w:val="0"/>
                <w:sz w:val="24"/>
              </w:rPr>
            </w:pPr>
            <w:r>
              <w:rPr>
                <w:rFonts w:hint="eastAsia"/>
                <w:b/>
                <w:bCs/>
                <w:color w:val="auto"/>
                <w:kern w:val="0"/>
                <w:sz w:val="24"/>
              </w:rPr>
              <w:t>4、与《云南省主体功能区规划》的协调性分析</w:t>
            </w:r>
          </w:p>
          <w:p>
            <w:pPr>
              <w:autoSpaceDE w:val="0"/>
              <w:autoSpaceDN w:val="0"/>
              <w:adjustRightInd w:val="0"/>
              <w:snapToGrid w:val="0"/>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根据《云南省主体功能区规划》，云南省国土空间划分为重点开发区、限制开发区和禁止开发区3类区域。本项目位于楚雄州元谋县，属于国家层面重点开发区域。该区域的功能定位为：我国面向西南开放重要桥头堡建设的核心区，连接东南亚、南亚国家的陆路交通枢纽，面向东南亚、南亚对外开放的重要门户；全国重要的烟草、旅游、文化、能源和商贸物流基地，以化工、有色冶炼加工、生物为重点的区域性资源深加工基地，承接产业转移基地和外向型特色优势产业基地；我国城市化发展格局中特色鲜明的高原生态宜居城市群；全省跨越发展的引擎，我国西南地区重要的经济增长极。</w:t>
            </w:r>
          </w:p>
          <w:p>
            <w:pPr>
              <w:autoSpaceDE w:val="0"/>
              <w:autoSpaceDN w:val="0"/>
              <w:adjustRightInd w:val="0"/>
              <w:snapToGrid w:val="0"/>
              <w:spacing w:line="360" w:lineRule="auto"/>
              <w:ind w:firstLine="480" w:firstLineChars="200"/>
              <w:rPr>
                <w:rFonts w:hint="eastAsia"/>
                <w:color w:val="auto"/>
                <w:kern w:val="0"/>
                <w:sz w:val="24"/>
              </w:rPr>
            </w:pPr>
            <w:r>
              <w:rPr>
                <w:rFonts w:hint="eastAsia"/>
                <w:color w:val="auto"/>
                <w:kern w:val="0"/>
                <w:sz w:val="24"/>
              </w:rPr>
              <w:t>根据《云南省主体功能区规划》，元马镇属重点开发区中的“其他重点开发城镇”。其他重点开发城镇功能定位为：中心城市辐射转移的重要承接区和服务保障的基地，农产品、特色产品、生态产品的集中加工区，农产品主产区和重点生态功能区人口的聚集地，对外开放的窗口和节点。发展方向为：发挥县域经济发展的核心区和引导区的作用，积极承接中心城市的产业辐射和转移，完善城镇各类道路、供水、电力、通信、交通等基础设施，优化居住环境，提升服务水平。大力发展碳汇经济和生态农业，依托现有经济发展和城镇建设基础，完善公共服务体系，建设成为全县经济的重要承载区和人口聚集区。</w:t>
            </w:r>
          </w:p>
          <w:p>
            <w:pPr>
              <w:autoSpaceDE w:val="0"/>
              <w:autoSpaceDN w:val="0"/>
              <w:adjustRightInd w:val="0"/>
              <w:snapToGrid w:val="0"/>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本项目属于新能源项目，与《云南省主体功能区规划》中的功能定位相符。</w:t>
            </w:r>
          </w:p>
          <w:p>
            <w:pPr>
              <w:autoSpaceDE w:val="0"/>
              <w:autoSpaceDN w:val="0"/>
              <w:adjustRightInd w:val="0"/>
              <w:snapToGrid w:val="0"/>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云南省主体功能区划》“因地制宜、有序推进、统筹协调”原则里提出“大力发展清洁可再生能源，……解决制约新能源电源发展并网难、外输难等问题”，本项目开发的原则与《云南省主体功能区规划》能源开发的原则是一致的。</w:t>
            </w:r>
          </w:p>
          <w:p>
            <w:pPr>
              <w:autoSpaceDE w:val="0"/>
              <w:autoSpaceDN w:val="0"/>
              <w:adjustRightInd w:val="0"/>
              <w:snapToGrid w:val="0"/>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《云南省主体功能区划》能源空间布局提出“……依托太阳能和生物质能源分布建设新能源示范基地……依托资源优势，稳步发展太阳能发电和热利用……”。</w:t>
            </w:r>
          </w:p>
          <w:p>
            <w:pPr>
              <w:autoSpaceDE w:val="0"/>
              <w:autoSpaceDN w:val="0"/>
              <w:adjustRightInd w:val="0"/>
              <w:snapToGrid w:val="0"/>
              <w:spacing w:line="360" w:lineRule="auto"/>
              <w:ind w:firstLine="480" w:firstLineChars="200"/>
              <w:rPr>
                <w:rFonts w:hint="eastAsia" w:ascii="宋体" w:hAnsi="宋体" w:cs="宋体"/>
                <w:b/>
                <w:bCs/>
                <w:color w:val="auto"/>
                <w:kern w:val="0"/>
                <w:sz w:val="24"/>
              </w:rPr>
            </w:pPr>
            <w:r>
              <w:rPr>
                <w:rFonts w:hint="eastAsia" w:ascii="宋体" w:hAnsi="宋体" w:cs="宋体"/>
                <w:color w:val="auto"/>
                <w:kern w:val="0"/>
                <w:sz w:val="24"/>
              </w:rPr>
              <w:t>本光伏项目的开发空间布局与主体功能区规划中的能源开发空间布局基本一致，且本项目环评针对光伏开发提出了环境保护措施，符合《云南省主体功能区规划》中关于能源开发的空间布局要求。</w:t>
            </w:r>
          </w:p>
          <w:p>
            <w:pPr>
              <w:autoSpaceDE w:val="0"/>
              <w:autoSpaceDN w:val="0"/>
              <w:spacing w:line="360" w:lineRule="auto"/>
              <w:rPr>
                <w:rFonts w:hint="eastAsia"/>
                <w:b/>
                <w:bCs/>
                <w:color w:val="auto"/>
                <w:kern w:val="0"/>
                <w:sz w:val="24"/>
              </w:rPr>
            </w:pPr>
            <w:r>
              <w:rPr>
                <w:rFonts w:hint="eastAsia"/>
                <w:b/>
                <w:bCs/>
                <w:color w:val="auto"/>
                <w:kern w:val="0"/>
                <w:sz w:val="24"/>
              </w:rPr>
              <w:t>5、与《云南省生态功能区划》的协调性分析</w:t>
            </w:r>
          </w:p>
          <w:p>
            <w:pPr>
              <w:autoSpaceDE w:val="0"/>
              <w:autoSpaceDN w:val="0"/>
              <w:adjustRightInd w:val="0"/>
              <w:snapToGrid w:val="0"/>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根据《云南省生态功能区划》，本项目位于楚雄州元谋县，属于Ⅲ高原亚热带北部常绿阔叶林生态区—Ⅲ2滇中、北中山峡谷暖性针叶林生态亚区—Ⅲ2-4元谋龙川江干热河谷农业生态功能区。</w:t>
            </w:r>
            <w:r>
              <w:rPr>
                <w:rFonts w:hint="eastAsia" w:ascii="宋体" w:hAnsi="宋体" w:cs="宋体"/>
                <w:b/>
                <w:bCs/>
                <w:color w:val="auto"/>
                <w:kern w:val="0"/>
                <w:sz w:val="24"/>
              </w:rPr>
              <w:t>该区域的主要生态特征：</w:t>
            </w:r>
            <w:r>
              <w:rPr>
                <w:rFonts w:hint="eastAsia" w:ascii="宋体" w:hAnsi="宋体" w:cs="宋体"/>
                <w:color w:val="auto"/>
                <w:kern w:val="0"/>
                <w:sz w:val="24"/>
              </w:rPr>
              <w:t>以河谷地貌为主，年降雨量700-800mm。主要植被类型是稀树灌木草丛，土壤以燥红土和紫色土为主。</w:t>
            </w:r>
            <w:r>
              <w:rPr>
                <w:rFonts w:hint="eastAsia" w:ascii="宋体" w:hAnsi="宋体" w:cs="宋体"/>
                <w:b/>
                <w:bCs/>
                <w:color w:val="auto"/>
                <w:kern w:val="0"/>
                <w:sz w:val="24"/>
              </w:rPr>
              <w:t>主要生态问题是：</w:t>
            </w:r>
            <w:r>
              <w:rPr>
                <w:rFonts w:hint="eastAsia" w:ascii="宋体" w:hAnsi="宋体" w:cs="宋体"/>
                <w:color w:val="auto"/>
                <w:kern w:val="0"/>
                <w:sz w:val="24"/>
              </w:rPr>
              <w:t>森林覆盖率低、土地退化严重。生态环境敏感性为干热河谷脆弱地带。</w:t>
            </w:r>
            <w:r>
              <w:rPr>
                <w:rFonts w:hint="eastAsia" w:ascii="宋体" w:hAnsi="宋体" w:cs="宋体"/>
                <w:b/>
                <w:bCs/>
                <w:color w:val="auto"/>
                <w:kern w:val="0"/>
                <w:sz w:val="24"/>
              </w:rPr>
              <w:t>主要生态系统服务功能为：</w:t>
            </w:r>
            <w:r>
              <w:rPr>
                <w:rFonts w:hint="eastAsia" w:ascii="宋体" w:hAnsi="宋体" w:cs="宋体"/>
                <w:color w:val="auto"/>
                <w:kern w:val="0"/>
                <w:sz w:val="24"/>
              </w:rPr>
              <w:t>维护干热河谷生态脆弱区的生态安全。</w:t>
            </w:r>
            <w:r>
              <w:rPr>
                <w:rFonts w:hint="eastAsia" w:ascii="宋体" w:hAnsi="宋体" w:cs="宋体"/>
                <w:b/>
                <w:bCs/>
                <w:color w:val="auto"/>
                <w:kern w:val="0"/>
                <w:sz w:val="24"/>
              </w:rPr>
              <w:t>保护措施与发展方向为：</w:t>
            </w:r>
            <w:r>
              <w:rPr>
                <w:rFonts w:hint="eastAsia" w:ascii="宋体" w:hAnsi="宋体" w:cs="宋体"/>
                <w:color w:val="auto"/>
                <w:kern w:val="0"/>
                <w:sz w:val="24"/>
              </w:rPr>
              <w:t>调整产业结构、增加沿江河谷面山的森林覆盖率，发展热带经济林木，改善区域的水环境条件，发展庭院经济，防止生态环境荒漠化。</w:t>
            </w:r>
          </w:p>
          <w:p>
            <w:pPr>
              <w:autoSpaceDE w:val="0"/>
              <w:autoSpaceDN w:val="0"/>
              <w:spacing w:line="360" w:lineRule="auto"/>
              <w:jc w:val="center"/>
              <w:rPr>
                <w:b/>
                <w:color w:val="auto"/>
                <w:kern w:val="0"/>
                <w:sz w:val="24"/>
              </w:rPr>
            </w:pPr>
            <w:r>
              <w:rPr>
                <w:b/>
                <w:color w:val="auto"/>
                <w:kern w:val="0"/>
                <w:sz w:val="24"/>
              </w:rPr>
              <w:t>表</w:t>
            </w:r>
            <w:r>
              <w:rPr>
                <w:rFonts w:hint="eastAsia"/>
                <w:b/>
                <w:color w:val="auto"/>
                <w:kern w:val="0"/>
                <w:sz w:val="24"/>
              </w:rPr>
              <w:t>1</w:t>
            </w:r>
            <w:r>
              <w:rPr>
                <w:b/>
                <w:color w:val="auto"/>
                <w:kern w:val="0"/>
                <w:sz w:val="24"/>
              </w:rPr>
              <w:t>-</w:t>
            </w:r>
            <w:r>
              <w:rPr>
                <w:rFonts w:hint="eastAsia"/>
                <w:b/>
                <w:color w:val="auto"/>
                <w:kern w:val="0"/>
                <w:sz w:val="24"/>
              </w:rPr>
              <w:t>5</w:t>
            </w:r>
            <w:r>
              <w:rPr>
                <w:b/>
                <w:color w:val="auto"/>
                <w:kern w:val="0"/>
                <w:sz w:val="24"/>
              </w:rPr>
              <w:t xml:space="preserve">  项目所在区域生态功能区划</w:t>
            </w:r>
          </w:p>
          <w:tbl>
            <w:tblPr>
              <w:tblStyle w:val="18"/>
              <w:tblW w:w="4891"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56"/>
              <w:gridCol w:w="681"/>
              <w:gridCol w:w="952"/>
              <w:gridCol w:w="952"/>
              <w:gridCol w:w="1226"/>
              <w:gridCol w:w="682"/>
              <w:gridCol w:w="681"/>
              <w:gridCol w:w="678"/>
              <w:gridCol w:w="128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69" w:type="pct"/>
                  <w:gridSpan w:val="3"/>
                  <w:tcBorders>
                    <w:top w:val="double" w:color="auto" w:sz="4" w:space="0"/>
                    <w:left w:val="double" w:color="auto" w:sz="4" w:space="0"/>
                    <w:bottom w:val="single" w:color="000000" w:sz="6" w:space="0"/>
                    <w:right w:val="single" w:color="000000" w:sz="6" w:space="0"/>
                  </w:tcBorders>
                  <w:noWrap w:val="0"/>
                  <w:vAlign w:val="center"/>
                </w:tcPr>
                <w:p>
                  <w:pPr>
                    <w:topLinePunct/>
                    <w:adjustRightInd w:val="0"/>
                    <w:snapToGrid w:val="0"/>
                    <w:jc w:val="center"/>
                    <w:rPr>
                      <w:b/>
                      <w:bCs/>
                      <w:snapToGrid w:val="0"/>
                      <w:color w:val="auto"/>
                      <w:szCs w:val="21"/>
                    </w:rPr>
                  </w:pPr>
                  <w:r>
                    <w:rPr>
                      <w:b/>
                      <w:bCs/>
                      <w:snapToGrid w:val="0"/>
                      <w:color w:val="auto"/>
                      <w:szCs w:val="21"/>
                    </w:rPr>
                    <w:t>生态功能分区单元</w:t>
                  </w:r>
                </w:p>
              </w:tc>
              <w:tc>
                <w:tcPr>
                  <w:tcW w:w="611" w:type="pct"/>
                  <w:vMerge w:val="restart"/>
                  <w:tcBorders>
                    <w:top w:val="double" w:color="auto" w:sz="4" w:space="0"/>
                    <w:left w:val="single" w:color="000000" w:sz="6" w:space="0"/>
                    <w:bottom w:val="single" w:color="000000" w:sz="6" w:space="0"/>
                    <w:right w:val="single" w:color="auto" w:sz="4" w:space="0"/>
                  </w:tcBorders>
                  <w:noWrap w:val="0"/>
                  <w:vAlign w:val="center"/>
                </w:tcPr>
                <w:p>
                  <w:pPr>
                    <w:topLinePunct/>
                    <w:adjustRightInd w:val="0"/>
                    <w:snapToGrid w:val="0"/>
                    <w:jc w:val="center"/>
                    <w:rPr>
                      <w:b/>
                      <w:bCs/>
                      <w:snapToGrid w:val="0"/>
                      <w:color w:val="auto"/>
                      <w:szCs w:val="21"/>
                    </w:rPr>
                  </w:pPr>
                  <w:r>
                    <w:rPr>
                      <w:b/>
                      <w:bCs/>
                      <w:snapToGrid w:val="0"/>
                      <w:color w:val="auto"/>
                      <w:szCs w:val="21"/>
                    </w:rPr>
                    <w:t>所在区域与面积</w:t>
                  </w:r>
                </w:p>
              </w:tc>
              <w:tc>
                <w:tcPr>
                  <w:tcW w:w="787" w:type="pct"/>
                  <w:vMerge w:val="restart"/>
                  <w:tcBorders>
                    <w:top w:val="double" w:color="auto" w:sz="4" w:space="0"/>
                    <w:left w:val="single" w:color="auto" w:sz="4" w:space="0"/>
                    <w:bottom w:val="single" w:color="000000" w:sz="6" w:space="0"/>
                    <w:right w:val="single" w:color="auto" w:sz="4" w:space="0"/>
                  </w:tcBorders>
                  <w:noWrap w:val="0"/>
                  <w:vAlign w:val="center"/>
                </w:tcPr>
                <w:p>
                  <w:pPr>
                    <w:adjustRightInd w:val="0"/>
                    <w:snapToGrid w:val="0"/>
                    <w:jc w:val="center"/>
                    <w:rPr>
                      <w:b/>
                      <w:bCs/>
                      <w:color w:val="auto"/>
                      <w:szCs w:val="21"/>
                    </w:rPr>
                  </w:pPr>
                  <w:r>
                    <w:rPr>
                      <w:b/>
                      <w:bCs/>
                      <w:color w:val="auto"/>
                      <w:szCs w:val="21"/>
                    </w:rPr>
                    <w:t>主要生态特征</w:t>
                  </w:r>
                </w:p>
              </w:tc>
              <w:tc>
                <w:tcPr>
                  <w:tcW w:w="438" w:type="pct"/>
                  <w:vMerge w:val="restart"/>
                  <w:tcBorders>
                    <w:top w:val="double" w:color="auto" w:sz="4" w:space="0"/>
                    <w:left w:val="single" w:color="auto" w:sz="4" w:space="0"/>
                    <w:bottom w:val="single" w:color="000000" w:sz="6" w:space="0"/>
                    <w:right w:val="single" w:color="000000" w:sz="6" w:space="0"/>
                  </w:tcBorders>
                  <w:noWrap w:val="0"/>
                  <w:vAlign w:val="center"/>
                </w:tcPr>
                <w:p>
                  <w:pPr>
                    <w:topLinePunct/>
                    <w:adjustRightInd w:val="0"/>
                    <w:snapToGrid w:val="0"/>
                    <w:jc w:val="center"/>
                    <w:rPr>
                      <w:b/>
                      <w:bCs/>
                      <w:snapToGrid w:val="0"/>
                      <w:color w:val="auto"/>
                      <w:szCs w:val="21"/>
                    </w:rPr>
                  </w:pPr>
                  <w:r>
                    <w:rPr>
                      <w:b/>
                      <w:bCs/>
                      <w:snapToGrid w:val="0"/>
                      <w:color w:val="auto"/>
                      <w:szCs w:val="21"/>
                    </w:rPr>
                    <w:t>主要生态环境问题</w:t>
                  </w:r>
                </w:p>
              </w:tc>
              <w:tc>
                <w:tcPr>
                  <w:tcW w:w="437" w:type="pct"/>
                  <w:vMerge w:val="restart"/>
                  <w:tcBorders>
                    <w:top w:val="double" w:color="auto" w:sz="4" w:space="0"/>
                    <w:left w:val="single" w:color="000000" w:sz="6" w:space="0"/>
                    <w:bottom w:val="single" w:color="000000" w:sz="6" w:space="0"/>
                    <w:right w:val="single" w:color="000000" w:sz="6" w:space="0"/>
                  </w:tcBorders>
                  <w:noWrap w:val="0"/>
                  <w:vAlign w:val="center"/>
                </w:tcPr>
                <w:p>
                  <w:pPr>
                    <w:topLinePunct/>
                    <w:adjustRightInd w:val="0"/>
                    <w:snapToGrid w:val="0"/>
                    <w:jc w:val="center"/>
                    <w:rPr>
                      <w:b/>
                      <w:bCs/>
                      <w:snapToGrid w:val="0"/>
                      <w:color w:val="auto"/>
                      <w:szCs w:val="21"/>
                    </w:rPr>
                  </w:pPr>
                  <w:r>
                    <w:rPr>
                      <w:b/>
                      <w:bCs/>
                      <w:snapToGrid w:val="0"/>
                      <w:color w:val="auto"/>
                      <w:szCs w:val="21"/>
                    </w:rPr>
                    <w:t>生态环境敏感性</w:t>
                  </w:r>
                </w:p>
              </w:tc>
              <w:tc>
                <w:tcPr>
                  <w:tcW w:w="435" w:type="pct"/>
                  <w:vMerge w:val="restart"/>
                  <w:tcBorders>
                    <w:top w:val="double" w:color="auto" w:sz="4" w:space="0"/>
                    <w:left w:val="single" w:color="000000" w:sz="6" w:space="0"/>
                    <w:bottom w:val="single" w:color="000000" w:sz="6" w:space="0"/>
                    <w:right w:val="single" w:color="000000" w:sz="6" w:space="0"/>
                  </w:tcBorders>
                  <w:noWrap w:val="0"/>
                  <w:vAlign w:val="center"/>
                </w:tcPr>
                <w:p>
                  <w:pPr>
                    <w:topLinePunct/>
                    <w:adjustRightInd w:val="0"/>
                    <w:snapToGrid w:val="0"/>
                    <w:jc w:val="center"/>
                    <w:rPr>
                      <w:b/>
                      <w:bCs/>
                      <w:snapToGrid w:val="0"/>
                      <w:color w:val="auto"/>
                      <w:szCs w:val="21"/>
                    </w:rPr>
                  </w:pPr>
                  <w:r>
                    <w:rPr>
                      <w:b/>
                      <w:bCs/>
                      <w:snapToGrid w:val="0"/>
                      <w:color w:val="auto"/>
                      <w:szCs w:val="21"/>
                    </w:rPr>
                    <w:t>主要生态系统服务功能</w:t>
                  </w:r>
                </w:p>
              </w:tc>
              <w:tc>
                <w:tcPr>
                  <w:tcW w:w="823" w:type="pct"/>
                  <w:vMerge w:val="restart"/>
                  <w:tcBorders>
                    <w:top w:val="double" w:color="auto" w:sz="4" w:space="0"/>
                    <w:left w:val="single" w:color="000000" w:sz="6" w:space="0"/>
                    <w:bottom w:val="single" w:color="000000" w:sz="6" w:space="0"/>
                    <w:right w:val="double" w:color="auto" w:sz="4" w:space="0"/>
                  </w:tcBorders>
                  <w:noWrap w:val="0"/>
                  <w:vAlign w:val="center"/>
                </w:tcPr>
                <w:p>
                  <w:pPr>
                    <w:topLinePunct/>
                    <w:adjustRightInd w:val="0"/>
                    <w:snapToGrid w:val="0"/>
                    <w:jc w:val="center"/>
                    <w:rPr>
                      <w:b/>
                      <w:bCs/>
                      <w:snapToGrid w:val="0"/>
                      <w:color w:val="auto"/>
                      <w:szCs w:val="21"/>
                    </w:rPr>
                  </w:pPr>
                  <w:r>
                    <w:rPr>
                      <w:b/>
                      <w:bCs/>
                      <w:snapToGrid w:val="0"/>
                      <w:color w:val="auto"/>
                      <w:szCs w:val="21"/>
                    </w:rPr>
                    <w:t>保护措施与发展方向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21" w:type="pct"/>
                  <w:tcBorders>
                    <w:top w:val="single" w:color="000000" w:sz="6" w:space="0"/>
                    <w:left w:val="double" w:color="auto" w:sz="4" w:space="0"/>
                    <w:bottom w:val="single" w:color="000000" w:sz="6" w:space="0"/>
                    <w:right w:val="single" w:color="000000" w:sz="6" w:space="0"/>
                  </w:tcBorders>
                  <w:noWrap w:val="0"/>
                  <w:vAlign w:val="center"/>
                </w:tcPr>
                <w:p>
                  <w:pPr>
                    <w:topLinePunct/>
                    <w:adjustRightInd w:val="0"/>
                    <w:snapToGrid w:val="0"/>
                    <w:jc w:val="center"/>
                    <w:rPr>
                      <w:b/>
                      <w:bCs/>
                      <w:snapToGrid w:val="0"/>
                      <w:color w:val="auto"/>
                      <w:szCs w:val="21"/>
                    </w:rPr>
                  </w:pPr>
                  <w:r>
                    <w:rPr>
                      <w:b/>
                      <w:bCs/>
                      <w:snapToGrid w:val="0"/>
                      <w:color w:val="auto"/>
                      <w:szCs w:val="21"/>
                    </w:rPr>
                    <w:t>生态区</w:t>
                  </w:r>
                </w:p>
              </w:tc>
              <w:tc>
                <w:tcPr>
                  <w:tcW w:w="437" w:type="pct"/>
                  <w:tcBorders>
                    <w:top w:val="single" w:color="000000" w:sz="6" w:space="0"/>
                    <w:left w:val="single" w:color="000000" w:sz="6" w:space="0"/>
                    <w:bottom w:val="single" w:color="000000" w:sz="6" w:space="0"/>
                    <w:right w:val="single" w:color="000000" w:sz="6" w:space="0"/>
                  </w:tcBorders>
                  <w:noWrap w:val="0"/>
                  <w:vAlign w:val="center"/>
                </w:tcPr>
                <w:p>
                  <w:pPr>
                    <w:topLinePunct/>
                    <w:adjustRightInd w:val="0"/>
                    <w:snapToGrid w:val="0"/>
                    <w:jc w:val="center"/>
                    <w:rPr>
                      <w:b/>
                      <w:bCs/>
                      <w:snapToGrid w:val="0"/>
                      <w:color w:val="auto"/>
                      <w:szCs w:val="21"/>
                    </w:rPr>
                  </w:pPr>
                  <w:r>
                    <w:rPr>
                      <w:b/>
                      <w:bCs/>
                      <w:snapToGrid w:val="0"/>
                      <w:color w:val="auto"/>
                      <w:szCs w:val="21"/>
                    </w:rPr>
                    <w:t>生态</w:t>
                  </w:r>
                </w:p>
                <w:p>
                  <w:pPr>
                    <w:topLinePunct/>
                    <w:adjustRightInd w:val="0"/>
                    <w:snapToGrid w:val="0"/>
                    <w:jc w:val="center"/>
                    <w:rPr>
                      <w:b/>
                      <w:bCs/>
                      <w:snapToGrid w:val="0"/>
                      <w:color w:val="auto"/>
                      <w:szCs w:val="21"/>
                    </w:rPr>
                  </w:pPr>
                  <w:r>
                    <w:rPr>
                      <w:b/>
                      <w:bCs/>
                      <w:snapToGrid w:val="0"/>
                      <w:color w:val="auto"/>
                      <w:szCs w:val="21"/>
                    </w:rPr>
                    <w:t>亚区</w:t>
                  </w:r>
                </w:p>
              </w:tc>
              <w:tc>
                <w:tcPr>
                  <w:tcW w:w="611" w:type="pct"/>
                  <w:tcBorders>
                    <w:top w:val="single" w:color="000000" w:sz="6" w:space="0"/>
                    <w:left w:val="single" w:color="000000" w:sz="6" w:space="0"/>
                    <w:bottom w:val="single" w:color="000000" w:sz="6" w:space="0"/>
                    <w:right w:val="single" w:color="000000" w:sz="6" w:space="0"/>
                  </w:tcBorders>
                  <w:noWrap w:val="0"/>
                  <w:vAlign w:val="center"/>
                </w:tcPr>
                <w:p>
                  <w:pPr>
                    <w:topLinePunct/>
                    <w:adjustRightInd w:val="0"/>
                    <w:snapToGrid w:val="0"/>
                    <w:jc w:val="center"/>
                    <w:rPr>
                      <w:b/>
                      <w:bCs/>
                      <w:snapToGrid w:val="0"/>
                      <w:color w:val="auto"/>
                      <w:szCs w:val="21"/>
                    </w:rPr>
                  </w:pPr>
                  <w:r>
                    <w:rPr>
                      <w:b/>
                      <w:bCs/>
                      <w:snapToGrid w:val="0"/>
                      <w:color w:val="auto"/>
                      <w:szCs w:val="21"/>
                    </w:rPr>
                    <w:t>生态功能区</w:t>
                  </w:r>
                </w:p>
              </w:tc>
              <w:tc>
                <w:tcPr>
                  <w:tcW w:w="611" w:type="pct"/>
                  <w:vMerge w:val="continue"/>
                  <w:tcBorders>
                    <w:top w:val="single" w:color="000000" w:sz="6" w:space="0"/>
                    <w:left w:val="single" w:color="000000" w:sz="6" w:space="0"/>
                    <w:bottom w:val="single" w:color="000000" w:sz="6" w:space="0"/>
                    <w:right w:val="single" w:color="auto" w:sz="4" w:space="0"/>
                  </w:tcBorders>
                  <w:noWrap w:val="0"/>
                  <w:vAlign w:val="center"/>
                </w:tcPr>
                <w:p>
                  <w:pPr>
                    <w:adjustRightInd w:val="0"/>
                    <w:snapToGrid w:val="0"/>
                    <w:jc w:val="center"/>
                    <w:rPr>
                      <w:b/>
                      <w:bCs/>
                      <w:snapToGrid w:val="0"/>
                      <w:color w:val="auto"/>
                      <w:szCs w:val="21"/>
                    </w:rPr>
                  </w:pPr>
                </w:p>
              </w:tc>
              <w:tc>
                <w:tcPr>
                  <w:tcW w:w="787" w:type="pct"/>
                  <w:vMerge w:val="continue"/>
                  <w:tcBorders>
                    <w:top w:val="single" w:color="000000" w:sz="6" w:space="0"/>
                    <w:left w:val="single" w:color="auto" w:sz="4" w:space="0"/>
                    <w:bottom w:val="single" w:color="000000" w:sz="6" w:space="0"/>
                    <w:right w:val="single" w:color="auto" w:sz="4" w:space="0"/>
                  </w:tcBorders>
                  <w:noWrap w:val="0"/>
                  <w:vAlign w:val="center"/>
                </w:tcPr>
                <w:p>
                  <w:pPr>
                    <w:adjustRightInd w:val="0"/>
                    <w:snapToGrid w:val="0"/>
                    <w:jc w:val="center"/>
                    <w:rPr>
                      <w:b/>
                      <w:bCs/>
                      <w:color w:val="auto"/>
                      <w:szCs w:val="21"/>
                    </w:rPr>
                  </w:pPr>
                </w:p>
              </w:tc>
              <w:tc>
                <w:tcPr>
                  <w:tcW w:w="438" w:type="pct"/>
                  <w:vMerge w:val="continue"/>
                  <w:tcBorders>
                    <w:top w:val="single" w:color="000000" w:sz="6" w:space="0"/>
                    <w:left w:val="single" w:color="auto" w:sz="4" w:space="0"/>
                    <w:bottom w:val="single" w:color="000000" w:sz="6" w:space="0"/>
                    <w:right w:val="single" w:color="000000" w:sz="6" w:space="0"/>
                  </w:tcBorders>
                  <w:noWrap w:val="0"/>
                  <w:vAlign w:val="center"/>
                </w:tcPr>
                <w:p>
                  <w:pPr>
                    <w:adjustRightInd w:val="0"/>
                    <w:snapToGrid w:val="0"/>
                    <w:jc w:val="center"/>
                    <w:rPr>
                      <w:b/>
                      <w:bCs/>
                      <w:snapToGrid w:val="0"/>
                      <w:color w:val="auto"/>
                      <w:szCs w:val="21"/>
                    </w:rPr>
                  </w:pPr>
                </w:p>
              </w:tc>
              <w:tc>
                <w:tcPr>
                  <w:tcW w:w="437" w:type="pct"/>
                  <w:vMerge w:val="continue"/>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b/>
                      <w:bCs/>
                      <w:snapToGrid w:val="0"/>
                      <w:color w:val="auto"/>
                      <w:szCs w:val="21"/>
                    </w:rPr>
                  </w:pPr>
                </w:p>
              </w:tc>
              <w:tc>
                <w:tcPr>
                  <w:tcW w:w="435" w:type="pct"/>
                  <w:vMerge w:val="continue"/>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b/>
                      <w:bCs/>
                      <w:snapToGrid w:val="0"/>
                      <w:color w:val="auto"/>
                      <w:szCs w:val="21"/>
                    </w:rPr>
                  </w:pPr>
                </w:p>
              </w:tc>
              <w:tc>
                <w:tcPr>
                  <w:tcW w:w="823" w:type="pct"/>
                  <w:vMerge w:val="continue"/>
                  <w:tcBorders>
                    <w:top w:val="single" w:color="000000" w:sz="6" w:space="0"/>
                    <w:left w:val="single" w:color="000000" w:sz="6" w:space="0"/>
                    <w:bottom w:val="single" w:color="000000" w:sz="6" w:space="0"/>
                    <w:right w:val="double" w:color="auto" w:sz="4" w:space="0"/>
                  </w:tcBorders>
                  <w:noWrap w:val="0"/>
                  <w:vAlign w:val="center"/>
                </w:tcPr>
                <w:p>
                  <w:pPr>
                    <w:adjustRightInd w:val="0"/>
                    <w:snapToGrid w:val="0"/>
                    <w:jc w:val="center"/>
                    <w:rPr>
                      <w:b/>
                      <w:bCs/>
                      <w:snapToGrid w:val="0"/>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21" w:type="pct"/>
                  <w:tcBorders>
                    <w:top w:val="single" w:color="000000" w:sz="6" w:space="0"/>
                    <w:left w:val="double" w:color="auto" w:sz="4" w:space="0"/>
                    <w:bottom w:val="double" w:color="auto" w:sz="4" w:space="0"/>
                    <w:right w:val="single" w:color="000000" w:sz="6" w:space="0"/>
                  </w:tcBorders>
                  <w:noWrap w:val="0"/>
                  <w:vAlign w:val="center"/>
                </w:tcPr>
                <w:p>
                  <w:pPr>
                    <w:topLinePunct/>
                    <w:adjustRightInd w:val="0"/>
                    <w:snapToGrid w:val="0"/>
                    <w:jc w:val="center"/>
                    <w:rPr>
                      <w:snapToGrid w:val="0"/>
                      <w:color w:val="auto"/>
                      <w:szCs w:val="21"/>
                    </w:rPr>
                  </w:pPr>
                  <w:r>
                    <w:rPr>
                      <w:snapToGrid w:val="0"/>
                      <w:color w:val="auto"/>
                      <w:szCs w:val="21"/>
                    </w:rPr>
                    <w:t>Ⅲ高原亚热带北部常绿阔叶林生态区</w:t>
                  </w:r>
                </w:p>
              </w:tc>
              <w:tc>
                <w:tcPr>
                  <w:tcW w:w="437" w:type="pct"/>
                  <w:tcBorders>
                    <w:top w:val="single" w:color="000000" w:sz="6" w:space="0"/>
                    <w:left w:val="single" w:color="000000" w:sz="6" w:space="0"/>
                    <w:bottom w:val="double" w:color="auto" w:sz="4" w:space="0"/>
                    <w:right w:val="single" w:color="000000" w:sz="6" w:space="0"/>
                  </w:tcBorders>
                  <w:noWrap w:val="0"/>
                  <w:vAlign w:val="center"/>
                </w:tcPr>
                <w:p>
                  <w:pPr>
                    <w:topLinePunct/>
                    <w:adjustRightInd w:val="0"/>
                    <w:snapToGrid w:val="0"/>
                    <w:jc w:val="center"/>
                    <w:rPr>
                      <w:snapToGrid w:val="0"/>
                      <w:color w:val="auto"/>
                      <w:szCs w:val="21"/>
                    </w:rPr>
                  </w:pPr>
                  <w:r>
                    <w:rPr>
                      <w:snapToGrid w:val="0"/>
                      <w:color w:val="auto"/>
                      <w:szCs w:val="21"/>
                    </w:rPr>
                    <w:t xml:space="preserve">Ⅲ2 </w:t>
                  </w:r>
                  <w:r>
                    <w:rPr>
                      <w:rFonts w:hint="eastAsia"/>
                      <w:snapToGrid w:val="0"/>
                      <w:color w:val="auto"/>
                      <w:szCs w:val="21"/>
                    </w:rPr>
                    <w:t>滇中、北中山峡谷暖性针叶林生态亚区</w:t>
                  </w:r>
                </w:p>
              </w:tc>
              <w:tc>
                <w:tcPr>
                  <w:tcW w:w="611" w:type="pct"/>
                  <w:tcBorders>
                    <w:top w:val="single" w:color="000000" w:sz="6" w:space="0"/>
                    <w:left w:val="single" w:color="000000" w:sz="6" w:space="0"/>
                    <w:bottom w:val="double" w:color="auto" w:sz="4" w:space="0"/>
                    <w:right w:val="single" w:color="000000" w:sz="6" w:space="0"/>
                  </w:tcBorders>
                  <w:noWrap w:val="0"/>
                  <w:vAlign w:val="center"/>
                </w:tcPr>
                <w:p>
                  <w:pPr>
                    <w:topLinePunct/>
                    <w:adjustRightInd w:val="0"/>
                    <w:snapToGrid w:val="0"/>
                    <w:jc w:val="center"/>
                    <w:rPr>
                      <w:snapToGrid w:val="0"/>
                      <w:color w:val="auto"/>
                      <w:szCs w:val="21"/>
                    </w:rPr>
                  </w:pPr>
                  <w:r>
                    <w:rPr>
                      <w:snapToGrid w:val="0"/>
                      <w:color w:val="auto"/>
                      <w:szCs w:val="21"/>
                    </w:rPr>
                    <w:t>Ⅲ</w:t>
                  </w:r>
                  <w:r>
                    <w:rPr>
                      <w:rFonts w:hint="eastAsia"/>
                      <w:snapToGrid w:val="0"/>
                      <w:color w:val="auto"/>
                      <w:szCs w:val="21"/>
                    </w:rPr>
                    <w:t>2-4 元谋龙川江干热河谷农业生态功能区</w:t>
                  </w:r>
                </w:p>
              </w:tc>
              <w:tc>
                <w:tcPr>
                  <w:tcW w:w="611" w:type="pct"/>
                  <w:tcBorders>
                    <w:top w:val="single" w:color="000000" w:sz="6" w:space="0"/>
                    <w:left w:val="single" w:color="000000" w:sz="6" w:space="0"/>
                    <w:bottom w:val="double" w:color="auto" w:sz="4" w:space="0"/>
                    <w:right w:val="single" w:color="auto" w:sz="4" w:space="0"/>
                  </w:tcBorders>
                  <w:noWrap w:val="0"/>
                  <w:vAlign w:val="center"/>
                </w:tcPr>
                <w:p>
                  <w:pPr>
                    <w:topLinePunct/>
                    <w:adjustRightInd w:val="0"/>
                    <w:snapToGrid w:val="0"/>
                    <w:jc w:val="center"/>
                    <w:rPr>
                      <w:snapToGrid w:val="0"/>
                      <w:color w:val="auto"/>
                      <w:szCs w:val="21"/>
                    </w:rPr>
                  </w:pPr>
                  <w:r>
                    <w:rPr>
                      <w:rFonts w:hint="eastAsia"/>
                      <w:snapToGrid w:val="0"/>
                      <w:color w:val="auto"/>
                      <w:szCs w:val="21"/>
                    </w:rPr>
                    <w:t>元谋县，武定、永仁、大姚县的部分地区，面积2863.93平方公里</w:t>
                  </w:r>
                </w:p>
              </w:tc>
              <w:tc>
                <w:tcPr>
                  <w:tcW w:w="787" w:type="pct"/>
                  <w:tcBorders>
                    <w:top w:val="single" w:color="000000" w:sz="6" w:space="0"/>
                    <w:left w:val="single" w:color="auto" w:sz="4" w:space="0"/>
                    <w:bottom w:val="double" w:color="auto" w:sz="4" w:space="0"/>
                    <w:right w:val="single" w:color="auto" w:sz="4" w:space="0"/>
                  </w:tcBorders>
                  <w:noWrap w:val="0"/>
                  <w:vAlign w:val="center"/>
                </w:tcPr>
                <w:p>
                  <w:pPr>
                    <w:topLinePunct/>
                    <w:adjustRightInd w:val="0"/>
                    <w:snapToGrid w:val="0"/>
                    <w:jc w:val="center"/>
                    <w:rPr>
                      <w:snapToGrid w:val="0"/>
                      <w:color w:val="auto"/>
                      <w:szCs w:val="21"/>
                    </w:rPr>
                  </w:pPr>
                  <w:r>
                    <w:rPr>
                      <w:rFonts w:hint="eastAsia"/>
                      <w:snapToGrid w:val="0"/>
                      <w:color w:val="auto"/>
                      <w:szCs w:val="21"/>
                    </w:rPr>
                    <w:t>以河谷地貌为主，年降雨量700-800毫米。主要植被类型是稀树灌木草丛，土壤以燥红土和紫色土为主</w:t>
                  </w:r>
                </w:p>
              </w:tc>
              <w:tc>
                <w:tcPr>
                  <w:tcW w:w="438" w:type="pct"/>
                  <w:tcBorders>
                    <w:top w:val="single" w:color="000000" w:sz="6" w:space="0"/>
                    <w:left w:val="single" w:color="auto" w:sz="4" w:space="0"/>
                    <w:bottom w:val="double" w:color="auto" w:sz="4" w:space="0"/>
                    <w:right w:val="single" w:color="000000" w:sz="6" w:space="0"/>
                  </w:tcBorders>
                  <w:noWrap w:val="0"/>
                  <w:vAlign w:val="center"/>
                </w:tcPr>
                <w:p>
                  <w:pPr>
                    <w:topLinePunct/>
                    <w:adjustRightInd w:val="0"/>
                    <w:snapToGrid w:val="0"/>
                    <w:jc w:val="center"/>
                    <w:rPr>
                      <w:snapToGrid w:val="0"/>
                      <w:color w:val="auto"/>
                      <w:szCs w:val="21"/>
                    </w:rPr>
                  </w:pPr>
                  <w:r>
                    <w:rPr>
                      <w:rFonts w:hint="eastAsia"/>
                      <w:snapToGrid w:val="0"/>
                      <w:color w:val="auto"/>
                      <w:szCs w:val="21"/>
                    </w:rPr>
                    <w:t>森林覆盖率低、土地退化严重</w:t>
                  </w:r>
                </w:p>
              </w:tc>
              <w:tc>
                <w:tcPr>
                  <w:tcW w:w="437" w:type="pct"/>
                  <w:tcBorders>
                    <w:top w:val="single" w:color="000000" w:sz="6" w:space="0"/>
                    <w:left w:val="single" w:color="000000" w:sz="6" w:space="0"/>
                    <w:bottom w:val="double" w:color="auto" w:sz="4" w:space="0"/>
                    <w:right w:val="single" w:color="000000" w:sz="6" w:space="0"/>
                  </w:tcBorders>
                  <w:noWrap w:val="0"/>
                  <w:vAlign w:val="center"/>
                </w:tcPr>
                <w:p>
                  <w:pPr>
                    <w:topLinePunct/>
                    <w:adjustRightInd w:val="0"/>
                    <w:snapToGrid w:val="0"/>
                    <w:jc w:val="center"/>
                    <w:rPr>
                      <w:snapToGrid w:val="0"/>
                      <w:color w:val="auto"/>
                      <w:szCs w:val="21"/>
                    </w:rPr>
                  </w:pPr>
                  <w:r>
                    <w:rPr>
                      <w:rFonts w:hint="eastAsia"/>
                      <w:snapToGrid w:val="0"/>
                      <w:color w:val="auto"/>
                      <w:szCs w:val="21"/>
                    </w:rPr>
                    <w:t>干热河谷脆弱地带</w:t>
                  </w:r>
                </w:p>
              </w:tc>
              <w:tc>
                <w:tcPr>
                  <w:tcW w:w="435" w:type="pct"/>
                  <w:tcBorders>
                    <w:top w:val="single" w:color="000000" w:sz="6" w:space="0"/>
                    <w:left w:val="single" w:color="000000" w:sz="6" w:space="0"/>
                    <w:bottom w:val="double" w:color="auto" w:sz="4" w:space="0"/>
                    <w:right w:val="single" w:color="000000" w:sz="6" w:space="0"/>
                  </w:tcBorders>
                  <w:noWrap w:val="0"/>
                  <w:vAlign w:val="center"/>
                </w:tcPr>
                <w:p>
                  <w:pPr>
                    <w:pStyle w:val="9"/>
                    <w:topLinePunct/>
                    <w:snapToGrid w:val="0"/>
                    <w:jc w:val="center"/>
                    <w:rPr>
                      <w:rFonts w:ascii="Times New Roman"/>
                      <w:snapToGrid w:val="0"/>
                      <w:color w:val="auto"/>
                    </w:rPr>
                  </w:pPr>
                  <w:r>
                    <w:rPr>
                      <w:rFonts w:hint="eastAsia" w:ascii="Times New Roman"/>
                      <w:snapToGrid w:val="0"/>
                      <w:color w:val="auto"/>
                    </w:rPr>
                    <w:t>维护干热河谷生态脆弱区的生态安全</w:t>
                  </w:r>
                </w:p>
              </w:tc>
              <w:tc>
                <w:tcPr>
                  <w:tcW w:w="823" w:type="pct"/>
                  <w:tcBorders>
                    <w:top w:val="single" w:color="000000" w:sz="6" w:space="0"/>
                    <w:left w:val="single" w:color="000000" w:sz="6" w:space="0"/>
                    <w:bottom w:val="double" w:color="auto" w:sz="4" w:space="0"/>
                    <w:right w:val="double" w:color="auto" w:sz="4" w:space="0"/>
                  </w:tcBorders>
                  <w:noWrap w:val="0"/>
                  <w:vAlign w:val="center"/>
                </w:tcPr>
                <w:p>
                  <w:pPr>
                    <w:pStyle w:val="9"/>
                    <w:topLinePunct/>
                    <w:snapToGrid w:val="0"/>
                    <w:jc w:val="center"/>
                    <w:rPr>
                      <w:rFonts w:ascii="Times New Roman"/>
                      <w:snapToGrid w:val="0"/>
                      <w:color w:val="auto"/>
                    </w:rPr>
                  </w:pPr>
                  <w:r>
                    <w:rPr>
                      <w:rFonts w:hint="eastAsia" w:ascii="Times New Roman"/>
                      <w:snapToGrid w:val="0"/>
                      <w:color w:val="auto"/>
                    </w:rPr>
                    <w:t>调整产业结构、增加沿江河谷面山的森林覆盖率，发展热带经济林木，改善区域的水环境条件，发展庭院经济，防止生态环境荒漠化</w:t>
                  </w:r>
                </w:p>
              </w:tc>
            </w:tr>
          </w:tbl>
          <w:p>
            <w:pPr>
              <w:autoSpaceDE w:val="0"/>
              <w:autoSpaceDN w:val="0"/>
              <w:adjustRightInd w:val="0"/>
              <w:snapToGrid w:val="0"/>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本项目为光伏电站的建设，</w:t>
            </w:r>
            <w:r>
              <w:rPr>
                <w:rFonts w:hint="eastAsia"/>
                <w:color w:val="auto"/>
                <w:kern w:val="0"/>
                <w:sz w:val="24"/>
              </w:rPr>
              <w:t>主要选取荒山坡地进行布置，用地区域现状植被类型以干热性稀树灌木草丛、干热河谷次生灌丛为主，项目建设不涉及大规模林木砍伐和森林破坏。本项目采取复合式开发，光伏组件架设除支架桩基外地面不做硬化，组件按要求保持一定高度，可保障下方林草植被继续生长的空间和一定光照，通过严格落实施工期水土保持措施和植被保护恢复措施，项目组件架设后，光伏板下及板间区域的林草植被可逐步恢复，各类草本及低矮灌丛植被可在板下及板间继续生长，与项目建设前区域植被类型的变化不大；而项目箱变及分支箱基础、集电线路杆塔、升压站等少量永久占地面积较小，所造成的各类植被面积及植物个体数量的永久减少规模较小，且属于分散零星占用，对区域生态系统的影响不大。</w:t>
            </w:r>
            <w:r>
              <w:rPr>
                <w:rFonts w:hint="eastAsia" w:ascii="宋体" w:hAnsi="宋体" w:cs="宋体"/>
                <w:color w:val="auto"/>
                <w:kern w:val="0"/>
                <w:sz w:val="24"/>
              </w:rPr>
              <w:t>且光伏电站建设后将采取严格的水土保持措施和植被恢复措施，恢复周边植被，对于防止生态环境荒漠化及区域水土保持是有益的，故本工程的建设与《云南省生态功能区划》中的保护措施与发展方向是一致的。</w:t>
            </w:r>
          </w:p>
          <w:p>
            <w:pPr>
              <w:autoSpaceDE w:val="0"/>
              <w:autoSpaceDN w:val="0"/>
              <w:adjustRightInd w:val="0"/>
              <w:snapToGrid w:val="0"/>
              <w:spacing w:line="360" w:lineRule="auto"/>
              <w:rPr>
                <w:rFonts w:hint="eastAsia"/>
                <w:b/>
                <w:bCs/>
                <w:color w:val="auto"/>
                <w:kern w:val="0"/>
                <w:sz w:val="24"/>
              </w:rPr>
            </w:pPr>
            <w:r>
              <w:rPr>
                <w:rFonts w:hint="eastAsia" w:ascii="宋体" w:hAnsi="宋体" w:cs="宋体"/>
                <w:b/>
                <w:bCs/>
                <w:color w:val="auto"/>
                <w:kern w:val="0"/>
                <w:sz w:val="24"/>
              </w:rPr>
              <w:t>6</w:t>
            </w:r>
            <w:r>
              <w:rPr>
                <w:rFonts w:hint="eastAsia"/>
                <w:b/>
                <w:bCs/>
                <w:color w:val="auto"/>
                <w:kern w:val="0"/>
                <w:sz w:val="24"/>
              </w:rPr>
              <w:t>、项目与《云南省生物多样性保护战略行动计划（2010-2030）》相符性</w:t>
            </w:r>
          </w:p>
          <w:p>
            <w:pPr>
              <w:autoSpaceDE w:val="0"/>
              <w:autoSpaceDN w:val="0"/>
              <w:adjustRightInd w:val="0"/>
              <w:snapToGrid w:val="0"/>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为进一步加强云南省生物多样性保护工作，积极推进生态文明建设，云南省生物多样性保护联席会议组织编制了《云南省生物多样性保护战略行动计划（2010-2030）》，划定了生物多样性保护的6个优先区域，提出了9大保护优先领域和34项行动。本项目场址不属于《云南省生物多样性保护战略行动计划（2010-2030）》生物多样性保护的6个优先区域，因此，项目建设与云南省生物多样性保护战略行动计划（2010-2030）不冲突。</w:t>
            </w:r>
          </w:p>
          <w:p>
            <w:pPr>
              <w:autoSpaceDE w:val="0"/>
              <w:autoSpaceDN w:val="0"/>
              <w:spacing w:line="360" w:lineRule="auto"/>
              <w:rPr>
                <w:b/>
                <w:bCs/>
                <w:color w:val="auto"/>
                <w:kern w:val="0"/>
                <w:sz w:val="24"/>
              </w:rPr>
            </w:pPr>
            <w:r>
              <w:rPr>
                <w:rFonts w:hint="eastAsia"/>
                <w:b/>
                <w:bCs/>
                <w:color w:val="auto"/>
                <w:kern w:val="0"/>
                <w:sz w:val="24"/>
              </w:rPr>
              <w:t>7、与国家、云南省能源局关于支持光伏扶贫和规范光伏发电产业用地的意见的符合性</w:t>
            </w:r>
          </w:p>
          <w:p>
            <w:pPr>
              <w:autoSpaceDE w:val="0"/>
              <w:autoSpaceDN w:val="0"/>
              <w:spacing w:line="360" w:lineRule="auto"/>
              <w:ind w:firstLine="480" w:firstLineChars="200"/>
              <w:rPr>
                <w:color w:val="auto"/>
                <w:kern w:val="0"/>
                <w:sz w:val="24"/>
              </w:rPr>
            </w:pPr>
            <w:r>
              <w:rPr>
                <w:rFonts w:hint="eastAsia"/>
                <w:color w:val="auto"/>
                <w:kern w:val="0"/>
                <w:sz w:val="24"/>
              </w:rPr>
              <w:t>根据《国家能源局关于支持光伏扶贫和规范光伏发电产业用地的意见》（国土资规(2017)8号）的要求，“各地应当依据国家光伏产业发展规划和本地区实际，加快编制本地区光伏发电规划，合理布局光伏发电建设项目。光伏发电规划应符合土地利用总体规划等相关规划，可以利用未利用地的，不得占用农用地；可以利用劣地的，不得占用好地。禁止以任何方式占用永久基本农田，严禁在国家相关法律法规和规划明确禁止的区域发展光伏发电项目”。</w:t>
            </w:r>
          </w:p>
          <w:p>
            <w:pPr>
              <w:autoSpaceDE w:val="0"/>
              <w:autoSpaceDN w:val="0"/>
              <w:spacing w:line="360" w:lineRule="auto"/>
              <w:ind w:firstLine="480" w:firstLineChars="200"/>
              <w:rPr>
                <w:color w:val="auto"/>
                <w:kern w:val="0"/>
                <w:sz w:val="24"/>
              </w:rPr>
            </w:pPr>
            <w:r>
              <w:rPr>
                <w:rFonts w:hint="eastAsia"/>
                <w:color w:val="auto"/>
                <w:kern w:val="0"/>
                <w:sz w:val="24"/>
              </w:rPr>
              <w:t>“对使用永久基本农田以外的农用地开展光伏复合项目建设的，省级能源、国土资源主管部门商同级有关部门，在保障农用地可持续利用的前提下，研究提出本地区光伏复合项目建设要求（含光伏方阵架设高度）、认定标准，并明确监管措施，避免对农业生产造成影响。其中对于使用永久基本农田以外的耕地布设光伏方阵的情形，应当从严提出要求，除桩基用地外，严禁硬化地面、破坏耕作层，严禁抛荒、撂荒”。</w:t>
            </w:r>
          </w:p>
          <w:p>
            <w:pPr>
              <w:autoSpaceDE w:val="0"/>
              <w:autoSpaceDN w:val="0"/>
              <w:spacing w:line="360" w:lineRule="auto"/>
              <w:ind w:firstLine="480" w:firstLineChars="200"/>
              <w:rPr>
                <w:color w:val="auto"/>
                <w:kern w:val="0"/>
                <w:sz w:val="24"/>
              </w:rPr>
            </w:pPr>
            <w:r>
              <w:rPr>
                <w:rFonts w:hint="eastAsia"/>
                <w:color w:val="auto"/>
                <w:kern w:val="0"/>
                <w:sz w:val="24"/>
              </w:rPr>
              <w:t>根据《云南省能源局关于进一步支持光伏扶贫和规范光伏发电产业用地的通知》（云自然资[2019]196号），“光伏复合项目指架设在一般耕地或其他农用地上的光伏方阵用地，满足光伏组件最低沿高于地面2.5m、高于最高水位0.6m，桩基间列间距大于4m、行间距大于6.5m的架设要求，不破坏农业生产条件的可不改变原用地性质，除桩基用地外，严禁硬化地面、破坏耕作层，严禁抛荒、撂荒。采用直埋电缆方式敷设的集电线路用地，实行与项目光伏方阵用地同样的管理方式，场内道路可按农村道路用地管理。变电站、运行管理中心、集电线路杆塔基础等其他设施用地按建设用地管理”。</w:t>
            </w:r>
          </w:p>
          <w:p>
            <w:pPr>
              <w:autoSpaceDE w:val="0"/>
              <w:autoSpaceDN w:val="0"/>
              <w:spacing w:line="360" w:lineRule="auto"/>
              <w:ind w:firstLine="482" w:firstLineChars="200"/>
              <w:rPr>
                <w:color w:val="auto"/>
                <w:kern w:val="0"/>
                <w:sz w:val="24"/>
              </w:rPr>
            </w:pPr>
            <w:r>
              <w:rPr>
                <w:rFonts w:hint="eastAsia"/>
                <w:b/>
                <w:bCs/>
                <w:color w:val="auto"/>
                <w:kern w:val="0"/>
                <w:sz w:val="24"/>
              </w:rPr>
              <w:t>符合性分析：</w:t>
            </w:r>
            <w:r>
              <w:rPr>
                <w:rFonts w:hint="eastAsia"/>
                <w:color w:val="auto"/>
                <w:kern w:val="0"/>
                <w:sz w:val="24"/>
              </w:rPr>
              <w:t>项目建设主要选取荒山坡地布置，仅局部少量占用部分果园及耕地，属于耕作条件相对较差的坡耕地，经元谋县自然资源局查询并出具选址意见，不占永久基本农田。同时根据元谋县自然资源局、元谋县林草局等主管部门的选址意见，项目也不占用生态保护红线、自然保护区、风景名胜区等国家相关法律法规和规划明确禁止的区域，同意项目选址。</w:t>
            </w:r>
          </w:p>
          <w:p>
            <w:pPr>
              <w:autoSpaceDE w:val="0"/>
              <w:autoSpaceDN w:val="0"/>
              <w:adjustRightInd w:val="0"/>
              <w:snapToGrid w:val="0"/>
              <w:spacing w:line="360" w:lineRule="auto"/>
              <w:ind w:firstLine="480" w:firstLineChars="200"/>
              <w:rPr>
                <w:rFonts w:hint="eastAsia" w:ascii="宋体" w:hAnsi="宋体" w:cs="宋体"/>
                <w:color w:val="auto"/>
                <w:kern w:val="0"/>
                <w:sz w:val="24"/>
              </w:rPr>
            </w:pPr>
            <w:r>
              <w:rPr>
                <w:rFonts w:hint="eastAsia"/>
                <w:color w:val="auto"/>
                <w:kern w:val="0"/>
                <w:sz w:val="24"/>
              </w:rPr>
              <w:t>项目按复合型光伏电站设计，光伏阵列架设除桩基外，地面不做硬化。对于架设在农用地上的阵列，要求严格按“最低沿高于地面2.5m、高于最高水位0.6m，桩基间列间距大于4m、行间距大于6.5m”的规定执行；阵列架设完成后及时完成组件下方土地的覆土复垦，恢复农业生产条件，积极推进复耕，严禁破坏耕作层，严禁抛荒、撂荒。箱变及分支箱基础、集电线路杆塔塔基、升压站等永久占地应严格按照《光伏发电站工程项目用地控制指标》要求控制，并依法依规办理建设用地手续。通过落实上述措施，项目建设符合《国家能源局关于支持光伏扶贫和规范光伏发电产业用地的意见》（国土资规(2017)8号）及《云南省能源局关于进一步支持光伏扶贫和规范光伏发电产业用地的通知》（云自然资[2019]196 号）的要求。</w:t>
            </w:r>
          </w:p>
          <w:p>
            <w:pPr>
              <w:autoSpaceDE w:val="0"/>
              <w:autoSpaceDN w:val="0"/>
              <w:spacing w:line="360" w:lineRule="auto"/>
              <w:rPr>
                <w:b/>
                <w:bCs/>
                <w:color w:val="auto"/>
                <w:kern w:val="0"/>
                <w:sz w:val="24"/>
              </w:rPr>
            </w:pPr>
            <w:r>
              <w:rPr>
                <w:b/>
                <w:bCs/>
                <w:color w:val="auto"/>
                <w:kern w:val="0"/>
                <w:sz w:val="24"/>
              </w:rPr>
              <w:t>8</w:t>
            </w:r>
            <w:r>
              <w:rPr>
                <w:rFonts w:hint="eastAsia"/>
                <w:b/>
                <w:bCs/>
                <w:color w:val="auto"/>
                <w:kern w:val="0"/>
                <w:sz w:val="24"/>
              </w:rPr>
              <w:t>、与光伏项目使用林草地相关规定的符合性分析</w:t>
            </w:r>
          </w:p>
          <w:p>
            <w:pPr>
              <w:autoSpaceDE w:val="0"/>
              <w:autoSpaceDN w:val="0"/>
              <w:spacing w:line="360" w:lineRule="auto"/>
              <w:ind w:firstLine="480" w:firstLineChars="200"/>
              <w:rPr>
                <w:color w:val="auto"/>
                <w:kern w:val="0"/>
                <w:sz w:val="24"/>
              </w:rPr>
            </w:pPr>
            <w:r>
              <w:rPr>
                <w:rFonts w:hint="eastAsia"/>
                <w:color w:val="auto"/>
                <w:kern w:val="0"/>
                <w:sz w:val="24"/>
              </w:rPr>
              <w:t>根据《国家林业局关于光伏电站建设使用林地有关问题的通知》（林资发〔</w:t>
            </w:r>
            <w:r>
              <w:rPr>
                <w:color w:val="auto"/>
                <w:kern w:val="0"/>
                <w:sz w:val="24"/>
              </w:rPr>
              <w:t>2015</w:t>
            </w:r>
            <w:r>
              <w:rPr>
                <w:rFonts w:hint="eastAsia"/>
                <w:color w:val="auto"/>
                <w:kern w:val="0"/>
                <w:sz w:val="24"/>
              </w:rPr>
              <w:t>〕</w:t>
            </w:r>
            <w:r>
              <w:rPr>
                <w:color w:val="auto"/>
                <w:kern w:val="0"/>
                <w:sz w:val="24"/>
              </w:rPr>
              <w:t>153</w:t>
            </w:r>
            <w:r>
              <w:rPr>
                <w:rFonts w:hint="eastAsia"/>
                <w:color w:val="auto"/>
                <w:kern w:val="0"/>
                <w:sz w:val="24"/>
              </w:rPr>
              <w:t>号）、《云南省林业和草原局 云南省能源局关于进一步规范光伏复合项目使用林草地有关事项的通知》（云林规〔</w:t>
            </w:r>
            <w:r>
              <w:rPr>
                <w:color w:val="auto"/>
                <w:kern w:val="0"/>
                <w:sz w:val="24"/>
              </w:rPr>
              <w:t>2021</w:t>
            </w:r>
            <w:r>
              <w:rPr>
                <w:rFonts w:hint="eastAsia"/>
                <w:color w:val="auto"/>
                <w:kern w:val="0"/>
                <w:sz w:val="24"/>
              </w:rPr>
              <w:t>〕5 号）：</w:t>
            </w:r>
          </w:p>
          <w:p>
            <w:pPr>
              <w:autoSpaceDE w:val="0"/>
              <w:autoSpaceDN w:val="0"/>
              <w:spacing w:line="360" w:lineRule="auto"/>
              <w:ind w:firstLine="480" w:firstLineChars="200"/>
              <w:rPr>
                <w:color w:val="auto"/>
                <w:kern w:val="0"/>
                <w:sz w:val="24"/>
              </w:rPr>
            </w:pPr>
            <w:r>
              <w:rPr>
                <w:rFonts w:hint="eastAsia"/>
                <w:color w:val="auto"/>
                <w:kern w:val="0"/>
                <w:sz w:val="24"/>
              </w:rPr>
              <w:t>“光伏复合项目禁止在国家公园、自然保护区、森林公园、风景名胜区、草原公园等各类自然保护地，世界自然遗产地，野生动物重要栖息地，珍稀濒危和极小种群野生植物重要原生境，天然林保护重点区域、基本草原以及生态保护红线内建设。”</w:t>
            </w:r>
          </w:p>
          <w:p>
            <w:pPr>
              <w:autoSpaceDE w:val="0"/>
              <w:autoSpaceDN w:val="0"/>
              <w:spacing w:line="360" w:lineRule="auto"/>
              <w:ind w:firstLine="480" w:firstLineChars="200"/>
              <w:rPr>
                <w:color w:val="auto"/>
                <w:kern w:val="0"/>
                <w:sz w:val="24"/>
              </w:rPr>
            </w:pPr>
            <w:r>
              <w:rPr>
                <w:rFonts w:hint="eastAsia"/>
                <w:color w:val="auto"/>
                <w:kern w:val="0"/>
                <w:sz w:val="24"/>
              </w:rPr>
              <w:t>“光伏复合项目的生产区（包括升压站、配电室、控制室、新建进场道路、新建场内检修道路、集电线路塔基等）、生活区（包括办公、住宿、食堂、活动场所、仓库等附属设施），禁止使用天然乔木林地；施工期临时设置的弃渣场、取土场、砂石场、堆料场、拌合站、工棚、临时施工道路等，禁止使用乔木林地；电池组件阵列禁止使用有林地、疏林地、未成林造林地、采伐迹地、火烧迹地，以及年降雨量400毫米以下区域覆盖度高于30%的灌木林地和年降雨量400毫米以上区域覆盖度高于50%的灌木林地。”</w:t>
            </w:r>
          </w:p>
          <w:p>
            <w:pPr>
              <w:autoSpaceDE w:val="0"/>
              <w:autoSpaceDN w:val="0"/>
              <w:spacing w:line="360" w:lineRule="auto"/>
              <w:ind w:firstLine="480" w:firstLineChars="200"/>
              <w:rPr>
                <w:color w:val="auto"/>
                <w:kern w:val="0"/>
                <w:sz w:val="24"/>
              </w:rPr>
            </w:pPr>
            <w:r>
              <w:rPr>
                <w:rFonts w:hint="eastAsia"/>
                <w:color w:val="auto"/>
                <w:kern w:val="0"/>
                <w:sz w:val="24"/>
              </w:rPr>
              <w:t>“利用森林资源调查确定为宜林地而第二次全国土地调查确定为未利用地的土地建设光伏电站的，用地范围应由当地林业、国土部门共同界定，保证按"林光互补"的用地模式和技术标准实施建设。”</w:t>
            </w:r>
          </w:p>
          <w:p>
            <w:pPr>
              <w:autoSpaceDE w:val="0"/>
              <w:autoSpaceDN w:val="0"/>
              <w:spacing w:line="360" w:lineRule="auto"/>
              <w:ind w:firstLine="480" w:firstLineChars="200"/>
              <w:rPr>
                <w:color w:val="auto"/>
                <w:kern w:val="0"/>
                <w:sz w:val="24"/>
              </w:rPr>
            </w:pPr>
            <w:r>
              <w:rPr>
                <w:rFonts w:hint="eastAsia"/>
                <w:color w:val="auto"/>
                <w:kern w:val="0"/>
                <w:sz w:val="24"/>
              </w:rPr>
              <w:t>“电池组件阵列区在设计方面应当尽可能节约集约使用林地，光伏板最低沿与地面距离不得低于 2.5m，电池组件阵列各排、列的布置间距应当符合《光伏电站设计规范》（GB 50797-2012）相关规定”</w:t>
            </w:r>
          </w:p>
          <w:p>
            <w:pPr>
              <w:autoSpaceDE w:val="0"/>
              <w:autoSpaceDN w:val="0"/>
              <w:spacing w:line="360" w:lineRule="auto"/>
              <w:ind w:firstLine="480" w:firstLineChars="200"/>
              <w:rPr>
                <w:color w:val="auto"/>
                <w:kern w:val="0"/>
                <w:sz w:val="24"/>
              </w:rPr>
            </w:pPr>
            <w:r>
              <w:rPr>
                <w:rFonts w:hint="eastAsia"/>
                <w:color w:val="auto"/>
                <w:kern w:val="0"/>
                <w:sz w:val="24"/>
              </w:rPr>
              <w:t>“光伏复合项目在满足正常运营的同时，须保证电池组件阵列下方不得改变林草地用途，不得裸露地表、硬化或作其他用途。”</w:t>
            </w:r>
          </w:p>
          <w:p>
            <w:pPr>
              <w:autoSpaceDE w:val="0"/>
              <w:autoSpaceDN w:val="0"/>
              <w:spacing w:line="360" w:lineRule="auto"/>
              <w:ind w:firstLine="482" w:firstLineChars="200"/>
              <w:rPr>
                <w:color w:val="auto"/>
                <w:kern w:val="0"/>
                <w:sz w:val="24"/>
                <w:highlight w:val="yellow"/>
              </w:rPr>
            </w:pPr>
            <w:r>
              <w:rPr>
                <w:rFonts w:hint="eastAsia"/>
                <w:b/>
                <w:bCs/>
                <w:color w:val="auto"/>
                <w:kern w:val="0"/>
                <w:sz w:val="24"/>
              </w:rPr>
              <w:t>符合性分析：</w:t>
            </w:r>
            <w:r>
              <w:rPr>
                <w:rFonts w:hint="eastAsia"/>
                <w:color w:val="auto"/>
                <w:kern w:val="0"/>
                <w:sz w:val="24"/>
              </w:rPr>
              <w:t>项目区距元谋土林州级自然保护区最近处直线距离</w:t>
            </w:r>
            <w:r>
              <w:rPr>
                <w:rFonts w:hint="eastAsia"/>
                <w:color w:val="auto"/>
                <w:kern w:val="0"/>
                <w:sz w:val="24"/>
                <w:lang w:val="en-US" w:eastAsia="zh-CN"/>
              </w:rPr>
              <w:t>91</w:t>
            </w:r>
            <w:r>
              <w:rPr>
                <w:rFonts w:hint="eastAsia"/>
                <w:color w:val="auto"/>
                <w:kern w:val="0"/>
                <w:sz w:val="24"/>
              </w:rPr>
              <w:t>60</w:t>
            </w:r>
            <w:r>
              <w:rPr>
                <w:color w:val="auto"/>
                <w:kern w:val="0"/>
                <w:sz w:val="24"/>
              </w:rPr>
              <w:t>m</w:t>
            </w:r>
            <w:r>
              <w:rPr>
                <w:rFonts w:hint="eastAsia"/>
                <w:color w:val="auto"/>
                <w:kern w:val="0"/>
                <w:sz w:val="24"/>
              </w:rPr>
              <w:t>，距元谋省级风景名胜区物茂土林片区最近处直线距离约</w:t>
            </w:r>
            <w:r>
              <w:rPr>
                <w:rFonts w:hint="eastAsia"/>
                <w:color w:val="auto"/>
                <w:kern w:val="0"/>
                <w:sz w:val="24"/>
                <w:lang w:val="en-US" w:eastAsia="zh-CN"/>
              </w:rPr>
              <w:t>8000</w:t>
            </w:r>
            <w:r>
              <w:rPr>
                <w:color w:val="auto"/>
                <w:kern w:val="0"/>
                <w:sz w:val="24"/>
              </w:rPr>
              <w:t>m</w:t>
            </w:r>
            <w:r>
              <w:rPr>
                <w:rFonts w:hint="eastAsia"/>
                <w:color w:val="auto"/>
                <w:kern w:val="0"/>
                <w:sz w:val="24"/>
              </w:rPr>
              <w:t>，各类永久、临时设施不占用自然保护区及风景名胜区范围；此外项目也不占用生态保护红线，不涉及国家公园、森林公园、草原公园等其余各类自然保护地，不涉及世界自然遗产地，野生动物重要栖息地，珍稀濒危和极小种群野生植物重要原生境，天然林保护重点区域、基本草原等禁止建设区域。经现场调查，项目除局部占用园地和坡耕地外，用地区域现状以草地为主，零星分布车桑子、余甘子等灌木，覆盖度低。根据元谋县林业和草原局</w:t>
            </w:r>
            <w:r>
              <w:rPr>
                <w:rFonts w:hint="eastAsia"/>
                <w:color w:val="auto"/>
                <w:kern w:val="0"/>
                <w:sz w:val="24"/>
                <w:lang w:val="en-US" w:eastAsia="zh-CN"/>
              </w:rPr>
              <w:t>的《使用林地审核同意书</w:t>
            </w:r>
            <w:r>
              <w:rPr>
                <w:rFonts w:hint="eastAsia"/>
                <w:color w:val="auto"/>
                <w:kern w:val="0"/>
                <w:sz w:val="24"/>
              </w:rPr>
              <w:t>》（附件</w:t>
            </w:r>
            <w:r>
              <w:rPr>
                <w:rFonts w:hint="eastAsia"/>
                <w:color w:val="auto"/>
                <w:kern w:val="0"/>
                <w:sz w:val="24"/>
                <w:lang w:val="en-US" w:eastAsia="zh-CN"/>
              </w:rPr>
              <w:t>6</w:t>
            </w:r>
            <w:r>
              <w:rPr>
                <w:rFonts w:hint="eastAsia"/>
                <w:color w:val="auto"/>
                <w:kern w:val="0"/>
                <w:sz w:val="24"/>
              </w:rPr>
              <w:t>）：项目选址严格按照《国家林业局关于光伏电站建设使用林地有关问题的通知》（林资发〔</w:t>
            </w:r>
            <w:r>
              <w:rPr>
                <w:color w:val="auto"/>
                <w:kern w:val="0"/>
                <w:sz w:val="24"/>
              </w:rPr>
              <w:t>2015</w:t>
            </w:r>
            <w:r>
              <w:rPr>
                <w:rFonts w:hint="eastAsia"/>
                <w:color w:val="auto"/>
                <w:kern w:val="0"/>
                <w:sz w:val="24"/>
              </w:rPr>
              <w:t>〕</w:t>
            </w:r>
            <w:r>
              <w:rPr>
                <w:color w:val="auto"/>
                <w:kern w:val="0"/>
                <w:sz w:val="24"/>
              </w:rPr>
              <w:t>153</w:t>
            </w:r>
            <w:r>
              <w:rPr>
                <w:rFonts w:hint="eastAsia"/>
                <w:color w:val="auto"/>
                <w:kern w:val="0"/>
                <w:sz w:val="24"/>
              </w:rPr>
              <w:t>号）、《云南省林业和草原局 云南省能源局关于进一步规范光伏复合项目使用林草地有关事项的通知》（云林规〔</w:t>
            </w:r>
            <w:r>
              <w:rPr>
                <w:color w:val="auto"/>
                <w:kern w:val="0"/>
                <w:sz w:val="24"/>
              </w:rPr>
              <w:t>2021</w:t>
            </w:r>
            <w:r>
              <w:rPr>
                <w:rFonts w:hint="eastAsia"/>
                <w:color w:val="auto"/>
                <w:kern w:val="0"/>
                <w:sz w:val="24"/>
              </w:rPr>
              <w:t>〕5 号）要求执行，拟同意项目选址。此外项目现已同步开展林地使用可行性研究调查，进一步对占用林草地情况进行详细复核，将在取得林地使用许可后，严格按照许可范围开展建设。</w:t>
            </w:r>
          </w:p>
          <w:p>
            <w:pPr>
              <w:autoSpaceDE w:val="0"/>
              <w:autoSpaceDN w:val="0"/>
              <w:spacing w:line="360" w:lineRule="auto"/>
              <w:ind w:firstLine="480" w:firstLineChars="200"/>
              <w:rPr>
                <w:color w:val="auto"/>
                <w:kern w:val="0"/>
                <w:sz w:val="24"/>
              </w:rPr>
            </w:pPr>
            <w:r>
              <w:rPr>
                <w:rFonts w:hint="eastAsia"/>
                <w:color w:val="auto"/>
                <w:kern w:val="0"/>
                <w:sz w:val="24"/>
              </w:rPr>
              <w:t>本项目采取复合式光伏电站的开发模式，光伏阵列架设除桩基外不对地面进行硬化，组件下土地不改变原用途；对于架设在林草地上的方阵，要求按“光伏板最低沿与地面距离不低于2.5m，排、列布置间距符合《光伏电站设计规范》（GB 50797-2012）”的规定执行。</w:t>
            </w:r>
          </w:p>
          <w:p>
            <w:pPr>
              <w:autoSpaceDE w:val="0"/>
              <w:autoSpaceDN w:val="0"/>
              <w:spacing w:line="360" w:lineRule="auto"/>
              <w:ind w:firstLine="480" w:firstLineChars="200"/>
              <w:rPr>
                <w:color w:val="auto"/>
                <w:kern w:val="0"/>
                <w:sz w:val="24"/>
              </w:rPr>
            </w:pPr>
            <w:r>
              <w:rPr>
                <w:rFonts w:hint="eastAsia"/>
                <w:color w:val="auto"/>
                <w:kern w:val="0"/>
                <w:sz w:val="24"/>
              </w:rPr>
              <w:t>根据建设单位介绍，项目已按“云林规〔</w:t>
            </w:r>
            <w:r>
              <w:rPr>
                <w:color w:val="auto"/>
                <w:kern w:val="0"/>
                <w:sz w:val="24"/>
              </w:rPr>
              <w:t>2021</w:t>
            </w:r>
            <w:r>
              <w:rPr>
                <w:rFonts w:hint="eastAsia"/>
                <w:color w:val="auto"/>
                <w:kern w:val="0"/>
                <w:sz w:val="24"/>
              </w:rPr>
              <w:t>〕5 号”要求，开始进行《光伏复合项目使用林草地植被保护方案》的制定。工程建设过程中应严格开展植被保护，尽量保留原有植被，项目建设完成后，及时完成扰动区域及临时用地区域的复垦及植被恢复养护。</w:t>
            </w:r>
          </w:p>
          <w:p>
            <w:pPr>
              <w:autoSpaceDE w:val="0"/>
              <w:autoSpaceDN w:val="0"/>
              <w:adjustRightInd w:val="0"/>
              <w:snapToGrid w:val="0"/>
              <w:spacing w:line="360" w:lineRule="auto"/>
              <w:ind w:firstLine="480" w:firstLineChars="200"/>
              <w:rPr>
                <w:rFonts w:hint="eastAsia" w:ascii="宋体" w:hAnsi="宋体" w:cs="宋体"/>
                <w:b/>
                <w:bCs/>
                <w:color w:val="auto"/>
                <w:kern w:val="0"/>
                <w:sz w:val="24"/>
              </w:rPr>
            </w:pPr>
            <w:r>
              <w:rPr>
                <w:rFonts w:hint="eastAsia"/>
                <w:color w:val="auto"/>
                <w:kern w:val="0"/>
                <w:sz w:val="24"/>
              </w:rPr>
              <w:t>综上，项目建设符合《国家林业局关于光伏电站建设使用林地有关问题的通知》(林资发〔</w:t>
            </w:r>
            <w:r>
              <w:rPr>
                <w:color w:val="auto"/>
                <w:kern w:val="0"/>
                <w:sz w:val="24"/>
              </w:rPr>
              <w:t>2015</w:t>
            </w:r>
            <w:r>
              <w:rPr>
                <w:rFonts w:hint="eastAsia"/>
                <w:color w:val="auto"/>
                <w:kern w:val="0"/>
                <w:sz w:val="24"/>
              </w:rPr>
              <w:t>〕</w:t>
            </w:r>
            <w:r>
              <w:rPr>
                <w:color w:val="auto"/>
                <w:kern w:val="0"/>
                <w:sz w:val="24"/>
              </w:rPr>
              <w:t>153</w:t>
            </w:r>
            <w:r>
              <w:rPr>
                <w:rFonts w:hint="eastAsia"/>
                <w:color w:val="auto"/>
                <w:kern w:val="0"/>
                <w:sz w:val="24"/>
              </w:rPr>
              <w:t>号)、《云南省林业和草原局 云南省能源局关于进一步规范光伏复合项目使用林草地有关事项的通知》(云林规〔</w:t>
            </w:r>
            <w:r>
              <w:rPr>
                <w:color w:val="auto"/>
                <w:kern w:val="0"/>
                <w:sz w:val="24"/>
              </w:rPr>
              <w:t>2021</w:t>
            </w:r>
            <w:r>
              <w:rPr>
                <w:rFonts w:hint="eastAsia"/>
                <w:color w:val="auto"/>
                <w:kern w:val="0"/>
                <w:sz w:val="24"/>
              </w:rPr>
              <w:t>〕5号)要求。</w:t>
            </w:r>
          </w:p>
          <w:p>
            <w:pPr>
              <w:autoSpaceDE w:val="0"/>
              <w:autoSpaceDN w:val="0"/>
              <w:spacing w:line="360" w:lineRule="auto"/>
              <w:rPr>
                <w:b/>
                <w:bCs/>
                <w:color w:val="auto"/>
                <w:kern w:val="0"/>
                <w:sz w:val="24"/>
              </w:rPr>
            </w:pPr>
            <w:r>
              <w:rPr>
                <w:rFonts w:hint="eastAsia"/>
                <w:b/>
                <w:bCs/>
                <w:color w:val="auto"/>
                <w:kern w:val="0"/>
                <w:sz w:val="24"/>
              </w:rPr>
              <w:t>9、与《输变电建设项目环境保护技术要求》符合性分析</w:t>
            </w:r>
          </w:p>
          <w:p>
            <w:pPr>
              <w:autoSpaceDE w:val="0"/>
              <w:autoSpaceDN w:val="0"/>
              <w:spacing w:line="360" w:lineRule="auto"/>
              <w:ind w:firstLine="480" w:firstLineChars="200"/>
              <w:rPr>
                <w:color w:val="auto"/>
                <w:kern w:val="0"/>
                <w:sz w:val="24"/>
              </w:rPr>
            </w:pPr>
            <w:r>
              <w:rPr>
                <w:rFonts w:hint="eastAsia"/>
                <w:color w:val="auto"/>
                <w:kern w:val="0"/>
                <w:sz w:val="24"/>
              </w:rPr>
              <w:t>根据《输变电建设项目环境保护技术要求》（HJ</w:t>
            </w:r>
            <w:r>
              <w:rPr>
                <w:color w:val="auto"/>
                <w:kern w:val="0"/>
                <w:sz w:val="24"/>
              </w:rPr>
              <w:t>1113-2020</w:t>
            </w:r>
            <w:r>
              <w:rPr>
                <w:rFonts w:hint="eastAsia"/>
                <w:color w:val="auto"/>
                <w:kern w:val="0"/>
                <w:sz w:val="24"/>
              </w:rPr>
              <w:t>），本次项目范围内的</w:t>
            </w:r>
            <w:r>
              <w:rPr>
                <w:rFonts w:hint="eastAsia"/>
                <w:color w:val="auto"/>
                <w:kern w:val="0"/>
                <w:sz w:val="24"/>
                <w:lang w:val="en-US" w:eastAsia="zh-CN"/>
              </w:rPr>
              <w:t>11</w:t>
            </w:r>
            <w:r>
              <w:rPr>
                <w:color w:val="auto"/>
                <w:kern w:val="0"/>
                <w:sz w:val="24"/>
              </w:rPr>
              <w:t>0kV</w:t>
            </w:r>
            <w:r>
              <w:rPr>
                <w:rFonts w:hint="eastAsia"/>
                <w:color w:val="auto"/>
                <w:kern w:val="0"/>
                <w:sz w:val="24"/>
              </w:rPr>
              <w:t>升压站及3</w:t>
            </w:r>
            <w:r>
              <w:rPr>
                <w:color w:val="auto"/>
                <w:kern w:val="0"/>
                <w:sz w:val="24"/>
              </w:rPr>
              <w:t>5kV</w:t>
            </w:r>
            <w:r>
              <w:rPr>
                <w:rFonts w:hint="eastAsia"/>
                <w:color w:val="auto"/>
                <w:kern w:val="0"/>
                <w:sz w:val="24"/>
              </w:rPr>
              <w:t>集电线路环保措施与技术要求的符合性分析如下：</w:t>
            </w:r>
          </w:p>
          <w:p>
            <w:pPr>
              <w:autoSpaceDE w:val="0"/>
              <w:autoSpaceDN w:val="0"/>
              <w:spacing w:line="360" w:lineRule="auto"/>
              <w:jc w:val="center"/>
              <w:rPr>
                <w:b/>
                <w:bCs/>
                <w:color w:val="auto"/>
                <w:kern w:val="0"/>
                <w:sz w:val="24"/>
              </w:rPr>
            </w:pPr>
            <w:r>
              <w:rPr>
                <w:rFonts w:hint="eastAsia"/>
                <w:b/>
                <w:bCs/>
                <w:color w:val="auto"/>
                <w:kern w:val="0"/>
                <w:sz w:val="24"/>
              </w:rPr>
              <w:t>表1</w:t>
            </w:r>
            <w:r>
              <w:rPr>
                <w:b/>
                <w:bCs/>
                <w:color w:val="auto"/>
                <w:kern w:val="0"/>
                <w:sz w:val="24"/>
              </w:rPr>
              <w:t xml:space="preserve">-7   </w:t>
            </w:r>
            <w:r>
              <w:rPr>
                <w:rFonts w:hint="eastAsia"/>
                <w:b/>
                <w:bCs/>
                <w:color w:val="auto"/>
                <w:kern w:val="0"/>
                <w:sz w:val="24"/>
              </w:rPr>
              <w:t>项目与《输变电建设项目环境保护技术要求》符合性</w:t>
            </w:r>
          </w:p>
          <w:tbl>
            <w:tblPr>
              <w:tblStyle w:val="18"/>
              <w:tblW w:w="4998"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3439"/>
              <w:gridCol w:w="2889"/>
              <w:gridCol w:w="117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334" w:hRule="atLeast"/>
                <w:jc w:val="center"/>
              </w:trPr>
              <w:tc>
                <w:tcPr>
                  <w:tcW w:w="279" w:type="pct"/>
                  <w:noWrap w:val="0"/>
                  <w:vAlign w:val="center"/>
                </w:tcPr>
                <w:p>
                  <w:pPr>
                    <w:autoSpaceDE w:val="0"/>
                    <w:autoSpaceDN w:val="0"/>
                    <w:adjustRightInd w:val="0"/>
                    <w:snapToGrid w:val="0"/>
                    <w:jc w:val="center"/>
                    <w:rPr>
                      <w:b/>
                      <w:bCs/>
                      <w:color w:val="auto"/>
                      <w:kern w:val="0"/>
                      <w:szCs w:val="21"/>
                    </w:rPr>
                  </w:pPr>
                  <w:r>
                    <w:rPr>
                      <w:rFonts w:hint="eastAsia"/>
                      <w:b/>
                      <w:bCs/>
                      <w:color w:val="auto"/>
                      <w:kern w:val="0"/>
                      <w:szCs w:val="21"/>
                    </w:rPr>
                    <w:t>类别</w:t>
                  </w:r>
                </w:p>
              </w:tc>
              <w:tc>
                <w:tcPr>
                  <w:tcW w:w="2163" w:type="pct"/>
                  <w:noWrap w:val="0"/>
                  <w:vAlign w:val="center"/>
                </w:tcPr>
                <w:p>
                  <w:pPr>
                    <w:autoSpaceDE w:val="0"/>
                    <w:autoSpaceDN w:val="0"/>
                    <w:adjustRightInd w:val="0"/>
                    <w:snapToGrid w:val="0"/>
                    <w:jc w:val="center"/>
                    <w:rPr>
                      <w:b/>
                      <w:bCs/>
                      <w:color w:val="auto"/>
                      <w:kern w:val="0"/>
                      <w:szCs w:val="21"/>
                    </w:rPr>
                  </w:pPr>
                  <w:r>
                    <w:rPr>
                      <w:rFonts w:hint="eastAsia"/>
                      <w:b/>
                      <w:bCs/>
                      <w:color w:val="auto"/>
                      <w:kern w:val="0"/>
                      <w:szCs w:val="21"/>
                    </w:rPr>
                    <w:t>输变电建设项目环境保护技术要求</w:t>
                  </w:r>
                </w:p>
              </w:tc>
              <w:tc>
                <w:tcPr>
                  <w:tcW w:w="1817" w:type="pct"/>
                  <w:noWrap w:val="0"/>
                  <w:vAlign w:val="center"/>
                </w:tcPr>
                <w:p>
                  <w:pPr>
                    <w:autoSpaceDE w:val="0"/>
                    <w:autoSpaceDN w:val="0"/>
                    <w:adjustRightInd w:val="0"/>
                    <w:snapToGrid w:val="0"/>
                    <w:jc w:val="center"/>
                    <w:rPr>
                      <w:b/>
                      <w:bCs/>
                      <w:color w:val="auto"/>
                      <w:kern w:val="0"/>
                      <w:szCs w:val="21"/>
                    </w:rPr>
                  </w:pPr>
                  <w:r>
                    <w:rPr>
                      <w:rFonts w:hint="eastAsia"/>
                      <w:b/>
                      <w:bCs/>
                      <w:color w:val="auto"/>
                      <w:kern w:val="0"/>
                      <w:szCs w:val="21"/>
                    </w:rPr>
                    <w:t>项目情况</w:t>
                  </w:r>
                </w:p>
              </w:tc>
              <w:tc>
                <w:tcPr>
                  <w:tcW w:w="739" w:type="pct"/>
                  <w:noWrap w:val="0"/>
                  <w:vAlign w:val="center"/>
                </w:tcPr>
                <w:p>
                  <w:pPr>
                    <w:autoSpaceDE w:val="0"/>
                    <w:autoSpaceDN w:val="0"/>
                    <w:adjustRightInd w:val="0"/>
                    <w:snapToGrid w:val="0"/>
                    <w:jc w:val="center"/>
                    <w:rPr>
                      <w:b/>
                      <w:bCs/>
                      <w:color w:val="auto"/>
                      <w:kern w:val="0"/>
                      <w:szCs w:val="21"/>
                    </w:rPr>
                  </w:pPr>
                  <w:r>
                    <w:rPr>
                      <w:rFonts w:hint="eastAsia"/>
                      <w:b/>
                      <w:bCs/>
                      <w:color w:val="auto"/>
                      <w:kern w:val="0"/>
                      <w:szCs w:val="21"/>
                    </w:rPr>
                    <w:t>符合性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restart"/>
                  <w:noWrap w:val="0"/>
                  <w:vAlign w:val="center"/>
                </w:tcPr>
                <w:p>
                  <w:pPr>
                    <w:autoSpaceDE w:val="0"/>
                    <w:autoSpaceDN w:val="0"/>
                    <w:adjustRightInd w:val="0"/>
                    <w:snapToGrid w:val="0"/>
                    <w:jc w:val="center"/>
                    <w:rPr>
                      <w:color w:val="auto"/>
                      <w:kern w:val="0"/>
                      <w:szCs w:val="21"/>
                    </w:rPr>
                  </w:pPr>
                  <w:r>
                    <w:rPr>
                      <w:rFonts w:hint="eastAsia"/>
                      <w:color w:val="auto"/>
                      <w:kern w:val="0"/>
                      <w:szCs w:val="21"/>
                    </w:rPr>
                    <w:t>选址选线</w:t>
                  </w:r>
                </w:p>
              </w:tc>
              <w:tc>
                <w:tcPr>
                  <w:tcW w:w="2163" w:type="pct"/>
                  <w:noWrap w:val="0"/>
                  <w:vAlign w:val="center"/>
                </w:tcPr>
                <w:p>
                  <w:pPr>
                    <w:autoSpaceDE w:val="0"/>
                    <w:autoSpaceDN w:val="0"/>
                    <w:adjustRightInd w:val="0"/>
                    <w:snapToGrid w:val="0"/>
                    <w:rPr>
                      <w:color w:val="auto"/>
                      <w:kern w:val="0"/>
                      <w:szCs w:val="21"/>
                    </w:rPr>
                  </w:pPr>
                  <w:r>
                    <w:rPr>
                      <w:rFonts w:hint="eastAsia"/>
                      <w:color w:val="auto"/>
                      <w:kern w:val="0"/>
                      <w:szCs w:val="21"/>
                    </w:rPr>
                    <w:t>输变电建设项目选址选线应符合生态保护红线管控要求，避让自然保护区、饮用水水源保护区等环境敏感区。确实因自然条件等因素限制无法避让自然保护区实验区、饮用水水源二级保护区等环境敏感区的输电线路,应在满足相关法律法规及管理要求的前提下对线路方案进行唯一性论证，并采取无害化方式通过。</w:t>
                  </w:r>
                </w:p>
              </w:tc>
              <w:tc>
                <w:tcPr>
                  <w:tcW w:w="1817" w:type="pct"/>
                  <w:noWrap w:val="0"/>
                  <w:vAlign w:val="center"/>
                </w:tcPr>
                <w:p>
                  <w:pPr>
                    <w:autoSpaceDE w:val="0"/>
                    <w:autoSpaceDN w:val="0"/>
                    <w:adjustRightInd w:val="0"/>
                    <w:snapToGrid w:val="0"/>
                    <w:rPr>
                      <w:color w:val="auto"/>
                      <w:kern w:val="0"/>
                      <w:szCs w:val="21"/>
                    </w:rPr>
                  </w:pPr>
                  <w:r>
                    <w:rPr>
                      <w:rFonts w:hint="eastAsia"/>
                      <w:color w:val="auto"/>
                      <w:kern w:val="0"/>
                      <w:szCs w:val="21"/>
                    </w:rPr>
                    <w:t>本项目升压站、集电线路选址选线已避让周边生态保护红线、自然保护区、饮用水水源保护区等环境敏感区。经元谋县自然资源局、林草局、水务局查询，项目用地不占用生态保护红线、自然保护区，不涉及饮用水水源保护区范围。</w:t>
                  </w:r>
                </w:p>
              </w:tc>
              <w:tc>
                <w:tcPr>
                  <w:tcW w:w="739" w:type="pct"/>
                  <w:noWrap w:val="0"/>
                  <w:vAlign w:val="center"/>
                </w:tcPr>
                <w:p>
                  <w:pPr>
                    <w:autoSpaceDE w:val="0"/>
                    <w:autoSpaceDN w:val="0"/>
                    <w:adjustRightInd w:val="0"/>
                    <w:snapToGrid w:val="0"/>
                    <w:jc w:val="center"/>
                    <w:rPr>
                      <w:color w:val="auto"/>
                      <w:kern w:val="0"/>
                      <w:szCs w:val="21"/>
                    </w:rPr>
                  </w:pPr>
                  <w:r>
                    <w:rPr>
                      <w:rFonts w:hint="eastAsia"/>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continue"/>
                  <w:noWrap w:val="0"/>
                  <w:vAlign w:val="center"/>
                </w:tcPr>
                <w:p>
                  <w:pPr>
                    <w:autoSpaceDE w:val="0"/>
                    <w:autoSpaceDN w:val="0"/>
                    <w:adjustRightInd w:val="0"/>
                    <w:snapToGrid w:val="0"/>
                    <w:jc w:val="center"/>
                    <w:rPr>
                      <w:color w:val="auto"/>
                      <w:kern w:val="0"/>
                      <w:szCs w:val="21"/>
                    </w:rPr>
                  </w:pPr>
                </w:p>
              </w:tc>
              <w:tc>
                <w:tcPr>
                  <w:tcW w:w="2163" w:type="pct"/>
                  <w:noWrap w:val="0"/>
                  <w:vAlign w:val="center"/>
                </w:tcPr>
                <w:p>
                  <w:pPr>
                    <w:autoSpaceDE w:val="0"/>
                    <w:autoSpaceDN w:val="0"/>
                    <w:adjustRightInd w:val="0"/>
                    <w:snapToGrid w:val="0"/>
                    <w:rPr>
                      <w:color w:val="auto"/>
                      <w:kern w:val="0"/>
                      <w:szCs w:val="21"/>
                    </w:rPr>
                  </w:pPr>
                  <w:r>
                    <w:rPr>
                      <w:rFonts w:hint="eastAsia"/>
                      <w:color w:val="auto"/>
                      <w:kern w:val="0"/>
                      <w:szCs w:val="21"/>
                    </w:rPr>
                    <w:t>变电工程在选址时应按终期规模综合考虑进出线走廊规划，避免进出线进入自然保护区、饮用水水源保护区等环境敏感区。</w:t>
                  </w:r>
                </w:p>
              </w:tc>
              <w:tc>
                <w:tcPr>
                  <w:tcW w:w="1817" w:type="pct"/>
                  <w:noWrap w:val="0"/>
                  <w:vAlign w:val="center"/>
                </w:tcPr>
                <w:p>
                  <w:pPr>
                    <w:autoSpaceDE w:val="0"/>
                    <w:autoSpaceDN w:val="0"/>
                    <w:adjustRightInd w:val="0"/>
                    <w:snapToGrid w:val="0"/>
                    <w:rPr>
                      <w:color w:val="auto"/>
                      <w:kern w:val="0"/>
                      <w:szCs w:val="21"/>
                    </w:rPr>
                  </w:pPr>
                  <w:r>
                    <w:rPr>
                      <w:rFonts w:hint="eastAsia"/>
                      <w:color w:val="auto"/>
                      <w:kern w:val="0"/>
                      <w:szCs w:val="21"/>
                    </w:rPr>
                    <w:t>项目</w:t>
                  </w:r>
                  <w:r>
                    <w:rPr>
                      <w:rFonts w:hint="eastAsia"/>
                      <w:color w:val="auto"/>
                      <w:kern w:val="0"/>
                      <w:szCs w:val="21"/>
                      <w:lang w:val="en-US" w:eastAsia="zh-CN"/>
                    </w:rPr>
                    <w:t>11</w:t>
                  </w:r>
                  <w:r>
                    <w:rPr>
                      <w:color w:val="auto"/>
                      <w:kern w:val="0"/>
                      <w:szCs w:val="21"/>
                    </w:rPr>
                    <w:t>0kV</w:t>
                  </w:r>
                  <w:r>
                    <w:rPr>
                      <w:rFonts w:hint="eastAsia"/>
                      <w:color w:val="auto"/>
                      <w:kern w:val="0"/>
                      <w:szCs w:val="21"/>
                    </w:rPr>
                    <w:t>升压站、本次拟建集电线路不涉及自然保护区范围；</w:t>
                  </w:r>
                  <w:r>
                    <w:rPr>
                      <w:color w:val="auto"/>
                      <w:kern w:val="0"/>
                      <w:szCs w:val="21"/>
                    </w:rPr>
                    <w:t xml:space="preserve"> </w:t>
                  </w:r>
                </w:p>
              </w:tc>
              <w:tc>
                <w:tcPr>
                  <w:tcW w:w="739" w:type="pct"/>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continue"/>
                  <w:noWrap w:val="0"/>
                  <w:vAlign w:val="center"/>
                </w:tcPr>
                <w:p>
                  <w:pPr>
                    <w:autoSpaceDE w:val="0"/>
                    <w:autoSpaceDN w:val="0"/>
                    <w:adjustRightInd w:val="0"/>
                    <w:snapToGrid w:val="0"/>
                    <w:jc w:val="center"/>
                    <w:rPr>
                      <w:color w:val="auto"/>
                      <w:kern w:val="0"/>
                      <w:szCs w:val="21"/>
                    </w:rPr>
                  </w:pPr>
                </w:p>
              </w:tc>
              <w:tc>
                <w:tcPr>
                  <w:tcW w:w="2163" w:type="pct"/>
                  <w:noWrap w:val="0"/>
                  <w:vAlign w:val="center"/>
                </w:tcPr>
                <w:p>
                  <w:pPr>
                    <w:autoSpaceDE w:val="0"/>
                    <w:autoSpaceDN w:val="0"/>
                    <w:adjustRightInd w:val="0"/>
                    <w:snapToGrid w:val="0"/>
                    <w:rPr>
                      <w:color w:val="auto"/>
                      <w:kern w:val="0"/>
                      <w:szCs w:val="21"/>
                    </w:rPr>
                  </w:pPr>
                  <w:r>
                    <w:rPr>
                      <w:rFonts w:hint="eastAsia"/>
                      <w:color w:val="auto"/>
                      <w:kern w:val="0"/>
                      <w:szCs w:val="21"/>
                    </w:rPr>
                    <w:t>户外变电工程及规划架空进出线选址选线时，应关注以居住、医疗卫生、文化教育、科研、行政办公等为主要功能的区域，采取综合措施，减少电磁和声环境影响。</w:t>
                  </w:r>
                </w:p>
              </w:tc>
              <w:tc>
                <w:tcPr>
                  <w:tcW w:w="1817" w:type="pct"/>
                  <w:noWrap w:val="0"/>
                  <w:vAlign w:val="center"/>
                </w:tcPr>
                <w:p>
                  <w:pPr>
                    <w:autoSpaceDE w:val="0"/>
                    <w:autoSpaceDN w:val="0"/>
                    <w:adjustRightInd w:val="0"/>
                    <w:snapToGrid w:val="0"/>
                    <w:rPr>
                      <w:color w:val="auto"/>
                      <w:kern w:val="0"/>
                      <w:szCs w:val="21"/>
                    </w:rPr>
                  </w:pPr>
                  <w:r>
                    <w:rPr>
                      <w:rFonts w:hint="eastAsia"/>
                      <w:color w:val="auto"/>
                      <w:kern w:val="0"/>
                      <w:szCs w:val="21"/>
                    </w:rPr>
                    <w:t>项目</w:t>
                  </w:r>
                  <w:r>
                    <w:rPr>
                      <w:color w:val="auto"/>
                      <w:kern w:val="0"/>
                      <w:szCs w:val="21"/>
                    </w:rPr>
                    <w:t>升压站</w:t>
                  </w:r>
                  <w:r>
                    <w:rPr>
                      <w:rFonts w:hint="eastAsia"/>
                      <w:color w:val="auto"/>
                      <w:kern w:val="0"/>
                      <w:szCs w:val="21"/>
                    </w:rPr>
                    <w:t>周边、拟建3</w:t>
                  </w:r>
                  <w:r>
                    <w:rPr>
                      <w:color w:val="auto"/>
                      <w:kern w:val="0"/>
                      <w:szCs w:val="21"/>
                    </w:rPr>
                    <w:t>5kV</w:t>
                  </w:r>
                  <w:r>
                    <w:rPr>
                      <w:rFonts w:hint="eastAsia"/>
                      <w:color w:val="auto"/>
                      <w:kern w:val="0"/>
                      <w:szCs w:val="21"/>
                    </w:rPr>
                    <w:t>集电线路沿线</w:t>
                  </w:r>
                  <w:r>
                    <w:rPr>
                      <w:rFonts w:hint="eastAsia"/>
                      <w:color w:val="auto"/>
                      <w:kern w:val="0"/>
                      <w:szCs w:val="21"/>
                      <w:lang w:val="en-US" w:eastAsia="zh-CN"/>
                    </w:rPr>
                    <w:t>均已避开</w:t>
                  </w:r>
                  <w:r>
                    <w:rPr>
                      <w:rFonts w:hint="eastAsia"/>
                      <w:color w:val="auto"/>
                      <w:kern w:val="0"/>
                      <w:szCs w:val="21"/>
                    </w:rPr>
                    <w:t>保护目标，运行期电磁辐射、噪声对周边保护目标影响较小。</w:t>
                  </w:r>
                </w:p>
              </w:tc>
              <w:tc>
                <w:tcPr>
                  <w:tcW w:w="739" w:type="pct"/>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continue"/>
                  <w:noWrap w:val="0"/>
                  <w:vAlign w:val="center"/>
                </w:tcPr>
                <w:p>
                  <w:pPr>
                    <w:autoSpaceDE w:val="0"/>
                    <w:autoSpaceDN w:val="0"/>
                    <w:adjustRightInd w:val="0"/>
                    <w:snapToGrid w:val="0"/>
                    <w:jc w:val="center"/>
                    <w:rPr>
                      <w:color w:val="auto"/>
                      <w:kern w:val="0"/>
                      <w:szCs w:val="21"/>
                    </w:rPr>
                  </w:pPr>
                </w:p>
              </w:tc>
              <w:tc>
                <w:tcPr>
                  <w:tcW w:w="2163" w:type="pct"/>
                  <w:noWrap w:val="0"/>
                  <w:vAlign w:val="center"/>
                </w:tcPr>
                <w:p>
                  <w:pPr>
                    <w:autoSpaceDE w:val="0"/>
                    <w:autoSpaceDN w:val="0"/>
                    <w:adjustRightInd w:val="0"/>
                    <w:snapToGrid w:val="0"/>
                    <w:rPr>
                      <w:color w:val="auto"/>
                      <w:kern w:val="0"/>
                      <w:szCs w:val="21"/>
                    </w:rPr>
                  </w:pPr>
                  <w:r>
                    <w:rPr>
                      <w:rFonts w:hint="eastAsia"/>
                      <w:color w:val="auto"/>
                      <w:kern w:val="0"/>
                      <w:szCs w:val="21"/>
                    </w:rPr>
                    <w:t>同一走廊内的多回输电线路，宜采取同塔多回架设、并行架设等形式，减少新开辟走廊，优化线路走廊间距，降低环境影响。</w:t>
                  </w:r>
                </w:p>
              </w:tc>
              <w:tc>
                <w:tcPr>
                  <w:tcW w:w="1817" w:type="pct"/>
                  <w:noWrap w:val="0"/>
                  <w:vAlign w:val="center"/>
                </w:tcPr>
                <w:p>
                  <w:pPr>
                    <w:autoSpaceDE w:val="0"/>
                    <w:autoSpaceDN w:val="0"/>
                    <w:adjustRightInd w:val="0"/>
                    <w:snapToGrid w:val="0"/>
                    <w:rPr>
                      <w:color w:val="auto"/>
                      <w:kern w:val="0"/>
                      <w:szCs w:val="21"/>
                    </w:rPr>
                  </w:pPr>
                  <w:r>
                    <w:rPr>
                      <w:color w:val="auto"/>
                      <w:kern w:val="0"/>
                      <w:szCs w:val="21"/>
                    </w:rPr>
                    <w:t>项目</w:t>
                  </w:r>
                  <w:r>
                    <w:rPr>
                      <w:rFonts w:hint="eastAsia"/>
                      <w:color w:val="auto"/>
                      <w:kern w:val="0"/>
                      <w:szCs w:val="21"/>
                    </w:rPr>
                    <w:t>各场区电能汇集时，已尽量采取同一方向上各方阵电能汇集后，采用同塔多回线路输送。</w:t>
                  </w:r>
                </w:p>
              </w:tc>
              <w:tc>
                <w:tcPr>
                  <w:tcW w:w="739" w:type="pct"/>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continue"/>
                  <w:noWrap w:val="0"/>
                  <w:vAlign w:val="center"/>
                </w:tcPr>
                <w:p>
                  <w:pPr>
                    <w:autoSpaceDE w:val="0"/>
                    <w:autoSpaceDN w:val="0"/>
                    <w:adjustRightInd w:val="0"/>
                    <w:snapToGrid w:val="0"/>
                    <w:jc w:val="center"/>
                    <w:rPr>
                      <w:color w:val="auto"/>
                      <w:kern w:val="0"/>
                      <w:szCs w:val="21"/>
                    </w:rPr>
                  </w:pPr>
                </w:p>
              </w:tc>
              <w:tc>
                <w:tcPr>
                  <w:tcW w:w="2163" w:type="pct"/>
                  <w:noWrap w:val="0"/>
                  <w:vAlign w:val="center"/>
                </w:tcPr>
                <w:p>
                  <w:pPr>
                    <w:autoSpaceDE w:val="0"/>
                    <w:autoSpaceDN w:val="0"/>
                    <w:adjustRightInd w:val="0"/>
                    <w:snapToGrid w:val="0"/>
                    <w:rPr>
                      <w:color w:val="auto"/>
                      <w:kern w:val="0"/>
                      <w:szCs w:val="21"/>
                    </w:rPr>
                  </w:pPr>
                  <w:r>
                    <w:rPr>
                      <w:rFonts w:hint="eastAsia"/>
                      <w:color w:val="auto"/>
                      <w:kern w:val="0"/>
                      <w:szCs w:val="21"/>
                    </w:rPr>
                    <w:t>原则上避免在0类声环境功能区建设变电工程。</w:t>
                  </w:r>
                </w:p>
              </w:tc>
              <w:tc>
                <w:tcPr>
                  <w:tcW w:w="1817" w:type="pct"/>
                  <w:noWrap w:val="0"/>
                  <w:vAlign w:val="center"/>
                </w:tcPr>
                <w:p>
                  <w:pPr>
                    <w:autoSpaceDE w:val="0"/>
                    <w:autoSpaceDN w:val="0"/>
                    <w:adjustRightInd w:val="0"/>
                    <w:snapToGrid w:val="0"/>
                    <w:rPr>
                      <w:color w:val="auto"/>
                      <w:kern w:val="0"/>
                      <w:szCs w:val="21"/>
                    </w:rPr>
                  </w:pPr>
                  <w:r>
                    <w:rPr>
                      <w:color w:val="auto"/>
                      <w:kern w:val="0"/>
                      <w:szCs w:val="21"/>
                    </w:rPr>
                    <w:t>项目升压站不涉及</w:t>
                  </w:r>
                  <w:r>
                    <w:rPr>
                      <w:rFonts w:hint="eastAsia"/>
                      <w:color w:val="auto"/>
                      <w:kern w:val="0"/>
                      <w:szCs w:val="21"/>
                    </w:rPr>
                    <w:t>0类声环境功能区。</w:t>
                  </w:r>
                </w:p>
              </w:tc>
              <w:tc>
                <w:tcPr>
                  <w:tcW w:w="739" w:type="pct"/>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continue"/>
                  <w:noWrap w:val="0"/>
                  <w:vAlign w:val="center"/>
                </w:tcPr>
                <w:p>
                  <w:pPr>
                    <w:autoSpaceDE w:val="0"/>
                    <w:autoSpaceDN w:val="0"/>
                    <w:adjustRightInd w:val="0"/>
                    <w:snapToGrid w:val="0"/>
                    <w:jc w:val="center"/>
                    <w:rPr>
                      <w:color w:val="auto"/>
                      <w:kern w:val="0"/>
                      <w:szCs w:val="21"/>
                    </w:rPr>
                  </w:pPr>
                </w:p>
              </w:tc>
              <w:tc>
                <w:tcPr>
                  <w:tcW w:w="2163" w:type="pct"/>
                  <w:noWrap w:val="0"/>
                  <w:vAlign w:val="center"/>
                </w:tcPr>
                <w:p>
                  <w:pPr>
                    <w:autoSpaceDE w:val="0"/>
                    <w:autoSpaceDN w:val="0"/>
                    <w:adjustRightInd w:val="0"/>
                    <w:snapToGrid w:val="0"/>
                    <w:rPr>
                      <w:color w:val="auto"/>
                      <w:kern w:val="0"/>
                      <w:szCs w:val="21"/>
                    </w:rPr>
                  </w:pPr>
                  <w:r>
                    <w:rPr>
                      <w:rFonts w:hint="eastAsia"/>
                      <w:color w:val="auto"/>
                      <w:kern w:val="0"/>
                      <w:szCs w:val="21"/>
                    </w:rPr>
                    <w:t>变电工程选址时，应综合考虑减少土地占用、植被砍伐和弃土弃渣等，以减少对生态环境的不利影响。</w:t>
                  </w:r>
                </w:p>
              </w:tc>
              <w:tc>
                <w:tcPr>
                  <w:tcW w:w="1817" w:type="pct"/>
                  <w:noWrap w:val="0"/>
                  <w:vAlign w:val="center"/>
                </w:tcPr>
                <w:p>
                  <w:pPr>
                    <w:autoSpaceDE w:val="0"/>
                    <w:autoSpaceDN w:val="0"/>
                    <w:adjustRightInd w:val="0"/>
                    <w:snapToGrid w:val="0"/>
                    <w:rPr>
                      <w:color w:val="auto"/>
                      <w:kern w:val="0"/>
                      <w:szCs w:val="21"/>
                    </w:rPr>
                  </w:pPr>
                  <w:r>
                    <w:rPr>
                      <w:color w:val="auto"/>
                      <w:kern w:val="0"/>
                      <w:szCs w:val="21"/>
                    </w:rPr>
                    <w:t>升压站总体布局紧凑，场地现状主要为人工植被，地形较平整，通过严格落实环、水保措施，生态环境影响较小，可接受。</w:t>
                  </w:r>
                </w:p>
              </w:tc>
              <w:tc>
                <w:tcPr>
                  <w:tcW w:w="739" w:type="pct"/>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continue"/>
                  <w:noWrap w:val="0"/>
                  <w:vAlign w:val="center"/>
                </w:tcPr>
                <w:p>
                  <w:pPr>
                    <w:autoSpaceDE w:val="0"/>
                    <w:autoSpaceDN w:val="0"/>
                    <w:adjustRightInd w:val="0"/>
                    <w:snapToGrid w:val="0"/>
                    <w:jc w:val="center"/>
                    <w:rPr>
                      <w:color w:val="auto"/>
                      <w:kern w:val="0"/>
                      <w:szCs w:val="21"/>
                    </w:rPr>
                  </w:pPr>
                </w:p>
              </w:tc>
              <w:tc>
                <w:tcPr>
                  <w:tcW w:w="2163" w:type="pct"/>
                  <w:noWrap w:val="0"/>
                  <w:vAlign w:val="center"/>
                </w:tcPr>
                <w:p>
                  <w:pPr>
                    <w:autoSpaceDE w:val="0"/>
                    <w:autoSpaceDN w:val="0"/>
                    <w:adjustRightInd w:val="0"/>
                    <w:snapToGrid w:val="0"/>
                    <w:rPr>
                      <w:color w:val="auto"/>
                      <w:kern w:val="0"/>
                      <w:szCs w:val="21"/>
                    </w:rPr>
                  </w:pPr>
                  <w:r>
                    <w:rPr>
                      <w:rFonts w:hint="eastAsia"/>
                      <w:color w:val="auto"/>
                      <w:kern w:val="0"/>
                      <w:szCs w:val="21"/>
                    </w:rPr>
                    <w:t>输电线路宜避让集中林区，以减少林木砍伐，保护生态环境。</w:t>
                  </w:r>
                </w:p>
              </w:tc>
              <w:tc>
                <w:tcPr>
                  <w:tcW w:w="1817" w:type="pct"/>
                  <w:noWrap w:val="0"/>
                  <w:vAlign w:val="center"/>
                </w:tcPr>
                <w:p>
                  <w:pPr>
                    <w:autoSpaceDE w:val="0"/>
                    <w:autoSpaceDN w:val="0"/>
                    <w:adjustRightInd w:val="0"/>
                    <w:snapToGrid w:val="0"/>
                    <w:rPr>
                      <w:color w:val="auto"/>
                      <w:kern w:val="0"/>
                      <w:szCs w:val="21"/>
                    </w:rPr>
                  </w:pPr>
                  <w:r>
                    <w:rPr>
                      <w:rFonts w:hint="eastAsia"/>
                      <w:color w:val="auto"/>
                      <w:kern w:val="0"/>
                      <w:szCs w:val="21"/>
                    </w:rPr>
                    <w:t>本项目3</w:t>
                  </w:r>
                  <w:r>
                    <w:rPr>
                      <w:color w:val="auto"/>
                      <w:kern w:val="0"/>
                      <w:szCs w:val="21"/>
                    </w:rPr>
                    <w:t>5kV集电线路</w:t>
                  </w:r>
                  <w:r>
                    <w:rPr>
                      <w:rFonts w:hint="eastAsia"/>
                      <w:color w:val="auto"/>
                      <w:kern w:val="0"/>
                      <w:szCs w:val="21"/>
                    </w:rPr>
                    <w:t>沿线主要为疏林草地、低矮灌丛及坡耕地，仅部分沟谷内有较集中林木，高度也较低。根据可研设计，该类沟谷区域集电线路架空跨越，尽可能采用高塔，减少林木砍伐。</w:t>
                  </w:r>
                </w:p>
              </w:tc>
              <w:tc>
                <w:tcPr>
                  <w:tcW w:w="739" w:type="pct"/>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continue"/>
                  <w:noWrap w:val="0"/>
                  <w:vAlign w:val="center"/>
                </w:tcPr>
                <w:p>
                  <w:pPr>
                    <w:autoSpaceDE w:val="0"/>
                    <w:autoSpaceDN w:val="0"/>
                    <w:adjustRightInd w:val="0"/>
                    <w:snapToGrid w:val="0"/>
                    <w:jc w:val="center"/>
                    <w:rPr>
                      <w:color w:val="auto"/>
                      <w:kern w:val="0"/>
                      <w:szCs w:val="21"/>
                    </w:rPr>
                  </w:pPr>
                </w:p>
              </w:tc>
              <w:tc>
                <w:tcPr>
                  <w:tcW w:w="2163" w:type="pct"/>
                  <w:noWrap w:val="0"/>
                  <w:vAlign w:val="center"/>
                </w:tcPr>
                <w:p>
                  <w:pPr>
                    <w:autoSpaceDE w:val="0"/>
                    <w:autoSpaceDN w:val="0"/>
                    <w:adjustRightInd w:val="0"/>
                    <w:snapToGrid w:val="0"/>
                    <w:rPr>
                      <w:color w:val="auto"/>
                      <w:kern w:val="0"/>
                      <w:szCs w:val="21"/>
                    </w:rPr>
                  </w:pPr>
                  <w:r>
                    <w:rPr>
                      <w:rFonts w:hint="eastAsia"/>
                      <w:color w:val="auto"/>
                      <w:kern w:val="0"/>
                      <w:szCs w:val="21"/>
                    </w:rPr>
                    <w:t>进入自然保护区的输电线路，应按照HJ19的要求开展生态现状调查，避让保护对象的集中分布区。</w:t>
                  </w:r>
                </w:p>
              </w:tc>
              <w:tc>
                <w:tcPr>
                  <w:tcW w:w="1817" w:type="pct"/>
                  <w:noWrap w:val="0"/>
                  <w:vAlign w:val="center"/>
                </w:tcPr>
                <w:p>
                  <w:pPr>
                    <w:autoSpaceDE w:val="0"/>
                    <w:autoSpaceDN w:val="0"/>
                    <w:adjustRightInd w:val="0"/>
                    <w:snapToGrid w:val="0"/>
                    <w:rPr>
                      <w:color w:val="auto"/>
                      <w:kern w:val="0"/>
                      <w:szCs w:val="21"/>
                    </w:rPr>
                  </w:pPr>
                  <w:r>
                    <w:rPr>
                      <w:rFonts w:hint="eastAsia"/>
                      <w:color w:val="auto"/>
                      <w:kern w:val="0"/>
                      <w:szCs w:val="21"/>
                    </w:rPr>
                    <w:t>本项目3</w:t>
                  </w:r>
                  <w:r>
                    <w:rPr>
                      <w:color w:val="auto"/>
                      <w:kern w:val="0"/>
                      <w:szCs w:val="21"/>
                    </w:rPr>
                    <w:t>5kV</w:t>
                  </w:r>
                  <w:r>
                    <w:rPr>
                      <w:rFonts w:hint="eastAsia"/>
                      <w:color w:val="auto"/>
                      <w:kern w:val="0"/>
                      <w:szCs w:val="21"/>
                    </w:rPr>
                    <w:t>集电线路不涉及自然保护区，不进入保护区内。</w:t>
                  </w:r>
                </w:p>
              </w:tc>
              <w:tc>
                <w:tcPr>
                  <w:tcW w:w="739" w:type="pct"/>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restart"/>
                  <w:noWrap w:val="0"/>
                  <w:vAlign w:val="center"/>
                </w:tcPr>
                <w:p>
                  <w:pPr>
                    <w:autoSpaceDE w:val="0"/>
                    <w:autoSpaceDN w:val="0"/>
                    <w:adjustRightInd w:val="0"/>
                    <w:snapToGrid w:val="0"/>
                    <w:jc w:val="center"/>
                    <w:rPr>
                      <w:color w:val="auto"/>
                      <w:kern w:val="0"/>
                      <w:szCs w:val="21"/>
                    </w:rPr>
                  </w:pPr>
                  <w:r>
                    <w:rPr>
                      <w:color w:val="auto"/>
                      <w:kern w:val="0"/>
                      <w:szCs w:val="21"/>
                    </w:rPr>
                    <w:t>电磁环境保护</w:t>
                  </w:r>
                </w:p>
              </w:tc>
              <w:tc>
                <w:tcPr>
                  <w:tcW w:w="2163" w:type="pct"/>
                  <w:noWrap w:val="0"/>
                  <w:vAlign w:val="center"/>
                </w:tcPr>
                <w:p>
                  <w:pPr>
                    <w:autoSpaceDE w:val="0"/>
                    <w:autoSpaceDN w:val="0"/>
                    <w:adjustRightInd w:val="0"/>
                    <w:snapToGrid w:val="0"/>
                    <w:rPr>
                      <w:color w:val="auto"/>
                      <w:kern w:val="0"/>
                      <w:szCs w:val="21"/>
                    </w:rPr>
                  </w:pPr>
                  <w:r>
                    <w:rPr>
                      <w:rFonts w:hint="eastAsia"/>
                      <w:color w:val="auto"/>
                      <w:kern w:val="0"/>
                      <w:szCs w:val="21"/>
                    </w:rPr>
                    <w:t>工程设计应对产生的工频电场、工频磁场、直流合成电场等电磁环境影响因子进行验算，采取相应防护措施，确保电磁环境影响满足国家标准要求。</w:t>
                  </w:r>
                </w:p>
              </w:tc>
              <w:tc>
                <w:tcPr>
                  <w:tcW w:w="1817" w:type="pct"/>
                  <w:noWrap w:val="0"/>
                  <w:vAlign w:val="center"/>
                </w:tcPr>
                <w:p>
                  <w:pPr>
                    <w:autoSpaceDE w:val="0"/>
                    <w:autoSpaceDN w:val="0"/>
                    <w:adjustRightInd w:val="0"/>
                    <w:snapToGrid w:val="0"/>
                    <w:rPr>
                      <w:color w:val="auto"/>
                      <w:kern w:val="0"/>
                      <w:szCs w:val="21"/>
                    </w:rPr>
                  </w:pPr>
                  <w:r>
                    <w:rPr>
                      <w:color w:val="auto"/>
                      <w:kern w:val="0"/>
                      <w:szCs w:val="21"/>
                    </w:rPr>
                    <w:t>经类比分析，升压站运行期工频电场强度、工频磁感应强度满足</w:t>
                  </w:r>
                  <w:r>
                    <w:rPr>
                      <w:rFonts w:hint="eastAsia"/>
                      <w:color w:val="auto"/>
                      <w:kern w:val="0"/>
                      <w:szCs w:val="21"/>
                    </w:rPr>
                    <w:t>《电测环境控制限值》（GB8702-2014）要求</w:t>
                  </w:r>
                </w:p>
              </w:tc>
              <w:tc>
                <w:tcPr>
                  <w:tcW w:w="739" w:type="pct"/>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continue"/>
                  <w:noWrap w:val="0"/>
                  <w:vAlign w:val="center"/>
                </w:tcPr>
                <w:p>
                  <w:pPr>
                    <w:autoSpaceDE w:val="0"/>
                    <w:autoSpaceDN w:val="0"/>
                    <w:adjustRightInd w:val="0"/>
                    <w:snapToGrid w:val="0"/>
                    <w:jc w:val="center"/>
                    <w:rPr>
                      <w:color w:val="auto"/>
                      <w:kern w:val="0"/>
                      <w:szCs w:val="21"/>
                    </w:rPr>
                  </w:pPr>
                </w:p>
              </w:tc>
              <w:tc>
                <w:tcPr>
                  <w:tcW w:w="2163" w:type="pct"/>
                  <w:noWrap w:val="0"/>
                  <w:vAlign w:val="center"/>
                </w:tcPr>
                <w:p>
                  <w:pPr>
                    <w:autoSpaceDE w:val="0"/>
                    <w:autoSpaceDN w:val="0"/>
                    <w:adjustRightInd w:val="0"/>
                    <w:snapToGrid w:val="0"/>
                    <w:rPr>
                      <w:color w:val="auto"/>
                      <w:kern w:val="0"/>
                      <w:szCs w:val="21"/>
                    </w:rPr>
                  </w:pPr>
                  <w:r>
                    <w:rPr>
                      <w:rFonts w:hint="eastAsia"/>
                      <w:color w:val="auto"/>
                      <w:kern w:val="0"/>
                      <w:szCs w:val="21"/>
                    </w:rPr>
                    <w:t>输电线路设计应因地制宜选择线路型式、架设高度、杆塔塔型、导线参数、相序布置等，减少电磁环境影响。</w:t>
                  </w:r>
                </w:p>
              </w:tc>
              <w:tc>
                <w:tcPr>
                  <w:tcW w:w="1817" w:type="pct"/>
                  <w:noWrap w:val="0"/>
                  <w:vAlign w:val="center"/>
                </w:tcPr>
                <w:p>
                  <w:pPr>
                    <w:autoSpaceDE w:val="0"/>
                    <w:autoSpaceDN w:val="0"/>
                    <w:adjustRightInd w:val="0"/>
                    <w:snapToGrid w:val="0"/>
                    <w:rPr>
                      <w:color w:val="auto"/>
                      <w:kern w:val="0"/>
                      <w:szCs w:val="21"/>
                    </w:rPr>
                  </w:pPr>
                  <w:r>
                    <w:rPr>
                      <w:color w:val="auto"/>
                      <w:kern w:val="0"/>
                      <w:szCs w:val="21"/>
                    </w:rPr>
                    <w:t>项目</w:t>
                  </w:r>
                  <w:r>
                    <w:rPr>
                      <w:rFonts w:hint="eastAsia"/>
                      <w:color w:val="auto"/>
                      <w:kern w:val="0"/>
                      <w:szCs w:val="21"/>
                    </w:rPr>
                    <w:t>3</w:t>
                  </w:r>
                  <w:r>
                    <w:rPr>
                      <w:color w:val="auto"/>
                      <w:kern w:val="0"/>
                      <w:szCs w:val="21"/>
                    </w:rPr>
                    <w:t>5kV集电线路电磁环境影响较小。</w:t>
                  </w:r>
                </w:p>
              </w:tc>
              <w:tc>
                <w:tcPr>
                  <w:tcW w:w="739" w:type="pct"/>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continue"/>
                  <w:noWrap w:val="0"/>
                  <w:vAlign w:val="center"/>
                </w:tcPr>
                <w:p>
                  <w:pPr>
                    <w:autoSpaceDE w:val="0"/>
                    <w:autoSpaceDN w:val="0"/>
                    <w:adjustRightInd w:val="0"/>
                    <w:snapToGrid w:val="0"/>
                    <w:jc w:val="center"/>
                    <w:rPr>
                      <w:color w:val="auto"/>
                      <w:kern w:val="0"/>
                      <w:szCs w:val="21"/>
                    </w:rPr>
                  </w:pPr>
                </w:p>
              </w:tc>
              <w:tc>
                <w:tcPr>
                  <w:tcW w:w="2163" w:type="pct"/>
                  <w:noWrap w:val="0"/>
                  <w:vAlign w:val="center"/>
                </w:tcPr>
                <w:p>
                  <w:pPr>
                    <w:autoSpaceDE w:val="0"/>
                    <w:autoSpaceDN w:val="0"/>
                    <w:adjustRightInd w:val="0"/>
                    <w:snapToGrid w:val="0"/>
                    <w:rPr>
                      <w:color w:val="auto"/>
                      <w:kern w:val="0"/>
                      <w:szCs w:val="21"/>
                    </w:rPr>
                  </w:pPr>
                  <w:r>
                    <w:rPr>
                      <w:rFonts w:hint="eastAsia"/>
                      <w:color w:val="auto"/>
                      <w:kern w:val="0"/>
                      <w:szCs w:val="21"/>
                    </w:rPr>
                    <w:t>架空输电线路经过电磁环境敏感目标时，应采取避让或增加导线对地高度等措施，减少电磁环境影响。</w:t>
                  </w:r>
                </w:p>
              </w:tc>
              <w:tc>
                <w:tcPr>
                  <w:tcW w:w="1817" w:type="pct"/>
                  <w:noWrap w:val="0"/>
                  <w:vAlign w:val="center"/>
                </w:tcPr>
                <w:p>
                  <w:pPr>
                    <w:autoSpaceDE w:val="0"/>
                    <w:autoSpaceDN w:val="0"/>
                    <w:adjustRightInd w:val="0"/>
                    <w:snapToGrid w:val="0"/>
                    <w:rPr>
                      <w:color w:val="auto"/>
                      <w:kern w:val="0"/>
                      <w:szCs w:val="21"/>
                    </w:rPr>
                  </w:pPr>
                  <w:r>
                    <w:rPr>
                      <w:color w:val="auto"/>
                      <w:kern w:val="0"/>
                      <w:szCs w:val="21"/>
                    </w:rPr>
                    <w:t>项目</w:t>
                  </w:r>
                  <w:r>
                    <w:rPr>
                      <w:rFonts w:hint="eastAsia"/>
                      <w:color w:val="auto"/>
                      <w:kern w:val="0"/>
                      <w:szCs w:val="21"/>
                    </w:rPr>
                    <w:t>3</w:t>
                  </w:r>
                  <w:r>
                    <w:rPr>
                      <w:color w:val="auto"/>
                      <w:kern w:val="0"/>
                      <w:szCs w:val="21"/>
                    </w:rPr>
                    <w:t>5kV集电线路电磁环境影响较小</w:t>
                  </w:r>
                  <w:r>
                    <w:rPr>
                      <w:rFonts w:hint="eastAsia"/>
                      <w:color w:val="auto"/>
                      <w:kern w:val="0"/>
                      <w:szCs w:val="21"/>
                    </w:rPr>
                    <w:t>，且架空线与周边环境敏感目标保留有一定距离。</w:t>
                  </w:r>
                </w:p>
              </w:tc>
              <w:tc>
                <w:tcPr>
                  <w:tcW w:w="739" w:type="pct"/>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continue"/>
                  <w:noWrap w:val="0"/>
                  <w:vAlign w:val="center"/>
                </w:tcPr>
                <w:p>
                  <w:pPr>
                    <w:autoSpaceDE w:val="0"/>
                    <w:autoSpaceDN w:val="0"/>
                    <w:adjustRightInd w:val="0"/>
                    <w:snapToGrid w:val="0"/>
                    <w:jc w:val="center"/>
                    <w:rPr>
                      <w:color w:val="auto"/>
                      <w:kern w:val="0"/>
                      <w:szCs w:val="21"/>
                    </w:rPr>
                  </w:pPr>
                </w:p>
              </w:tc>
              <w:tc>
                <w:tcPr>
                  <w:tcW w:w="2163" w:type="pct"/>
                  <w:noWrap w:val="0"/>
                  <w:vAlign w:val="center"/>
                </w:tcPr>
                <w:p>
                  <w:pPr>
                    <w:autoSpaceDE w:val="0"/>
                    <w:autoSpaceDN w:val="0"/>
                    <w:adjustRightInd w:val="0"/>
                    <w:snapToGrid w:val="0"/>
                    <w:rPr>
                      <w:color w:val="auto"/>
                      <w:kern w:val="0"/>
                      <w:szCs w:val="21"/>
                    </w:rPr>
                  </w:pPr>
                  <w:r>
                    <w:rPr>
                      <w:rFonts w:hint="eastAsia"/>
                      <w:color w:val="auto"/>
                      <w:kern w:val="0"/>
                      <w:szCs w:val="21"/>
                    </w:rPr>
                    <w:t>新建城市电力线路在市中心地区、高层建筑群区、市区主干路、人口密集区、繁华街道等区域应采用地下电缆，减少电磁环境影响。</w:t>
                  </w:r>
                </w:p>
              </w:tc>
              <w:tc>
                <w:tcPr>
                  <w:tcW w:w="1817" w:type="pct"/>
                  <w:noWrap w:val="0"/>
                  <w:vAlign w:val="center"/>
                </w:tcPr>
                <w:p>
                  <w:pPr>
                    <w:autoSpaceDE w:val="0"/>
                    <w:autoSpaceDN w:val="0"/>
                    <w:adjustRightInd w:val="0"/>
                    <w:snapToGrid w:val="0"/>
                    <w:rPr>
                      <w:color w:val="auto"/>
                      <w:kern w:val="0"/>
                      <w:szCs w:val="21"/>
                    </w:rPr>
                  </w:pPr>
                  <w:r>
                    <w:rPr>
                      <w:color w:val="auto"/>
                      <w:kern w:val="0"/>
                      <w:szCs w:val="21"/>
                    </w:rPr>
                    <w:t>项目区属</w:t>
                  </w:r>
                  <w:r>
                    <w:rPr>
                      <w:rFonts w:hint="eastAsia"/>
                      <w:color w:val="auto"/>
                      <w:kern w:val="0"/>
                      <w:szCs w:val="21"/>
                    </w:rPr>
                    <w:t>农村地区</w:t>
                  </w:r>
                  <w:r>
                    <w:rPr>
                      <w:color w:val="auto"/>
                      <w:kern w:val="0"/>
                      <w:szCs w:val="21"/>
                    </w:rPr>
                    <w:t>，无高层建筑</w:t>
                  </w:r>
                  <w:r>
                    <w:rPr>
                      <w:rFonts w:hint="eastAsia"/>
                      <w:color w:val="auto"/>
                      <w:kern w:val="0"/>
                      <w:szCs w:val="21"/>
                    </w:rPr>
                    <w:t>，人口密度较低。</w:t>
                  </w:r>
                </w:p>
              </w:tc>
              <w:tc>
                <w:tcPr>
                  <w:tcW w:w="739" w:type="pct"/>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continue"/>
                  <w:noWrap w:val="0"/>
                  <w:vAlign w:val="center"/>
                </w:tcPr>
                <w:p>
                  <w:pPr>
                    <w:autoSpaceDE w:val="0"/>
                    <w:autoSpaceDN w:val="0"/>
                    <w:adjustRightInd w:val="0"/>
                    <w:snapToGrid w:val="0"/>
                    <w:jc w:val="center"/>
                    <w:rPr>
                      <w:color w:val="auto"/>
                      <w:kern w:val="0"/>
                      <w:szCs w:val="21"/>
                    </w:rPr>
                  </w:pPr>
                </w:p>
              </w:tc>
              <w:tc>
                <w:tcPr>
                  <w:tcW w:w="2163" w:type="pct"/>
                  <w:noWrap w:val="0"/>
                  <w:vAlign w:val="center"/>
                </w:tcPr>
                <w:p>
                  <w:pPr>
                    <w:autoSpaceDE w:val="0"/>
                    <w:autoSpaceDN w:val="0"/>
                    <w:adjustRightInd w:val="0"/>
                    <w:snapToGrid w:val="0"/>
                    <w:rPr>
                      <w:color w:val="auto"/>
                      <w:kern w:val="0"/>
                      <w:szCs w:val="21"/>
                    </w:rPr>
                  </w:pPr>
                  <w:r>
                    <w:rPr>
                      <w:rFonts w:hint="eastAsia"/>
                      <w:color w:val="auto"/>
                      <w:kern w:val="0"/>
                      <w:szCs w:val="21"/>
                    </w:rPr>
                    <w:t>变电工程的布置设计应考虑进出线对周围电磁环境的影响。</w:t>
                  </w:r>
                </w:p>
              </w:tc>
              <w:tc>
                <w:tcPr>
                  <w:tcW w:w="1817" w:type="pct"/>
                  <w:noWrap w:val="0"/>
                  <w:vAlign w:val="center"/>
                </w:tcPr>
                <w:p>
                  <w:pPr>
                    <w:autoSpaceDE w:val="0"/>
                    <w:autoSpaceDN w:val="0"/>
                    <w:adjustRightInd w:val="0"/>
                    <w:snapToGrid w:val="0"/>
                    <w:rPr>
                      <w:color w:val="auto"/>
                      <w:kern w:val="0"/>
                      <w:szCs w:val="21"/>
                    </w:rPr>
                  </w:pPr>
                  <w:r>
                    <w:rPr>
                      <w:color w:val="auto"/>
                      <w:kern w:val="0"/>
                      <w:szCs w:val="21"/>
                    </w:rPr>
                    <w:t>升压站选址</w:t>
                  </w:r>
                  <w:r>
                    <w:rPr>
                      <w:rFonts w:hint="eastAsia"/>
                      <w:color w:val="auto"/>
                      <w:kern w:val="0"/>
                      <w:szCs w:val="21"/>
                    </w:rPr>
                    <w:t>区域较为空旷，周边环境敏感目标距离较远，进</w:t>
                  </w:r>
                  <w:r>
                    <w:rPr>
                      <w:color w:val="auto"/>
                      <w:kern w:val="0"/>
                      <w:szCs w:val="21"/>
                    </w:rPr>
                    <w:t>出线通过合理布局，可尽量避让，减小对保护目标的电磁影响。</w:t>
                  </w:r>
                </w:p>
              </w:tc>
              <w:tc>
                <w:tcPr>
                  <w:tcW w:w="739" w:type="pct"/>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continue"/>
                  <w:noWrap w:val="0"/>
                  <w:vAlign w:val="center"/>
                </w:tcPr>
                <w:p>
                  <w:pPr>
                    <w:autoSpaceDE w:val="0"/>
                    <w:autoSpaceDN w:val="0"/>
                    <w:adjustRightInd w:val="0"/>
                    <w:snapToGrid w:val="0"/>
                    <w:jc w:val="center"/>
                    <w:rPr>
                      <w:color w:val="auto"/>
                      <w:kern w:val="0"/>
                      <w:szCs w:val="21"/>
                    </w:rPr>
                  </w:pPr>
                </w:p>
              </w:tc>
              <w:tc>
                <w:tcPr>
                  <w:tcW w:w="2163" w:type="pct"/>
                  <w:noWrap w:val="0"/>
                  <w:vAlign w:val="center"/>
                </w:tcPr>
                <w:p>
                  <w:pPr>
                    <w:autoSpaceDE w:val="0"/>
                    <w:autoSpaceDN w:val="0"/>
                    <w:adjustRightInd w:val="0"/>
                    <w:snapToGrid w:val="0"/>
                    <w:rPr>
                      <w:color w:val="auto"/>
                      <w:kern w:val="0"/>
                      <w:szCs w:val="21"/>
                    </w:rPr>
                  </w:pPr>
                  <w:r>
                    <w:rPr>
                      <w:rFonts w:hint="eastAsia"/>
                      <w:color w:val="auto"/>
                      <w:kern w:val="0"/>
                      <w:szCs w:val="21"/>
                    </w:rPr>
                    <w:t>330kV及以上电压等级的输电线路出现交叉跨越或并行时，应考虑其对电磁环境敏感目标的综合影响。</w:t>
                  </w:r>
                </w:p>
              </w:tc>
              <w:tc>
                <w:tcPr>
                  <w:tcW w:w="1817" w:type="pct"/>
                  <w:noWrap w:val="0"/>
                  <w:vAlign w:val="center"/>
                </w:tcPr>
                <w:p>
                  <w:pPr>
                    <w:autoSpaceDE w:val="0"/>
                    <w:autoSpaceDN w:val="0"/>
                    <w:adjustRightInd w:val="0"/>
                    <w:snapToGrid w:val="0"/>
                    <w:rPr>
                      <w:color w:val="auto"/>
                      <w:kern w:val="0"/>
                      <w:szCs w:val="21"/>
                    </w:rPr>
                  </w:pPr>
                  <w:r>
                    <w:rPr>
                      <w:color w:val="auto"/>
                      <w:kern w:val="0"/>
                      <w:szCs w:val="21"/>
                    </w:rPr>
                    <w:t>项目不涉及</w:t>
                  </w:r>
                  <w:r>
                    <w:rPr>
                      <w:rFonts w:hint="eastAsia"/>
                      <w:color w:val="auto"/>
                      <w:kern w:val="0"/>
                      <w:szCs w:val="21"/>
                    </w:rPr>
                    <w:t>3</w:t>
                  </w:r>
                  <w:r>
                    <w:rPr>
                      <w:color w:val="auto"/>
                      <w:kern w:val="0"/>
                      <w:szCs w:val="21"/>
                    </w:rPr>
                    <w:t>30kV以上输电线路。</w:t>
                  </w:r>
                </w:p>
              </w:tc>
              <w:tc>
                <w:tcPr>
                  <w:tcW w:w="739" w:type="pct"/>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restart"/>
                  <w:noWrap w:val="0"/>
                  <w:vAlign w:val="center"/>
                </w:tcPr>
                <w:p>
                  <w:pPr>
                    <w:autoSpaceDE w:val="0"/>
                    <w:autoSpaceDN w:val="0"/>
                    <w:adjustRightInd w:val="0"/>
                    <w:snapToGrid w:val="0"/>
                    <w:jc w:val="center"/>
                    <w:rPr>
                      <w:color w:val="auto"/>
                      <w:kern w:val="0"/>
                      <w:szCs w:val="21"/>
                    </w:rPr>
                  </w:pPr>
                  <w:r>
                    <w:rPr>
                      <w:color w:val="auto"/>
                      <w:kern w:val="0"/>
                      <w:szCs w:val="21"/>
                    </w:rPr>
                    <w:t>声环境保护</w:t>
                  </w:r>
                </w:p>
              </w:tc>
              <w:tc>
                <w:tcPr>
                  <w:tcW w:w="2163" w:type="pct"/>
                  <w:noWrap w:val="0"/>
                  <w:vAlign w:val="center"/>
                </w:tcPr>
                <w:p>
                  <w:pPr>
                    <w:autoSpaceDE w:val="0"/>
                    <w:autoSpaceDN w:val="0"/>
                    <w:adjustRightInd w:val="0"/>
                    <w:snapToGrid w:val="0"/>
                    <w:rPr>
                      <w:color w:val="auto"/>
                      <w:kern w:val="0"/>
                      <w:szCs w:val="21"/>
                    </w:rPr>
                  </w:pPr>
                  <w:r>
                    <w:rPr>
                      <w:rFonts w:hint="eastAsia"/>
                      <w:color w:val="auto"/>
                      <w:kern w:val="0"/>
                      <w:szCs w:val="21"/>
                    </w:rPr>
                    <w:t>变电工程噪声控制设计应首先从噪声源强上进行控制，选择低噪声设备；对于声源上无法根治的噪声，应采用隔声、吸声、消声、防振、减振等降噪措施，确保厂界排放噪声和周围声环境敏感目标分别满足GB 12348和GB 3096要求。</w:t>
                  </w:r>
                </w:p>
              </w:tc>
              <w:tc>
                <w:tcPr>
                  <w:tcW w:w="1817" w:type="pct"/>
                  <w:noWrap w:val="0"/>
                  <w:vAlign w:val="center"/>
                </w:tcPr>
                <w:p>
                  <w:pPr>
                    <w:autoSpaceDE w:val="0"/>
                    <w:autoSpaceDN w:val="0"/>
                    <w:adjustRightInd w:val="0"/>
                    <w:snapToGrid w:val="0"/>
                    <w:rPr>
                      <w:color w:val="auto"/>
                      <w:kern w:val="0"/>
                      <w:szCs w:val="21"/>
                    </w:rPr>
                  </w:pPr>
                  <w:r>
                    <w:rPr>
                      <w:color w:val="auto"/>
                      <w:kern w:val="0"/>
                      <w:szCs w:val="21"/>
                    </w:rPr>
                    <w:t>项目升压站选用低噪设备，水泵、风机等通过减振、隔声措施综合降噪，预测厂界噪声达标，不会造成区域声环境功能下降。</w:t>
                  </w:r>
                </w:p>
              </w:tc>
              <w:tc>
                <w:tcPr>
                  <w:tcW w:w="739" w:type="pct"/>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continue"/>
                  <w:noWrap w:val="0"/>
                  <w:vAlign w:val="center"/>
                </w:tcPr>
                <w:p>
                  <w:pPr>
                    <w:autoSpaceDE w:val="0"/>
                    <w:autoSpaceDN w:val="0"/>
                    <w:adjustRightInd w:val="0"/>
                    <w:snapToGrid w:val="0"/>
                    <w:jc w:val="center"/>
                    <w:rPr>
                      <w:color w:val="auto"/>
                      <w:kern w:val="0"/>
                      <w:szCs w:val="21"/>
                    </w:rPr>
                  </w:pPr>
                </w:p>
              </w:tc>
              <w:tc>
                <w:tcPr>
                  <w:tcW w:w="2163" w:type="pct"/>
                  <w:noWrap w:val="0"/>
                  <w:vAlign w:val="center"/>
                </w:tcPr>
                <w:p>
                  <w:pPr>
                    <w:autoSpaceDE w:val="0"/>
                    <w:autoSpaceDN w:val="0"/>
                    <w:adjustRightInd w:val="0"/>
                    <w:snapToGrid w:val="0"/>
                    <w:rPr>
                      <w:color w:val="auto"/>
                      <w:kern w:val="0"/>
                      <w:szCs w:val="21"/>
                    </w:rPr>
                  </w:pPr>
                  <w:r>
                    <w:rPr>
                      <w:rFonts w:hint="eastAsia"/>
                      <w:color w:val="auto"/>
                      <w:kern w:val="0"/>
                      <w:szCs w:val="21"/>
                    </w:rPr>
                    <w:t xml:space="preserve">户外变电工程总体布置应综合考虑声环境影响因素，合理规划，利用建筑物、地形等阻挡噪声传播，减少对声环境敏感目标的影响。 </w:t>
                  </w:r>
                </w:p>
              </w:tc>
              <w:tc>
                <w:tcPr>
                  <w:tcW w:w="1817" w:type="pct"/>
                  <w:noWrap w:val="0"/>
                  <w:vAlign w:val="center"/>
                </w:tcPr>
                <w:p>
                  <w:pPr>
                    <w:autoSpaceDE w:val="0"/>
                    <w:autoSpaceDN w:val="0"/>
                    <w:adjustRightInd w:val="0"/>
                    <w:snapToGrid w:val="0"/>
                    <w:rPr>
                      <w:color w:val="auto"/>
                      <w:kern w:val="0"/>
                      <w:szCs w:val="21"/>
                    </w:rPr>
                  </w:pPr>
                  <w:r>
                    <w:rPr>
                      <w:color w:val="auto"/>
                      <w:kern w:val="0"/>
                      <w:szCs w:val="21"/>
                    </w:rPr>
                    <w:t>升压站</w:t>
                  </w:r>
                  <w:r>
                    <w:rPr>
                      <w:color w:val="auto"/>
                      <w:kern w:val="0"/>
                      <w:szCs w:val="21"/>
                      <w:highlight w:val="none"/>
                    </w:rPr>
                    <w:t>户外主变设置在站区中部，</w:t>
                  </w:r>
                  <w:r>
                    <w:rPr>
                      <w:color w:val="auto"/>
                      <w:kern w:val="0"/>
                      <w:szCs w:val="21"/>
                    </w:rPr>
                    <w:t>通过距离衰减，预测升压站噪声厂界达标，对周边敏感目标影响小。</w:t>
                  </w:r>
                </w:p>
              </w:tc>
              <w:tc>
                <w:tcPr>
                  <w:tcW w:w="739" w:type="pct"/>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continue"/>
                  <w:noWrap w:val="0"/>
                  <w:vAlign w:val="center"/>
                </w:tcPr>
                <w:p>
                  <w:pPr>
                    <w:autoSpaceDE w:val="0"/>
                    <w:autoSpaceDN w:val="0"/>
                    <w:adjustRightInd w:val="0"/>
                    <w:snapToGrid w:val="0"/>
                    <w:jc w:val="center"/>
                    <w:rPr>
                      <w:color w:val="auto"/>
                      <w:kern w:val="0"/>
                      <w:szCs w:val="21"/>
                    </w:rPr>
                  </w:pPr>
                </w:p>
              </w:tc>
              <w:tc>
                <w:tcPr>
                  <w:tcW w:w="2163" w:type="pct"/>
                  <w:noWrap w:val="0"/>
                  <w:vAlign w:val="center"/>
                </w:tcPr>
                <w:p>
                  <w:pPr>
                    <w:autoSpaceDE w:val="0"/>
                    <w:autoSpaceDN w:val="0"/>
                    <w:adjustRightInd w:val="0"/>
                    <w:snapToGrid w:val="0"/>
                    <w:rPr>
                      <w:color w:val="auto"/>
                      <w:kern w:val="0"/>
                      <w:szCs w:val="21"/>
                    </w:rPr>
                  </w:pPr>
                  <w:r>
                    <w:rPr>
                      <w:rFonts w:hint="eastAsia"/>
                      <w:color w:val="auto"/>
                      <w:kern w:val="0"/>
                      <w:szCs w:val="21"/>
                    </w:rPr>
                    <w:t>户外变电工程在设计过程中应进行平面布置优化，将主变压器、换流变压器、高压电抗器等主要声源设备布置在站址中央区域或远离站外声环境敏感目标侧的区域。</w:t>
                  </w:r>
                </w:p>
              </w:tc>
              <w:tc>
                <w:tcPr>
                  <w:tcW w:w="1817" w:type="pct"/>
                  <w:noWrap w:val="0"/>
                  <w:vAlign w:val="center"/>
                </w:tcPr>
                <w:p>
                  <w:pPr>
                    <w:autoSpaceDE w:val="0"/>
                    <w:autoSpaceDN w:val="0"/>
                    <w:adjustRightInd w:val="0"/>
                    <w:snapToGrid w:val="0"/>
                    <w:rPr>
                      <w:color w:val="auto"/>
                      <w:kern w:val="0"/>
                      <w:szCs w:val="21"/>
                    </w:rPr>
                  </w:pPr>
                  <w:r>
                    <w:rPr>
                      <w:color w:val="auto"/>
                      <w:kern w:val="0"/>
                      <w:szCs w:val="21"/>
                    </w:rPr>
                    <w:t>升压站平面设计已考虑尽量降低噪声影响，</w:t>
                  </w:r>
                  <w:r>
                    <w:rPr>
                      <w:rFonts w:hint="eastAsia"/>
                      <w:color w:val="auto"/>
                      <w:kern w:val="0"/>
                      <w:szCs w:val="21"/>
                    </w:rPr>
                    <w:t>主变压器、换流变压器、高压电抗器等主要声源设备尽量在站址中部布置。</w:t>
                  </w:r>
                </w:p>
              </w:tc>
              <w:tc>
                <w:tcPr>
                  <w:tcW w:w="739" w:type="pct"/>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continue"/>
                  <w:noWrap w:val="0"/>
                  <w:vAlign w:val="center"/>
                </w:tcPr>
                <w:p>
                  <w:pPr>
                    <w:autoSpaceDE w:val="0"/>
                    <w:autoSpaceDN w:val="0"/>
                    <w:adjustRightInd w:val="0"/>
                    <w:snapToGrid w:val="0"/>
                    <w:jc w:val="center"/>
                    <w:rPr>
                      <w:color w:val="auto"/>
                      <w:kern w:val="0"/>
                      <w:szCs w:val="21"/>
                    </w:rPr>
                  </w:pPr>
                </w:p>
              </w:tc>
              <w:tc>
                <w:tcPr>
                  <w:tcW w:w="2163" w:type="pct"/>
                  <w:noWrap w:val="0"/>
                  <w:vAlign w:val="center"/>
                </w:tcPr>
                <w:p>
                  <w:pPr>
                    <w:autoSpaceDE w:val="0"/>
                    <w:autoSpaceDN w:val="0"/>
                    <w:adjustRightInd w:val="0"/>
                    <w:snapToGrid w:val="0"/>
                    <w:rPr>
                      <w:color w:val="auto"/>
                      <w:kern w:val="0"/>
                      <w:szCs w:val="21"/>
                    </w:rPr>
                  </w:pPr>
                  <w:r>
                    <w:rPr>
                      <w:rFonts w:hint="eastAsia"/>
                      <w:color w:val="auto"/>
                      <w:kern w:val="0"/>
                      <w:szCs w:val="21"/>
                    </w:rPr>
                    <w:t>变电工程位于1类或周围噪声敏感建筑物较多的2类声环境功能区时，建设单位应严格控制主变压器、换流变压器、高压电抗器等主要噪声源的噪声水平，并在满足GB 12348的基础上保留适当裕度。</w:t>
                  </w:r>
                </w:p>
              </w:tc>
              <w:tc>
                <w:tcPr>
                  <w:tcW w:w="1817" w:type="pct"/>
                  <w:noWrap w:val="0"/>
                  <w:vAlign w:val="center"/>
                </w:tcPr>
                <w:p>
                  <w:pPr>
                    <w:autoSpaceDE w:val="0"/>
                    <w:autoSpaceDN w:val="0"/>
                    <w:adjustRightInd w:val="0"/>
                    <w:snapToGrid w:val="0"/>
                    <w:rPr>
                      <w:color w:val="auto"/>
                      <w:kern w:val="0"/>
                      <w:szCs w:val="21"/>
                    </w:rPr>
                  </w:pPr>
                  <w:r>
                    <w:rPr>
                      <w:color w:val="auto"/>
                      <w:kern w:val="0"/>
                      <w:szCs w:val="21"/>
                    </w:rPr>
                    <w:t>项目升压站与周边声环境保护目标间保持一定距离，站内选用低噪设备，预测升压站噪声厂界达标，对周边敏感目标影响小。</w:t>
                  </w:r>
                </w:p>
              </w:tc>
              <w:tc>
                <w:tcPr>
                  <w:tcW w:w="739" w:type="pct"/>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continue"/>
                  <w:noWrap w:val="0"/>
                  <w:vAlign w:val="center"/>
                </w:tcPr>
                <w:p>
                  <w:pPr>
                    <w:autoSpaceDE w:val="0"/>
                    <w:autoSpaceDN w:val="0"/>
                    <w:adjustRightInd w:val="0"/>
                    <w:snapToGrid w:val="0"/>
                    <w:jc w:val="center"/>
                    <w:rPr>
                      <w:color w:val="auto"/>
                      <w:kern w:val="0"/>
                      <w:szCs w:val="21"/>
                    </w:rPr>
                  </w:pPr>
                </w:p>
              </w:tc>
              <w:tc>
                <w:tcPr>
                  <w:tcW w:w="2163" w:type="pct"/>
                  <w:noWrap w:val="0"/>
                  <w:vAlign w:val="center"/>
                </w:tcPr>
                <w:p>
                  <w:pPr>
                    <w:autoSpaceDE w:val="0"/>
                    <w:autoSpaceDN w:val="0"/>
                    <w:adjustRightInd w:val="0"/>
                    <w:snapToGrid w:val="0"/>
                    <w:rPr>
                      <w:color w:val="auto"/>
                      <w:kern w:val="0"/>
                      <w:szCs w:val="21"/>
                    </w:rPr>
                  </w:pPr>
                  <w:r>
                    <w:rPr>
                      <w:rFonts w:hint="eastAsia"/>
                      <w:color w:val="auto"/>
                      <w:kern w:val="0"/>
                      <w:szCs w:val="21"/>
                    </w:rPr>
                    <w:t>位于城市规划区1类声环境功能区的变电站应采用全户内布置方式。位于城市规划区其他声环境功能区的变电工程，可采取户内、半户内等环境影响较小的布置型式。</w:t>
                  </w:r>
                </w:p>
              </w:tc>
              <w:tc>
                <w:tcPr>
                  <w:tcW w:w="1817" w:type="pct"/>
                  <w:noWrap w:val="0"/>
                  <w:vAlign w:val="center"/>
                </w:tcPr>
                <w:p>
                  <w:pPr>
                    <w:autoSpaceDE w:val="0"/>
                    <w:autoSpaceDN w:val="0"/>
                    <w:adjustRightInd w:val="0"/>
                    <w:snapToGrid w:val="0"/>
                    <w:rPr>
                      <w:color w:val="auto"/>
                      <w:kern w:val="0"/>
                      <w:szCs w:val="21"/>
                    </w:rPr>
                  </w:pPr>
                  <w:r>
                    <w:rPr>
                      <w:rFonts w:hint="eastAsia"/>
                      <w:color w:val="auto"/>
                      <w:kern w:val="0"/>
                      <w:szCs w:val="21"/>
                    </w:rPr>
                    <w:t>项目</w:t>
                  </w:r>
                  <w:r>
                    <w:rPr>
                      <w:color w:val="auto"/>
                      <w:kern w:val="0"/>
                      <w:szCs w:val="21"/>
                    </w:rPr>
                    <w:t>升压站</w:t>
                  </w:r>
                  <w:r>
                    <w:rPr>
                      <w:rFonts w:hint="eastAsia"/>
                      <w:color w:val="auto"/>
                      <w:kern w:val="0"/>
                      <w:szCs w:val="21"/>
                    </w:rPr>
                    <w:t>位于农村地区，不属于城市规划区。</w:t>
                  </w:r>
                </w:p>
              </w:tc>
              <w:tc>
                <w:tcPr>
                  <w:tcW w:w="739" w:type="pct"/>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continue"/>
                  <w:noWrap w:val="0"/>
                  <w:vAlign w:val="center"/>
                </w:tcPr>
                <w:p>
                  <w:pPr>
                    <w:autoSpaceDE w:val="0"/>
                    <w:autoSpaceDN w:val="0"/>
                    <w:adjustRightInd w:val="0"/>
                    <w:snapToGrid w:val="0"/>
                    <w:jc w:val="center"/>
                    <w:rPr>
                      <w:color w:val="auto"/>
                      <w:kern w:val="0"/>
                      <w:szCs w:val="21"/>
                    </w:rPr>
                  </w:pPr>
                </w:p>
              </w:tc>
              <w:tc>
                <w:tcPr>
                  <w:tcW w:w="2163" w:type="pct"/>
                  <w:noWrap w:val="0"/>
                  <w:vAlign w:val="center"/>
                </w:tcPr>
                <w:p>
                  <w:pPr>
                    <w:autoSpaceDE w:val="0"/>
                    <w:autoSpaceDN w:val="0"/>
                    <w:adjustRightInd w:val="0"/>
                    <w:snapToGrid w:val="0"/>
                    <w:rPr>
                      <w:color w:val="auto"/>
                      <w:kern w:val="0"/>
                      <w:szCs w:val="21"/>
                    </w:rPr>
                  </w:pPr>
                  <w:r>
                    <w:rPr>
                      <w:rFonts w:hint="eastAsia"/>
                      <w:color w:val="auto"/>
                      <w:kern w:val="0"/>
                      <w:szCs w:val="21"/>
                    </w:rPr>
                    <w:t>变电工程应采取降低低频噪声影响的防治措施，以减少噪声扰民。</w:t>
                  </w:r>
                </w:p>
              </w:tc>
              <w:tc>
                <w:tcPr>
                  <w:tcW w:w="1817" w:type="pct"/>
                  <w:noWrap w:val="0"/>
                  <w:vAlign w:val="center"/>
                </w:tcPr>
                <w:p>
                  <w:pPr>
                    <w:autoSpaceDE w:val="0"/>
                    <w:autoSpaceDN w:val="0"/>
                    <w:adjustRightInd w:val="0"/>
                    <w:snapToGrid w:val="0"/>
                    <w:rPr>
                      <w:color w:val="auto"/>
                      <w:kern w:val="0"/>
                      <w:szCs w:val="21"/>
                    </w:rPr>
                  </w:pPr>
                  <w:r>
                    <w:rPr>
                      <w:color w:val="auto"/>
                      <w:kern w:val="0"/>
                      <w:szCs w:val="21"/>
                    </w:rPr>
                    <w:t>升压站选用低噪设备，水泵、风机等通过减振、隔声措施综合降噪</w:t>
                  </w:r>
                </w:p>
              </w:tc>
              <w:tc>
                <w:tcPr>
                  <w:tcW w:w="739" w:type="pct"/>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restart"/>
                  <w:noWrap w:val="0"/>
                  <w:vAlign w:val="center"/>
                </w:tcPr>
                <w:p>
                  <w:pPr>
                    <w:autoSpaceDE w:val="0"/>
                    <w:autoSpaceDN w:val="0"/>
                    <w:adjustRightInd w:val="0"/>
                    <w:snapToGrid w:val="0"/>
                    <w:jc w:val="center"/>
                    <w:rPr>
                      <w:color w:val="auto"/>
                      <w:kern w:val="0"/>
                      <w:szCs w:val="21"/>
                    </w:rPr>
                  </w:pPr>
                  <w:r>
                    <w:rPr>
                      <w:color w:val="auto"/>
                      <w:kern w:val="0"/>
                      <w:szCs w:val="21"/>
                    </w:rPr>
                    <w:t>生态环境保护</w:t>
                  </w:r>
                </w:p>
              </w:tc>
              <w:tc>
                <w:tcPr>
                  <w:tcW w:w="2163" w:type="pct"/>
                  <w:noWrap w:val="0"/>
                  <w:vAlign w:val="center"/>
                </w:tcPr>
                <w:p>
                  <w:pPr>
                    <w:autoSpaceDE w:val="0"/>
                    <w:autoSpaceDN w:val="0"/>
                    <w:adjustRightInd w:val="0"/>
                    <w:snapToGrid w:val="0"/>
                    <w:rPr>
                      <w:color w:val="auto"/>
                      <w:kern w:val="0"/>
                      <w:szCs w:val="21"/>
                    </w:rPr>
                  </w:pPr>
                  <w:r>
                    <w:rPr>
                      <w:rFonts w:hint="eastAsia"/>
                      <w:color w:val="auto"/>
                      <w:kern w:val="0"/>
                      <w:szCs w:val="21"/>
                    </w:rPr>
                    <w:t xml:space="preserve">输变电建设项目在设计过程中应按照避让、减缓、恢复的次序提出生态影响防护与恢复的措施。 </w:t>
                  </w:r>
                </w:p>
              </w:tc>
              <w:tc>
                <w:tcPr>
                  <w:tcW w:w="1817" w:type="pct"/>
                  <w:noWrap w:val="0"/>
                  <w:vAlign w:val="center"/>
                </w:tcPr>
                <w:p>
                  <w:pPr>
                    <w:autoSpaceDE w:val="0"/>
                    <w:autoSpaceDN w:val="0"/>
                    <w:adjustRightInd w:val="0"/>
                    <w:snapToGrid w:val="0"/>
                    <w:rPr>
                      <w:color w:val="auto"/>
                      <w:kern w:val="0"/>
                      <w:szCs w:val="21"/>
                    </w:rPr>
                  </w:pPr>
                  <w:r>
                    <w:rPr>
                      <w:rFonts w:hint="eastAsia"/>
                      <w:color w:val="auto"/>
                      <w:kern w:val="0"/>
                      <w:szCs w:val="21"/>
                    </w:rPr>
                    <w:t>项目建设阶段已尽量避周边生态敏感区。</w:t>
                  </w:r>
                  <w:r>
                    <w:rPr>
                      <w:color w:val="auto"/>
                      <w:kern w:val="0"/>
                      <w:szCs w:val="21"/>
                    </w:rPr>
                    <w:t>主体设计及本次评价已提出了生态环境影响减缓、恢复措施。</w:t>
                  </w:r>
                </w:p>
              </w:tc>
              <w:tc>
                <w:tcPr>
                  <w:tcW w:w="739" w:type="pct"/>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continue"/>
                  <w:noWrap w:val="0"/>
                  <w:vAlign w:val="center"/>
                </w:tcPr>
                <w:p>
                  <w:pPr>
                    <w:autoSpaceDE w:val="0"/>
                    <w:autoSpaceDN w:val="0"/>
                    <w:adjustRightInd w:val="0"/>
                    <w:snapToGrid w:val="0"/>
                    <w:jc w:val="center"/>
                    <w:rPr>
                      <w:color w:val="auto"/>
                      <w:kern w:val="0"/>
                      <w:szCs w:val="21"/>
                    </w:rPr>
                  </w:pPr>
                </w:p>
              </w:tc>
              <w:tc>
                <w:tcPr>
                  <w:tcW w:w="2163" w:type="pct"/>
                  <w:noWrap w:val="0"/>
                  <w:vAlign w:val="center"/>
                </w:tcPr>
                <w:p>
                  <w:pPr>
                    <w:autoSpaceDE w:val="0"/>
                    <w:autoSpaceDN w:val="0"/>
                    <w:adjustRightInd w:val="0"/>
                    <w:snapToGrid w:val="0"/>
                    <w:rPr>
                      <w:color w:val="auto"/>
                      <w:kern w:val="0"/>
                      <w:szCs w:val="21"/>
                    </w:rPr>
                  </w:pPr>
                  <w:r>
                    <w:rPr>
                      <w:rFonts w:hint="eastAsia"/>
                      <w:color w:val="auto"/>
                      <w:kern w:val="0"/>
                      <w:szCs w:val="21"/>
                    </w:rPr>
                    <w:t>输电线路应因地制宜合理选择塔基基础,在山丘区应采用全方位长短腿与不等高基础设计，以减少土石方开挖。输电线路无法避让集中林区时，应采取控制导线高度设计，以减少林木砍伐，保护生态环境。</w:t>
                  </w:r>
                </w:p>
              </w:tc>
              <w:tc>
                <w:tcPr>
                  <w:tcW w:w="1817" w:type="pct"/>
                  <w:noWrap w:val="0"/>
                  <w:vAlign w:val="center"/>
                </w:tcPr>
                <w:p>
                  <w:pPr>
                    <w:autoSpaceDE w:val="0"/>
                    <w:autoSpaceDN w:val="0"/>
                    <w:adjustRightInd w:val="0"/>
                    <w:snapToGrid w:val="0"/>
                    <w:rPr>
                      <w:color w:val="auto"/>
                      <w:kern w:val="0"/>
                      <w:szCs w:val="21"/>
                      <w:highlight w:val="yellow"/>
                    </w:rPr>
                  </w:pPr>
                  <w:r>
                    <w:rPr>
                      <w:rFonts w:hint="eastAsia"/>
                      <w:color w:val="auto"/>
                      <w:kern w:val="0"/>
                      <w:szCs w:val="21"/>
                    </w:rPr>
                    <w:t>项目架空集电线路沿线以草丛、低矮灌丛、耕地为主，仅部分沟谷内有较集中林木，高度不高。根据可研设计，线路架设经过林地时尽可能采用高塔跨越，尽量减少扰动林木。区域地处山区，项目杆塔应采用全方位长短腿与不等高基础设计，减少土石方开挖。</w:t>
                  </w:r>
                </w:p>
              </w:tc>
              <w:tc>
                <w:tcPr>
                  <w:tcW w:w="739" w:type="pct"/>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continue"/>
                  <w:noWrap w:val="0"/>
                  <w:vAlign w:val="center"/>
                </w:tcPr>
                <w:p>
                  <w:pPr>
                    <w:autoSpaceDE w:val="0"/>
                    <w:autoSpaceDN w:val="0"/>
                    <w:adjustRightInd w:val="0"/>
                    <w:snapToGrid w:val="0"/>
                    <w:jc w:val="center"/>
                    <w:rPr>
                      <w:color w:val="auto"/>
                      <w:kern w:val="0"/>
                      <w:szCs w:val="21"/>
                    </w:rPr>
                  </w:pPr>
                </w:p>
              </w:tc>
              <w:tc>
                <w:tcPr>
                  <w:tcW w:w="2163" w:type="pct"/>
                  <w:noWrap w:val="0"/>
                  <w:vAlign w:val="center"/>
                </w:tcPr>
                <w:p>
                  <w:pPr>
                    <w:autoSpaceDE w:val="0"/>
                    <w:autoSpaceDN w:val="0"/>
                    <w:adjustRightInd w:val="0"/>
                    <w:snapToGrid w:val="0"/>
                    <w:rPr>
                      <w:color w:val="auto"/>
                      <w:kern w:val="0"/>
                      <w:szCs w:val="21"/>
                    </w:rPr>
                  </w:pPr>
                  <w:r>
                    <w:rPr>
                      <w:rFonts w:hint="eastAsia"/>
                      <w:color w:val="auto"/>
                      <w:kern w:val="0"/>
                      <w:szCs w:val="21"/>
                    </w:rPr>
                    <w:t>输变电建设项目临时占地，应因地制宜进行土地功能恢复设计。</w:t>
                  </w:r>
                </w:p>
              </w:tc>
              <w:tc>
                <w:tcPr>
                  <w:tcW w:w="1817" w:type="pct"/>
                  <w:noWrap w:val="0"/>
                  <w:vAlign w:val="center"/>
                </w:tcPr>
                <w:p>
                  <w:pPr>
                    <w:autoSpaceDE w:val="0"/>
                    <w:autoSpaceDN w:val="0"/>
                    <w:adjustRightInd w:val="0"/>
                    <w:snapToGrid w:val="0"/>
                    <w:rPr>
                      <w:color w:val="auto"/>
                      <w:kern w:val="0"/>
                      <w:szCs w:val="21"/>
                    </w:rPr>
                  </w:pPr>
                  <w:r>
                    <w:rPr>
                      <w:color w:val="auto"/>
                      <w:kern w:val="0"/>
                      <w:szCs w:val="21"/>
                    </w:rPr>
                    <w:t>项目升压站施工</w:t>
                  </w:r>
                  <w:r>
                    <w:rPr>
                      <w:rFonts w:hint="eastAsia"/>
                      <w:color w:val="auto"/>
                      <w:kern w:val="0"/>
                      <w:szCs w:val="21"/>
                    </w:rPr>
                    <w:t>临时营场地、弃渣场、</w:t>
                  </w:r>
                  <w:r>
                    <w:rPr>
                      <w:color w:val="auto"/>
                      <w:kern w:val="0"/>
                      <w:szCs w:val="21"/>
                    </w:rPr>
                    <w:t>集电线路杆塔</w:t>
                  </w:r>
                  <w:r>
                    <w:rPr>
                      <w:rFonts w:hint="eastAsia"/>
                      <w:color w:val="auto"/>
                      <w:kern w:val="0"/>
                      <w:szCs w:val="21"/>
                    </w:rPr>
                    <w:t>施工影响区</w:t>
                  </w:r>
                  <w:r>
                    <w:rPr>
                      <w:color w:val="auto"/>
                      <w:kern w:val="0"/>
                      <w:szCs w:val="21"/>
                    </w:rPr>
                    <w:t>、临时迁张场等应尽量控制减小临时用地面积，施工结束后即时覆土复垦，恢复土地功能。</w:t>
                  </w:r>
                </w:p>
              </w:tc>
              <w:tc>
                <w:tcPr>
                  <w:tcW w:w="739" w:type="pct"/>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continue"/>
                  <w:noWrap w:val="0"/>
                  <w:vAlign w:val="center"/>
                </w:tcPr>
                <w:p>
                  <w:pPr>
                    <w:autoSpaceDE w:val="0"/>
                    <w:autoSpaceDN w:val="0"/>
                    <w:adjustRightInd w:val="0"/>
                    <w:snapToGrid w:val="0"/>
                    <w:jc w:val="center"/>
                    <w:rPr>
                      <w:color w:val="auto"/>
                      <w:kern w:val="0"/>
                      <w:szCs w:val="21"/>
                    </w:rPr>
                  </w:pPr>
                </w:p>
              </w:tc>
              <w:tc>
                <w:tcPr>
                  <w:tcW w:w="2163" w:type="pct"/>
                  <w:noWrap w:val="0"/>
                  <w:vAlign w:val="center"/>
                </w:tcPr>
                <w:p>
                  <w:pPr>
                    <w:autoSpaceDE w:val="0"/>
                    <w:autoSpaceDN w:val="0"/>
                    <w:adjustRightInd w:val="0"/>
                    <w:snapToGrid w:val="0"/>
                    <w:rPr>
                      <w:color w:val="auto"/>
                      <w:kern w:val="0"/>
                      <w:szCs w:val="21"/>
                    </w:rPr>
                  </w:pPr>
                  <w:r>
                    <w:rPr>
                      <w:rFonts w:hint="eastAsia"/>
                      <w:color w:val="auto"/>
                      <w:kern w:val="0"/>
                      <w:szCs w:val="21"/>
                    </w:rPr>
                    <w:t>进入自然保护区的输电线路，应根据生态现状调查结果，制定相应的保护方案。塔基定位应避让珍稀濒危物种、保护植物和保护动物的栖息地，根据保护对象的特性设计相应的生态环境保护措施、设施等。</w:t>
                  </w:r>
                </w:p>
              </w:tc>
              <w:tc>
                <w:tcPr>
                  <w:tcW w:w="1817" w:type="pct"/>
                  <w:noWrap w:val="0"/>
                  <w:vAlign w:val="center"/>
                </w:tcPr>
                <w:p>
                  <w:pPr>
                    <w:autoSpaceDE w:val="0"/>
                    <w:autoSpaceDN w:val="0"/>
                    <w:adjustRightInd w:val="0"/>
                    <w:snapToGrid w:val="0"/>
                    <w:rPr>
                      <w:color w:val="auto"/>
                      <w:kern w:val="0"/>
                      <w:szCs w:val="21"/>
                    </w:rPr>
                  </w:pPr>
                  <w:r>
                    <w:rPr>
                      <w:rFonts w:hint="eastAsia"/>
                      <w:color w:val="auto"/>
                      <w:kern w:val="0"/>
                      <w:szCs w:val="21"/>
                    </w:rPr>
                    <w:t>本次评价3</w:t>
                  </w:r>
                  <w:r>
                    <w:rPr>
                      <w:color w:val="auto"/>
                      <w:kern w:val="0"/>
                      <w:szCs w:val="21"/>
                    </w:rPr>
                    <w:t>5</w:t>
                  </w:r>
                  <w:r>
                    <w:rPr>
                      <w:rFonts w:hint="eastAsia"/>
                      <w:color w:val="auto"/>
                      <w:kern w:val="0"/>
                      <w:szCs w:val="21"/>
                    </w:rPr>
                    <w:t>KV集电线路不涉及自然保护区范围内。</w:t>
                  </w:r>
                </w:p>
              </w:tc>
              <w:tc>
                <w:tcPr>
                  <w:tcW w:w="739" w:type="pct"/>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restart"/>
                  <w:noWrap w:val="0"/>
                  <w:vAlign w:val="center"/>
                </w:tcPr>
                <w:p>
                  <w:pPr>
                    <w:autoSpaceDE w:val="0"/>
                    <w:autoSpaceDN w:val="0"/>
                    <w:adjustRightInd w:val="0"/>
                    <w:snapToGrid w:val="0"/>
                    <w:jc w:val="center"/>
                    <w:rPr>
                      <w:color w:val="auto"/>
                      <w:kern w:val="0"/>
                      <w:szCs w:val="21"/>
                    </w:rPr>
                  </w:pPr>
                  <w:r>
                    <w:rPr>
                      <w:color w:val="auto"/>
                      <w:kern w:val="0"/>
                      <w:szCs w:val="21"/>
                    </w:rPr>
                    <w:t>水环境保护</w:t>
                  </w:r>
                </w:p>
              </w:tc>
              <w:tc>
                <w:tcPr>
                  <w:tcW w:w="2163" w:type="pct"/>
                  <w:noWrap w:val="0"/>
                  <w:vAlign w:val="center"/>
                </w:tcPr>
                <w:p>
                  <w:pPr>
                    <w:autoSpaceDE w:val="0"/>
                    <w:autoSpaceDN w:val="0"/>
                    <w:adjustRightInd w:val="0"/>
                    <w:snapToGrid w:val="0"/>
                    <w:rPr>
                      <w:color w:val="auto"/>
                      <w:kern w:val="0"/>
                      <w:szCs w:val="21"/>
                    </w:rPr>
                  </w:pPr>
                  <w:r>
                    <w:rPr>
                      <w:rFonts w:hint="eastAsia"/>
                      <w:color w:val="auto"/>
                      <w:kern w:val="0"/>
                      <w:szCs w:val="21"/>
                    </w:rPr>
                    <w:t xml:space="preserve">变电工程应采取节水措施，加强水的重复利用，减少废（污）水排放。雨水和生活污水应采取分流制。 </w:t>
                  </w:r>
                </w:p>
              </w:tc>
              <w:tc>
                <w:tcPr>
                  <w:tcW w:w="1817" w:type="pct"/>
                  <w:noWrap w:val="0"/>
                  <w:vAlign w:val="center"/>
                </w:tcPr>
                <w:p>
                  <w:pPr>
                    <w:autoSpaceDE w:val="0"/>
                    <w:autoSpaceDN w:val="0"/>
                    <w:adjustRightInd w:val="0"/>
                    <w:snapToGrid w:val="0"/>
                    <w:rPr>
                      <w:color w:val="auto"/>
                      <w:kern w:val="0"/>
                      <w:szCs w:val="21"/>
                    </w:rPr>
                  </w:pPr>
                  <w:r>
                    <w:rPr>
                      <w:color w:val="auto"/>
                      <w:kern w:val="0"/>
                      <w:szCs w:val="21"/>
                    </w:rPr>
                    <w:t>升压站雨污分流。污水经</w:t>
                  </w:r>
                  <w:r>
                    <w:rPr>
                      <w:rFonts w:hint="eastAsia"/>
                      <w:color w:val="auto"/>
                      <w:kern w:val="0"/>
                      <w:szCs w:val="21"/>
                    </w:rPr>
                    <w:t>收集处理后</w:t>
                  </w:r>
                  <w:r>
                    <w:rPr>
                      <w:color w:val="auto"/>
                      <w:kern w:val="0"/>
                      <w:szCs w:val="21"/>
                    </w:rPr>
                    <w:t>全部回用，不外排。</w:t>
                  </w:r>
                </w:p>
              </w:tc>
              <w:tc>
                <w:tcPr>
                  <w:tcW w:w="739" w:type="pct"/>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continue"/>
                  <w:noWrap w:val="0"/>
                  <w:vAlign w:val="center"/>
                </w:tcPr>
                <w:p>
                  <w:pPr>
                    <w:autoSpaceDE w:val="0"/>
                    <w:autoSpaceDN w:val="0"/>
                    <w:adjustRightInd w:val="0"/>
                    <w:snapToGrid w:val="0"/>
                    <w:jc w:val="center"/>
                    <w:rPr>
                      <w:color w:val="auto"/>
                      <w:kern w:val="0"/>
                      <w:szCs w:val="21"/>
                    </w:rPr>
                  </w:pPr>
                </w:p>
              </w:tc>
              <w:tc>
                <w:tcPr>
                  <w:tcW w:w="2163" w:type="pct"/>
                  <w:noWrap w:val="0"/>
                  <w:vAlign w:val="center"/>
                </w:tcPr>
                <w:p>
                  <w:pPr>
                    <w:autoSpaceDE w:val="0"/>
                    <w:autoSpaceDN w:val="0"/>
                    <w:adjustRightInd w:val="0"/>
                    <w:snapToGrid w:val="0"/>
                    <w:rPr>
                      <w:color w:val="auto"/>
                      <w:kern w:val="0"/>
                      <w:szCs w:val="21"/>
                    </w:rPr>
                  </w:pPr>
                  <w:r>
                    <w:rPr>
                      <w:rFonts w:hint="eastAsia"/>
                      <w:color w:val="auto"/>
                      <w:kern w:val="0"/>
                      <w:szCs w:val="21"/>
                    </w:rPr>
                    <w:t>变电工程站内产生的生活污水宜考虑处理后纳入城市污水管网；不具备纳入城市污水管网条件的变电工程，应根据站内生活污水产生情况设置生活污水处理装置（化粪池、地埋式污水处理装置、回用水池、蒸发池等)，生活污水经处理后回收利用、定期清理或外排，外排时应严格执行相应的国家和地方水污染物排放标准相关要求。</w:t>
                  </w:r>
                </w:p>
              </w:tc>
              <w:tc>
                <w:tcPr>
                  <w:tcW w:w="1817" w:type="pct"/>
                  <w:noWrap w:val="0"/>
                  <w:vAlign w:val="center"/>
                </w:tcPr>
                <w:p>
                  <w:pPr>
                    <w:autoSpaceDE w:val="0"/>
                    <w:autoSpaceDN w:val="0"/>
                    <w:adjustRightInd w:val="0"/>
                    <w:snapToGrid w:val="0"/>
                    <w:rPr>
                      <w:color w:val="auto"/>
                      <w:kern w:val="0"/>
                      <w:szCs w:val="21"/>
                    </w:rPr>
                  </w:pPr>
                  <w:r>
                    <w:rPr>
                      <w:color w:val="auto"/>
                      <w:kern w:val="0"/>
                      <w:szCs w:val="21"/>
                    </w:rPr>
                    <w:t>项目升压站</w:t>
                  </w:r>
                  <w:r>
                    <w:rPr>
                      <w:rFonts w:hint="eastAsia"/>
                      <w:color w:val="auto"/>
                      <w:kern w:val="0"/>
                      <w:szCs w:val="21"/>
                    </w:rPr>
                    <w:t>暂不具备污水纳管条件。站内自行设置隔油池、化粪池、一体化污水处理系统及回用水池，生活污水收集处理达回用标准后，用于绿化浇灌及周边光伏板下林草植被浇洒</w:t>
                  </w:r>
                  <w:r>
                    <w:rPr>
                      <w:color w:val="auto"/>
                      <w:kern w:val="0"/>
                      <w:szCs w:val="21"/>
                    </w:rPr>
                    <w:t>。</w:t>
                  </w:r>
                </w:p>
              </w:tc>
              <w:tc>
                <w:tcPr>
                  <w:tcW w:w="739" w:type="pct"/>
                  <w:noWrap w:val="0"/>
                  <w:vAlign w:val="center"/>
                </w:tcPr>
                <w:p>
                  <w:pPr>
                    <w:autoSpaceDE w:val="0"/>
                    <w:autoSpaceDN w:val="0"/>
                    <w:adjustRightInd w:val="0"/>
                    <w:snapToGrid w:val="0"/>
                    <w:jc w:val="center"/>
                    <w:rPr>
                      <w:color w:val="auto"/>
                      <w:kern w:val="0"/>
                      <w:szCs w:val="21"/>
                    </w:rPr>
                  </w:pPr>
                  <w:r>
                    <w:rPr>
                      <w:color w:val="auto"/>
                      <w:kern w:val="0"/>
                      <w:szCs w:val="21"/>
                    </w:rPr>
                    <w:t>符合</w:t>
                  </w:r>
                </w:p>
              </w:tc>
            </w:tr>
          </w:tbl>
          <w:p>
            <w:pPr>
              <w:autoSpaceDE w:val="0"/>
              <w:autoSpaceDN w:val="0"/>
              <w:adjustRightInd w:val="0"/>
              <w:snapToGrid w:val="0"/>
              <w:spacing w:line="360" w:lineRule="auto"/>
              <w:ind w:firstLine="480" w:firstLineChars="200"/>
              <w:rPr>
                <w:rFonts w:hint="eastAsia" w:ascii="宋体" w:hAnsi="宋体" w:cs="宋体"/>
                <w:b/>
                <w:bCs/>
                <w:color w:val="auto"/>
                <w:kern w:val="0"/>
                <w:sz w:val="24"/>
              </w:rPr>
            </w:pPr>
            <w:r>
              <w:rPr>
                <w:color w:val="auto"/>
                <w:kern w:val="0"/>
                <w:sz w:val="24"/>
              </w:rPr>
              <w:t>根据上述分析，项目在严格落实主体工程设计及本次评价提出的各项环保措施的基础上，与</w:t>
            </w:r>
            <w:r>
              <w:rPr>
                <w:rFonts w:hint="eastAsia"/>
                <w:color w:val="auto"/>
                <w:kern w:val="0"/>
                <w:sz w:val="24"/>
              </w:rPr>
              <w:t>《输变电建设项目环境保护技术要求》（HJ</w:t>
            </w:r>
            <w:r>
              <w:rPr>
                <w:color w:val="auto"/>
                <w:kern w:val="0"/>
                <w:sz w:val="24"/>
              </w:rPr>
              <w:t>1113-2020</w:t>
            </w:r>
            <w:r>
              <w:rPr>
                <w:rFonts w:hint="eastAsia"/>
                <w:color w:val="auto"/>
                <w:kern w:val="0"/>
                <w:sz w:val="24"/>
              </w:rPr>
              <w:t>）的相关要求相符合。</w:t>
            </w:r>
          </w:p>
          <w:p>
            <w:pPr>
              <w:autoSpaceDE w:val="0"/>
              <w:autoSpaceDN w:val="0"/>
              <w:adjustRightInd w:val="0"/>
              <w:snapToGrid w:val="0"/>
              <w:spacing w:line="360" w:lineRule="auto"/>
              <w:rPr>
                <w:rFonts w:hint="eastAsia" w:ascii="宋体" w:hAnsi="宋体" w:cs="宋体"/>
                <w:b/>
                <w:bCs/>
                <w:color w:val="auto"/>
                <w:kern w:val="0"/>
                <w:sz w:val="24"/>
              </w:rPr>
            </w:pPr>
            <w:r>
              <w:rPr>
                <w:rFonts w:hint="eastAsia" w:ascii="宋体" w:hAnsi="宋体" w:cs="宋体"/>
                <w:b/>
                <w:bCs/>
                <w:color w:val="auto"/>
                <w:kern w:val="0"/>
                <w:sz w:val="24"/>
              </w:rPr>
              <w:t>10、与云南省能源局关于《云南省能源局关于加快推进“十四五”规划新能源项目配套接网工程有关工作的通知》的相符性</w:t>
            </w:r>
          </w:p>
          <w:p>
            <w:pPr>
              <w:autoSpaceDE w:val="0"/>
              <w:autoSpaceDN w:val="0"/>
              <w:adjustRightInd w:val="0"/>
              <w:snapToGrid w:val="0"/>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2022年4月7日云南省能源局发布了《云南省能源局关于加快推进“十四五”规划新能源项目配套接网工程有关工作的通知》</w:t>
            </w:r>
            <w:r>
              <w:rPr>
                <w:rFonts w:hint="eastAsia"/>
                <w:color w:val="auto"/>
                <w:sz w:val="24"/>
              </w:rPr>
              <w:t>（云能源办水电[2022]70号）</w:t>
            </w:r>
            <w:r>
              <w:rPr>
                <w:rFonts w:hint="eastAsia" w:ascii="宋体" w:hAnsi="宋体" w:cs="宋体"/>
                <w:color w:val="auto"/>
                <w:kern w:val="0"/>
                <w:sz w:val="24"/>
              </w:rPr>
              <w:t>：为贯彻落实省委省政府关于加快光伏发电项目开发建设的决策部署，按照“能开全开、能快尽快，依法依规、科学有序”的要求，确保顺利完成省“十四五”新能源规划建设目标。在前期沟通对接的基础上，认真研究未来三年我省新能源项目建设对电网安全稳定运行的影响， 切实做好新能源项目建设与配套接网工程同步规划、同步建设、同步投产工作，实现新能源项目按期并网消纳，保障全省能源供应安全。请对照《云南省“十四五 ”规划新能源项目清单》（以下简称《清单》，详见附件</w:t>
            </w:r>
            <w:r>
              <w:rPr>
                <w:rFonts w:hint="eastAsia" w:ascii="宋体" w:hAnsi="宋体" w:cs="宋体"/>
                <w:color w:val="auto"/>
                <w:kern w:val="0"/>
                <w:sz w:val="24"/>
                <w:lang w:val="en-US" w:eastAsia="zh-CN"/>
              </w:rPr>
              <w:t>3</w:t>
            </w:r>
            <w:r>
              <w:rPr>
                <w:rFonts w:hint="eastAsia" w:ascii="宋体" w:hAnsi="宋体" w:cs="宋体"/>
                <w:color w:val="auto"/>
                <w:kern w:val="0"/>
                <w:sz w:val="24"/>
              </w:rPr>
              <w:t>），加快新能源配套接网工程前期工作和建设，确保未来三年新增5000万千瓦新能源项目全额消纳。</w:t>
            </w:r>
          </w:p>
          <w:p>
            <w:pPr>
              <w:autoSpaceDE w:val="0"/>
              <w:autoSpaceDN w:val="0"/>
              <w:spacing w:line="360" w:lineRule="auto"/>
              <w:jc w:val="center"/>
              <w:rPr>
                <w:b/>
                <w:bCs/>
                <w:color w:val="auto"/>
                <w:kern w:val="0"/>
                <w:sz w:val="24"/>
              </w:rPr>
            </w:pPr>
            <w:r>
              <w:rPr>
                <w:rFonts w:hint="eastAsia"/>
                <w:b/>
                <w:bCs/>
                <w:color w:val="auto"/>
                <w:kern w:val="0"/>
                <w:sz w:val="24"/>
              </w:rPr>
              <w:t>表1.1-1</w:t>
            </w:r>
            <w:r>
              <w:rPr>
                <w:b/>
                <w:bCs/>
                <w:color w:val="auto"/>
                <w:kern w:val="0"/>
                <w:sz w:val="24"/>
              </w:rPr>
              <w:t xml:space="preserve">  </w:t>
            </w:r>
            <w:r>
              <w:rPr>
                <w:rFonts w:hint="eastAsia" w:ascii="宋体" w:hAnsi="宋体" w:cs="宋体"/>
                <w:color w:val="auto"/>
                <w:kern w:val="0"/>
                <w:sz w:val="24"/>
              </w:rPr>
              <w:t>云南省“十四五 ”规划新能源项目清单（22年光伏项目）</w:t>
            </w:r>
          </w:p>
          <w:tbl>
            <w:tblPr>
              <w:tblStyle w:val="18"/>
              <w:tblW w:w="4998"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930"/>
              <w:gridCol w:w="943"/>
              <w:gridCol w:w="942"/>
              <w:gridCol w:w="1466"/>
              <w:gridCol w:w="1212"/>
              <w:gridCol w:w="942"/>
              <w:gridCol w:w="78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noWrap w:val="0"/>
                  <w:vAlign w:val="center"/>
                </w:tcPr>
                <w:p>
                  <w:pPr>
                    <w:autoSpaceDE w:val="0"/>
                    <w:autoSpaceDN w:val="0"/>
                    <w:adjustRightInd w:val="0"/>
                    <w:snapToGrid w:val="0"/>
                    <w:jc w:val="center"/>
                    <w:rPr>
                      <w:b/>
                      <w:bCs/>
                      <w:color w:val="auto"/>
                      <w:kern w:val="0"/>
                      <w:sz w:val="18"/>
                      <w:szCs w:val="18"/>
                    </w:rPr>
                  </w:pPr>
                  <w:r>
                    <w:rPr>
                      <w:rFonts w:hint="eastAsia"/>
                      <w:b/>
                      <w:bCs/>
                      <w:color w:val="auto"/>
                      <w:kern w:val="0"/>
                      <w:sz w:val="18"/>
                      <w:szCs w:val="18"/>
                    </w:rPr>
                    <w:t>序号</w:t>
                  </w:r>
                </w:p>
              </w:tc>
              <w:tc>
                <w:tcPr>
                  <w:tcW w:w="585" w:type="pct"/>
                  <w:noWrap w:val="0"/>
                  <w:vAlign w:val="center"/>
                </w:tcPr>
                <w:p>
                  <w:pPr>
                    <w:autoSpaceDE w:val="0"/>
                    <w:autoSpaceDN w:val="0"/>
                    <w:adjustRightInd w:val="0"/>
                    <w:snapToGrid w:val="0"/>
                    <w:jc w:val="center"/>
                    <w:rPr>
                      <w:b/>
                      <w:bCs/>
                      <w:color w:val="auto"/>
                      <w:kern w:val="0"/>
                      <w:sz w:val="18"/>
                      <w:szCs w:val="18"/>
                    </w:rPr>
                  </w:pPr>
                  <w:r>
                    <w:rPr>
                      <w:rFonts w:hint="eastAsia"/>
                      <w:b/>
                      <w:bCs/>
                      <w:color w:val="auto"/>
                      <w:kern w:val="0"/>
                      <w:sz w:val="18"/>
                      <w:szCs w:val="18"/>
                    </w:rPr>
                    <w:t>地区</w:t>
                  </w:r>
                </w:p>
              </w:tc>
              <w:tc>
                <w:tcPr>
                  <w:tcW w:w="593" w:type="pct"/>
                  <w:noWrap w:val="0"/>
                  <w:vAlign w:val="center"/>
                </w:tcPr>
                <w:p>
                  <w:pPr>
                    <w:autoSpaceDE w:val="0"/>
                    <w:autoSpaceDN w:val="0"/>
                    <w:adjustRightInd w:val="0"/>
                    <w:snapToGrid w:val="0"/>
                    <w:jc w:val="center"/>
                    <w:rPr>
                      <w:b/>
                      <w:bCs/>
                      <w:color w:val="auto"/>
                      <w:kern w:val="0"/>
                      <w:sz w:val="18"/>
                      <w:szCs w:val="18"/>
                    </w:rPr>
                  </w:pPr>
                  <w:r>
                    <w:rPr>
                      <w:rFonts w:hint="eastAsia"/>
                      <w:b/>
                      <w:bCs/>
                      <w:color w:val="auto"/>
                      <w:kern w:val="0"/>
                      <w:sz w:val="18"/>
                      <w:szCs w:val="18"/>
                    </w:rPr>
                    <w:t>市/县/区</w:t>
                  </w:r>
                </w:p>
              </w:tc>
              <w:tc>
                <w:tcPr>
                  <w:tcW w:w="592" w:type="pct"/>
                  <w:noWrap w:val="0"/>
                  <w:vAlign w:val="center"/>
                </w:tcPr>
                <w:p>
                  <w:pPr>
                    <w:autoSpaceDE w:val="0"/>
                    <w:autoSpaceDN w:val="0"/>
                    <w:adjustRightInd w:val="0"/>
                    <w:snapToGrid w:val="0"/>
                    <w:jc w:val="center"/>
                    <w:rPr>
                      <w:b/>
                      <w:bCs/>
                      <w:color w:val="auto"/>
                      <w:kern w:val="0"/>
                      <w:sz w:val="18"/>
                      <w:szCs w:val="18"/>
                    </w:rPr>
                  </w:pPr>
                  <w:r>
                    <w:rPr>
                      <w:rFonts w:hint="eastAsia"/>
                      <w:b/>
                      <w:bCs/>
                      <w:color w:val="auto"/>
                      <w:kern w:val="0"/>
                      <w:sz w:val="18"/>
                      <w:szCs w:val="18"/>
                    </w:rPr>
                    <w:t>项目名称</w:t>
                  </w:r>
                </w:p>
              </w:tc>
              <w:tc>
                <w:tcPr>
                  <w:tcW w:w="922" w:type="pct"/>
                  <w:noWrap w:val="0"/>
                  <w:vAlign w:val="center"/>
                </w:tcPr>
                <w:p>
                  <w:pPr>
                    <w:autoSpaceDE w:val="0"/>
                    <w:autoSpaceDN w:val="0"/>
                    <w:adjustRightInd w:val="0"/>
                    <w:snapToGrid w:val="0"/>
                    <w:jc w:val="center"/>
                    <w:rPr>
                      <w:b/>
                      <w:bCs/>
                      <w:color w:val="auto"/>
                      <w:kern w:val="0"/>
                      <w:sz w:val="18"/>
                      <w:szCs w:val="18"/>
                    </w:rPr>
                  </w:pPr>
                  <w:r>
                    <w:rPr>
                      <w:rFonts w:hint="eastAsia"/>
                      <w:b/>
                      <w:bCs/>
                      <w:color w:val="auto"/>
                      <w:kern w:val="0"/>
                      <w:sz w:val="18"/>
                      <w:szCs w:val="18"/>
                    </w:rPr>
                    <w:t>装机容量（万千瓦）</w:t>
                  </w:r>
                </w:p>
              </w:tc>
              <w:tc>
                <w:tcPr>
                  <w:tcW w:w="1354" w:type="pct"/>
                  <w:gridSpan w:val="2"/>
                  <w:noWrap w:val="0"/>
                  <w:vAlign w:val="center"/>
                </w:tcPr>
                <w:p>
                  <w:pPr>
                    <w:autoSpaceDE w:val="0"/>
                    <w:autoSpaceDN w:val="0"/>
                    <w:adjustRightInd w:val="0"/>
                    <w:snapToGrid w:val="0"/>
                    <w:jc w:val="center"/>
                    <w:rPr>
                      <w:rFonts w:hint="eastAsia"/>
                      <w:b/>
                      <w:bCs/>
                      <w:color w:val="auto"/>
                      <w:kern w:val="0"/>
                      <w:sz w:val="18"/>
                      <w:szCs w:val="18"/>
                    </w:rPr>
                  </w:pPr>
                  <w:r>
                    <w:rPr>
                      <w:rFonts w:hint="eastAsia"/>
                      <w:b/>
                      <w:bCs/>
                      <w:color w:val="auto"/>
                      <w:kern w:val="0"/>
                      <w:sz w:val="18"/>
                      <w:szCs w:val="18"/>
                    </w:rPr>
                    <w:t>场址中心点坐标</w:t>
                  </w:r>
                </w:p>
              </w:tc>
              <w:tc>
                <w:tcPr>
                  <w:tcW w:w="493" w:type="pct"/>
                  <w:noWrap w:val="0"/>
                  <w:vAlign w:val="center"/>
                </w:tcPr>
                <w:p>
                  <w:pPr>
                    <w:autoSpaceDE w:val="0"/>
                    <w:autoSpaceDN w:val="0"/>
                    <w:adjustRightInd w:val="0"/>
                    <w:snapToGrid w:val="0"/>
                    <w:jc w:val="center"/>
                    <w:rPr>
                      <w:rFonts w:hint="eastAsia"/>
                      <w:b/>
                      <w:bCs/>
                      <w:color w:val="auto"/>
                      <w:kern w:val="0"/>
                      <w:sz w:val="18"/>
                      <w:szCs w:val="18"/>
                    </w:rPr>
                  </w:pPr>
                  <w:r>
                    <w:rPr>
                      <w:rFonts w:hint="eastAsia"/>
                      <w:b/>
                      <w:bCs/>
                      <w:color w:val="auto"/>
                      <w:kern w:val="0"/>
                      <w:sz w:val="18"/>
                      <w:szCs w:val="18"/>
                    </w:rPr>
                    <w:t>类型</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noWrap w:val="0"/>
                  <w:vAlign w:val="center"/>
                </w:tcPr>
                <w:p>
                  <w:pPr>
                    <w:autoSpaceDE w:val="0"/>
                    <w:autoSpaceDN w:val="0"/>
                    <w:adjustRightInd w:val="0"/>
                    <w:snapToGrid w:val="0"/>
                    <w:jc w:val="center"/>
                    <w:rPr>
                      <w:rFonts w:hint="eastAsia"/>
                      <w:b/>
                      <w:bCs/>
                      <w:color w:val="auto"/>
                      <w:kern w:val="0"/>
                      <w:sz w:val="18"/>
                      <w:szCs w:val="18"/>
                    </w:rPr>
                  </w:pPr>
                  <w:r>
                    <w:rPr>
                      <w:rFonts w:hint="eastAsia"/>
                      <w:b/>
                      <w:bCs/>
                      <w:color w:val="auto"/>
                      <w:kern w:val="0"/>
                      <w:sz w:val="18"/>
                      <w:szCs w:val="18"/>
                    </w:rPr>
                    <w:t>75</w:t>
                  </w:r>
                </w:p>
              </w:tc>
              <w:tc>
                <w:tcPr>
                  <w:tcW w:w="585" w:type="pct"/>
                  <w:noWrap w:val="0"/>
                  <w:vAlign w:val="center"/>
                </w:tcPr>
                <w:p>
                  <w:pPr>
                    <w:autoSpaceDE w:val="0"/>
                    <w:autoSpaceDN w:val="0"/>
                    <w:adjustRightInd w:val="0"/>
                    <w:snapToGrid w:val="0"/>
                    <w:jc w:val="center"/>
                    <w:rPr>
                      <w:rFonts w:hint="eastAsia"/>
                      <w:b/>
                      <w:bCs/>
                      <w:color w:val="auto"/>
                      <w:kern w:val="0"/>
                      <w:sz w:val="18"/>
                      <w:szCs w:val="18"/>
                    </w:rPr>
                  </w:pPr>
                  <w:r>
                    <w:rPr>
                      <w:rFonts w:hint="eastAsia"/>
                      <w:b/>
                      <w:bCs/>
                      <w:color w:val="auto"/>
                      <w:kern w:val="0"/>
                      <w:sz w:val="18"/>
                      <w:szCs w:val="18"/>
                    </w:rPr>
                    <w:t>楚雄州</w:t>
                  </w:r>
                </w:p>
              </w:tc>
              <w:tc>
                <w:tcPr>
                  <w:tcW w:w="593" w:type="pct"/>
                  <w:noWrap w:val="0"/>
                  <w:vAlign w:val="center"/>
                </w:tcPr>
                <w:p>
                  <w:pPr>
                    <w:autoSpaceDE w:val="0"/>
                    <w:autoSpaceDN w:val="0"/>
                    <w:adjustRightInd w:val="0"/>
                    <w:snapToGrid w:val="0"/>
                    <w:jc w:val="center"/>
                    <w:rPr>
                      <w:rFonts w:hint="eastAsia"/>
                      <w:b/>
                      <w:bCs/>
                      <w:color w:val="auto"/>
                      <w:kern w:val="0"/>
                      <w:sz w:val="18"/>
                      <w:szCs w:val="18"/>
                    </w:rPr>
                  </w:pPr>
                  <w:r>
                    <w:rPr>
                      <w:rFonts w:hint="eastAsia"/>
                      <w:b/>
                      <w:bCs/>
                      <w:color w:val="auto"/>
                      <w:kern w:val="0"/>
                      <w:sz w:val="18"/>
                      <w:szCs w:val="18"/>
                    </w:rPr>
                    <w:t>元谋县</w:t>
                  </w:r>
                </w:p>
              </w:tc>
              <w:tc>
                <w:tcPr>
                  <w:tcW w:w="592" w:type="pct"/>
                  <w:noWrap w:val="0"/>
                  <w:vAlign w:val="center"/>
                </w:tcPr>
                <w:p>
                  <w:pPr>
                    <w:autoSpaceDE w:val="0"/>
                    <w:autoSpaceDN w:val="0"/>
                    <w:adjustRightInd w:val="0"/>
                    <w:snapToGrid w:val="0"/>
                    <w:jc w:val="center"/>
                    <w:rPr>
                      <w:rFonts w:hint="eastAsia"/>
                      <w:b/>
                      <w:bCs/>
                      <w:color w:val="auto"/>
                      <w:kern w:val="0"/>
                      <w:sz w:val="18"/>
                      <w:szCs w:val="18"/>
                    </w:rPr>
                  </w:pPr>
                  <w:r>
                    <w:rPr>
                      <w:rFonts w:hint="eastAsia"/>
                      <w:b/>
                      <w:bCs/>
                      <w:color w:val="auto"/>
                      <w:kern w:val="0"/>
                      <w:sz w:val="18"/>
                      <w:szCs w:val="18"/>
                    </w:rPr>
                    <w:t>多竹箐</w:t>
                  </w:r>
                </w:p>
              </w:tc>
              <w:tc>
                <w:tcPr>
                  <w:tcW w:w="922" w:type="pct"/>
                  <w:noWrap w:val="0"/>
                  <w:vAlign w:val="center"/>
                </w:tcPr>
                <w:p>
                  <w:pPr>
                    <w:autoSpaceDE w:val="0"/>
                    <w:autoSpaceDN w:val="0"/>
                    <w:adjustRightInd w:val="0"/>
                    <w:snapToGrid w:val="0"/>
                    <w:jc w:val="center"/>
                    <w:rPr>
                      <w:rFonts w:hint="eastAsia"/>
                      <w:b/>
                      <w:bCs/>
                      <w:color w:val="auto"/>
                      <w:kern w:val="0"/>
                      <w:sz w:val="18"/>
                      <w:szCs w:val="18"/>
                    </w:rPr>
                  </w:pPr>
                  <w:r>
                    <w:rPr>
                      <w:rFonts w:hint="eastAsia"/>
                      <w:b/>
                      <w:bCs/>
                      <w:color w:val="auto"/>
                      <w:kern w:val="0"/>
                      <w:sz w:val="18"/>
                      <w:szCs w:val="18"/>
                    </w:rPr>
                    <w:t>23</w:t>
                  </w:r>
                </w:p>
              </w:tc>
              <w:tc>
                <w:tcPr>
                  <w:tcW w:w="762" w:type="pct"/>
                  <w:noWrap w:val="0"/>
                  <w:vAlign w:val="center"/>
                </w:tcPr>
                <w:p>
                  <w:pPr>
                    <w:autoSpaceDE w:val="0"/>
                    <w:autoSpaceDN w:val="0"/>
                    <w:adjustRightInd w:val="0"/>
                    <w:snapToGrid w:val="0"/>
                    <w:jc w:val="center"/>
                    <w:rPr>
                      <w:rFonts w:hint="eastAsia"/>
                      <w:b/>
                      <w:bCs/>
                      <w:color w:val="auto"/>
                      <w:kern w:val="0"/>
                      <w:sz w:val="18"/>
                      <w:szCs w:val="18"/>
                    </w:rPr>
                  </w:pPr>
                  <w:r>
                    <w:rPr>
                      <w:rFonts w:hint="eastAsia"/>
                      <w:b/>
                      <w:bCs/>
                      <w:color w:val="auto"/>
                      <w:kern w:val="0"/>
                      <w:sz w:val="18"/>
                      <w:szCs w:val="18"/>
                    </w:rPr>
                    <w:t>101</w:t>
                  </w:r>
                  <w:r>
                    <w:rPr>
                      <w:rFonts w:hint="eastAsia"/>
                      <w:b/>
                      <w:bCs/>
                      <w:color w:val="auto"/>
                      <w:kern w:val="0"/>
                      <w:sz w:val="18"/>
                      <w:szCs w:val="18"/>
                    </w:rPr>
                    <w:cr/>
                  </w:r>
                  <w:r>
                    <w:rPr>
                      <w:rFonts w:hint="eastAsia"/>
                      <w:b/>
                      <w:bCs/>
                      <w:color w:val="auto"/>
                      <w:kern w:val="0"/>
                      <w:sz w:val="18"/>
                      <w:szCs w:val="18"/>
                    </w:rPr>
                    <w:t>7601</w:t>
                  </w:r>
                </w:p>
              </w:tc>
              <w:tc>
                <w:tcPr>
                  <w:tcW w:w="592" w:type="pct"/>
                  <w:noWrap w:val="0"/>
                  <w:vAlign w:val="center"/>
                </w:tcPr>
                <w:p>
                  <w:pPr>
                    <w:autoSpaceDE w:val="0"/>
                    <w:autoSpaceDN w:val="0"/>
                    <w:adjustRightInd w:val="0"/>
                    <w:snapToGrid w:val="0"/>
                    <w:jc w:val="center"/>
                    <w:rPr>
                      <w:rFonts w:hint="eastAsia"/>
                      <w:b/>
                      <w:bCs/>
                      <w:color w:val="auto"/>
                      <w:kern w:val="0"/>
                      <w:sz w:val="18"/>
                      <w:szCs w:val="18"/>
                    </w:rPr>
                  </w:pPr>
                  <w:r>
                    <w:rPr>
                      <w:rFonts w:hint="eastAsia"/>
                      <w:b/>
                      <w:bCs/>
                      <w:color w:val="auto"/>
                      <w:kern w:val="0"/>
                      <w:sz w:val="18"/>
                      <w:szCs w:val="18"/>
                    </w:rPr>
                    <w:t>25.8807</w:t>
                  </w:r>
                </w:p>
              </w:tc>
              <w:tc>
                <w:tcPr>
                  <w:tcW w:w="493" w:type="pct"/>
                  <w:vMerge w:val="restart"/>
                  <w:noWrap w:val="0"/>
                  <w:vAlign w:val="center"/>
                </w:tcPr>
                <w:p>
                  <w:pPr>
                    <w:autoSpaceDE w:val="0"/>
                    <w:autoSpaceDN w:val="0"/>
                    <w:adjustRightInd w:val="0"/>
                    <w:snapToGrid w:val="0"/>
                    <w:jc w:val="center"/>
                    <w:rPr>
                      <w:rFonts w:hint="eastAsia"/>
                      <w:b/>
                      <w:bCs/>
                      <w:color w:val="auto"/>
                      <w:kern w:val="0"/>
                      <w:sz w:val="18"/>
                      <w:szCs w:val="18"/>
                    </w:rPr>
                  </w:pPr>
                  <w:r>
                    <w:rPr>
                      <w:rFonts w:hint="eastAsia"/>
                      <w:b/>
                      <w:bCs/>
                      <w:color w:val="auto"/>
                      <w:kern w:val="0"/>
                      <w:sz w:val="18"/>
                      <w:szCs w:val="18"/>
                    </w:rPr>
                    <w:t>金下基地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noWrap w:val="0"/>
                  <w:vAlign w:val="center"/>
                </w:tcPr>
                <w:p>
                  <w:pPr>
                    <w:autoSpaceDE w:val="0"/>
                    <w:autoSpaceDN w:val="0"/>
                    <w:adjustRightInd w:val="0"/>
                    <w:snapToGrid w:val="0"/>
                    <w:jc w:val="center"/>
                    <w:rPr>
                      <w:rFonts w:hint="eastAsia"/>
                      <w:b/>
                      <w:bCs/>
                      <w:color w:val="auto"/>
                      <w:kern w:val="0"/>
                      <w:sz w:val="18"/>
                      <w:szCs w:val="18"/>
                    </w:rPr>
                  </w:pPr>
                  <w:r>
                    <w:rPr>
                      <w:rFonts w:hint="eastAsia"/>
                      <w:b/>
                      <w:bCs/>
                      <w:color w:val="auto"/>
                      <w:kern w:val="0"/>
                      <w:sz w:val="18"/>
                      <w:szCs w:val="18"/>
                    </w:rPr>
                    <w:t>77</w:t>
                  </w:r>
                </w:p>
              </w:tc>
              <w:tc>
                <w:tcPr>
                  <w:tcW w:w="585" w:type="pct"/>
                  <w:noWrap w:val="0"/>
                  <w:vAlign w:val="center"/>
                </w:tcPr>
                <w:p>
                  <w:pPr>
                    <w:autoSpaceDE w:val="0"/>
                    <w:autoSpaceDN w:val="0"/>
                    <w:adjustRightInd w:val="0"/>
                    <w:snapToGrid w:val="0"/>
                    <w:jc w:val="center"/>
                    <w:rPr>
                      <w:rFonts w:hint="eastAsia"/>
                      <w:b/>
                      <w:bCs/>
                      <w:color w:val="auto"/>
                      <w:kern w:val="0"/>
                      <w:sz w:val="18"/>
                      <w:szCs w:val="18"/>
                    </w:rPr>
                  </w:pPr>
                  <w:r>
                    <w:rPr>
                      <w:rFonts w:hint="eastAsia"/>
                      <w:b/>
                      <w:bCs/>
                      <w:color w:val="auto"/>
                      <w:kern w:val="0"/>
                      <w:sz w:val="18"/>
                      <w:szCs w:val="18"/>
                    </w:rPr>
                    <w:t>楚雄州</w:t>
                  </w:r>
                </w:p>
              </w:tc>
              <w:tc>
                <w:tcPr>
                  <w:tcW w:w="593" w:type="pct"/>
                  <w:noWrap w:val="0"/>
                  <w:vAlign w:val="center"/>
                </w:tcPr>
                <w:p>
                  <w:pPr>
                    <w:autoSpaceDE w:val="0"/>
                    <w:autoSpaceDN w:val="0"/>
                    <w:adjustRightInd w:val="0"/>
                    <w:snapToGrid w:val="0"/>
                    <w:jc w:val="center"/>
                    <w:rPr>
                      <w:rFonts w:hint="eastAsia"/>
                      <w:b/>
                      <w:bCs/>
                      <w:color w:val="auto"/>
                      <w:kern w:val="0"/>
                      <w:sz w:val="18"/>
                      <w:szCs w:val="18"/>
                    </w:rPr>
                  </w:pPr>
                  <w:r>
                    <w:rPr>
                      <w:rFonts w:hint="eastAsia"/>
                      <w:b/>
                      <w:bCs/>
                      <w:color w:val="auto"/>
                      <w:kern w:val="0"/>
                      <w:sz w:val="18"/>
                      <w:szCs w:val="18"/>
                    </w:rPr>
                    <w:t>元谋县</w:t>
                  </w:r>
                </w:p>
              </w:tc>
              <w:tc>
                <w:tcPr>
                  <w:tcW w:w="592" w:type="pct"/>
                  <w:noWrap w:val="0"/>
                  <w:vAlign w:val="center"/>
                </w:tcPr>
                <w:p>
                  <w:pPr>
                    <w:autoSpaceDE w:val="0"/>
                    <w:autoSpaceDN w:val="0"/>
                    <w:adjustRightInd w:val="0"/>
                    <w:snapToGrid w:val="0"/>
                    <w:jc w:val="center"/>
                    <w:rPr>
                      <w:rFonts w:hint="eastAsia"/>
                      <w:b/>
                      <w:bCs/>
                      <w:color w:val="auto"/>
                      <w:kern w:val="0"/>
                      <w:sz w:val="18"/>
                      <w:szCs w:val="18"/>
                    </w:rPr>
                  </w:pPr>
                  <w:r>
                    <w:rPr>
                      <w:rFonts w:hint="eastAsia"/>
                      <w:b/>
                      <w:bCs/>
                      <w:color w:val="auto"/>
                      <w:kern w:val="0"/>
                      <w:sz w:val="18"/>
                      <w:szCs w:val="18"/>
                    </w:rPr>
                    <w:t>马头地</w:t>
                  </w:r>
                </w:p>
              </w:tc>
              <w:tc>
                <w:tcPr>
                  <w:tcW w:w="922" w:type="pct"/>
                  <w:noWrap w:val="0"/>
                  <w:vAlign w:val="center"/>
                </w:tcPr>
                <w:p>
                  <w:pPr>
                    <w:autoSpaceDE w:val="0"/>
                    <w:autoSpaceDN w:val="0"/>
                    <w:adjustRightInd w:val="0"/>
                    <w:snapToGrid w:val="0"/>
                    <w:jc w:val="center"/>
                    <w:rPr>
                      <w:rFonts w:hint="eastAsia"/>
                      <w:b/>
                      <w:bCs/>
                      <w:color w:val="auto"/>
                      <w:kern w:val="0"/>
                      <w:sz w:val="18"/>
                      <w:szCs w:val="18"/>
                    </w:rPr>
                  </w:pPr>
                  <w:r>
                    <w:rPr>
                      <w:rFonts w:hint="eastAsia"/>
                      <w:b/>
                      <w:bCs/>
                      <w:color w:val="auto"/>
                      <w:kern w:val="0"/>
                      <w:sz w:val="18"/>
                      <w:szCs w:val="18"/>
                    </w:rPr>
                    <w:t>17</w:t>
                  </w:r>
                </w:p>
              </w:tc>
              <w:tc>
                <w:tcPr>
                  <w:tcW w:w="762" w:type="pct"/>
                  <w:noWrap w:val="0"/>
                  <w:vAlign w:val="center"/>
                </w:tcPr>
                <w:p>
                  <w:pPr>
                    <w:autoSpaceDE w:val="0"/>
                    <w:autoSpaceDN w:val="0"/>
                    <w:adjustRightInd w:val="0"/>
                    <w:snapToGrid w:val="0"/>
                    <w:jc w:val="center"/>
                    <w:rPr>
                      <w:rFonts w:hint="eastAsia"/>
                      <w:b/>
                      <w:bCs/>
                      <w:color w:val="auto"/>
                      <w:kern w:val="0"/>
                      <w:sz w:val="18"/>
                      <w:szCs w:val="18"/>
                    </w:rPr>
                  </w:pPr>
                  <w:r>
                    <w:rPr>
                      <w:rFonts w:hint="eastAsia"/>
                      <w:b/>
                      <w:bCs/>
                      <w:color w:val="auto"/>
                      <w:kern w:val="0"/>
                      <w:sz w:val="18"/>
                      <w:szCs w:val="18"/>
                    </w:rPr>
                    <w:t>101.8462</w:t>
                  </w:r>
                </w:p>
              </w:tc>
              <w:tc>
                <w:tcPr>
                  <w:tcW w:w="592" w:type="pct"/>
                  <w:noWrap w:val="0"/>
                  <w:vAlign w:val="center"/>
                </w:tcPr>
                <w:p>
                  <w:pPr>
                    <w:autoSpaceDE w:val="0"/>
                    <w:autoSpaceDN w:val="0"/>
                    <w:adjustRightInd w:val="0"/>
                    <w:snapToGrid w:val="0"/>
                    <w:jc w:val="center"/>
                    <w:rPr>
                      <w:rFonts w:hint="eastAsia"/>
                      <w:b/>
                      <w:bCs/>
                      <w:color w:val="auto"/>
                      <w:kern w:val="0"/>
                      <w:sz w:val="18"/>
                      <w:szCs w:val="18"/>
                    </w:rPr>
                  </w:pPr>
                  <w:r>
                    <w:rPr>
                      <w:rFonts w:hint="eastAsia"/>
                      <w:b/>
                      <w:bCs/>
                      <w:color w:val="auto"/>
                      <w:kern w:val="0"/>
                      <w:sz w:val="18"/>
                      <w:szCs w:val="18"/>
                    </w:rPr>
                    <w:t>25.</w:t>
                  </w:r>
                  <w:r>
                    <w:rPr>
                      <w:rFonts w:hint="eastAsia"/>
                      <w:b/>
                      <w:bCs/>
                      <w:color w:val="auto"/>
                      <w:kern w:val="0"/>
                      <w:sz w:val="18"/>
                      <w:szCs w:val="18"/>
                    </w:rPr>
                    <w:cr/>
                  </w:r>
                  <w:r>
                    <w:rPr>
                      <w:rFonts w:hint="eastAsia"/>
                      <w:b/>
                      <w:bCs/>
                      <w:color w:val="auto"/>
                      <w:kern w:val="0"/>
                      <w:sz w:val="18"/>
                      <w:szCs w:val="18"/>
                    </w:rPr>
                    <w:t>760</w:t>
                  </w:r>
                </w:p>
              </w:tc>
              <w:tc>
                <w:tcPr>
                  <w:tcW w:w="493" w:type="pct"/>
                  <w:vMerge w:val="continue"/>
                  <w:noWrap w:val="0"/>
                  <w:vAlign w:val="center"/>
                </w:tcPr>
                <w:p>
                  <w:pPr>
                    <w:autoSpaceDE w:val="0"/>
                    <w:autoSpaceDN w:val="0"/>
                    <w:adjustRightInd w:val="0"/>
                    <w:snapToGrid w:val="0"/>
                    <w:jc w:val="center"/>
                    <w:rPr>
                      <w:rFonts w:hint="eastAsia"/>
                      <w:b/>
                      <w:bCs/>
                      <w:color w:val="auto"/>
                      <w:kern w:val="0"/>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noWrap w:val="0"/>
                  <w:vAlign w:val="center"/>
                </w:tcPr>
                <w:p>
                  <w:pPr>
                    <w:autoSpaceDE w:val="0"/>
                    <w:autoSpaceDN w:val="0"/>
                    <w:adjustRightInd w:val="0"/>
                    <w:snapToGrid w:val="0"/>
                    <w:jc w:val="center"/>
                    <w:rPr>
                      <w:rFonts w:hint="eastAsia"/>
                      <w:b/>
                      <w:bCs/>
                      <w:color w:val="auto"/>
                      <w:kern w:val="0"/>
                      <w:szCs w:val="21"/>
                    </w:rPr>
                  </w:pPr>
                </w:p>
              </w:tc>
              <w:tc>
                <w:tcPr>
                  <w:tcW w:w="585" w:type="pct"/>
                  <w:noWrap w:val="0"/>
                  <w:vAlign w:val="center"/>
                </w:tcPr>
                <w:p>
                  <w:pPr>
                    <w:autoSpaceDE w:val="0"/>
                    <w:autoSpaceDN w:val="0"/>
                    <w:adjustRightInd w:val="0"/>
                    <w:snapToGrid w:val="0"/>
                    <w:jc w:val="center"/>
                    <w:rPr>
                      <w:rFonts w:hint="eastAsia"/>
                      <w:b/>
                      <w:bCs/>
                      <w:color w:val="auto"/>
                      <w:kern w:val="0"/>
                      <w:szCs w:val="21"/>
                    </w:rPr>
                  </w:pPr>
                </w:p>
              </w:tc>
              <w:tc>
                <w:tcPr>
                  <w:tcW w:w="593" w:type="pct"/>
                  <w:noWrap w:val="0"/>
                  <w:vAlign w:val="center"/>
                </w:tcPr>
                <w:p>
                  <w:pPr>
                    <w:autoSpaceDE w:val="0"/>
                    <w:autoSpaceDN w:val="0"/>
                    <w:adjustRightInd w:val="0"/>
                    <w:snapToGrid w:val="0"/>
                    <w:jc w:val="center"/>
                    <w:rPr>
                      <w:rFonts w:hint="eastAsia"/>
                      <w:b/>
                      <w:bCs/>
                      <w:color w:val="auto"/>
                      <w:kern w:val="0"/>
                      <w:szCs w:val="21"/>
                    </w:rPr>
                  </w:pPr>
                </w:p>
              </w:tc>
              <w:tc>
                <w:tcPr>
                  <w:tcW w:w="592" w:type="pct"/>
                  <w:noWrap w:val="0"/>
                  <w:vAlign w:val="center"/>
                </w:tcPr>
                <w:p>
                  <w:pPr>
                    <w:autoSpaceDE w:val="0"/>
                    <w:autoSpaceDN w:val="0"/>
                    <w:adjustRightInd w:val="0"/>
                    <w:snapToGrid w:val="0"/>
                    <w:jc w:val="center"/>
                    <w:rPr>
                      <w:rFonts w:hint="eastAsia"/>
                      <w:b/>
                      <w:bCs/>
                      <w:color w:val="auto"/>
                      <w:kern w:val="0"/>
                      <w:szCs w:val="21"/>
                    </w:rPr>
                  </w:pPr>
                </w:p>
              </w:tc>
              <w:tc>
                <w:tcPr>
                  <w:tcW w:w="922" w:type="pct"/>
                  <w:noWrap w:val="0"/>
                  <w:vAlign w:val="center"/>
                </w:tcPr>
                <w:p>
                  <w:pPr>
                    <w:autoSpaceDE w:val="0"/>
                    <w:autoSpaceDN w:val="0"/>
                    <w:adjustRightInd w:val="0"/>
                    <w:snapToGrid w:val="0"/>
                    <w:jc w:val="center"/>
                    <w:rPr>
                      <w:rFonts w:hint="eastAsia"/>
                      <w:b/>
                      <w:bCs/>
                      <w:color w:val="auto"/>
                      <w:kern w:val="0"/>
                      <w:szCs w:val="21"/>
                    </w:rPr>
                  </w:pPr>
                </w:p>
              </w:tc>
              <w:tc>
                <w:tcPr>
                  <w:tcW w:w="762" w:type="pct"/>
                  <w:noWrap w:val="0"/>
                  <w:vAlign w:val="center"/>
                </w:tcPr>
                <w:p>
                  <w:pPr>
                    <w:autoSpaceDE w:val="0"/>
                    <w:autoSpaceDN w:val="0"/>
                    <w:adjustRightInd w:val="0"/>
                    <w:snapToGrid w:val="0"/>
                    <w:jc w:val="center"/>
                    <w:rPr>
                      <w:rFonts w:hint="eastAsia"/>
                      <w:b/>
                      <w:bCs/>
                      <w:color w:val="auto"/>
                      <w:kern w:val="0"/>
                      <w:szCs w:val="21"/>
                    </w:rPr>
                  </w:pPr>
                </w:p>
              </w:tc>
              <w:tc>
                <w:tcPr>
                  <w:tcW w:w="592" w:type="pct"/>
                  <w:noWrap w:val="0"/>
                  <w:vAlign w:val="center"/>
                </w:tcPr>
                <w:p>
                  <w:pPr>
                    <w:autoSpaceDE w:val="0"/>
                    <w:autoSpaceDN w:val="0"/>
                    <w:adjustRightInd w:val="0"/>
                    <w:snapToGrid w:val="0"/>
                    <w:jc w:val="center"/>
                    <w:rPr>
                      <w:rFonts w:hint="eastAsia"/>
                      <w:b/>
                      <w:bCs/>
                      <w:color w:val="auto"/>
                      <w:kern w:val="0"/>
                      <w:szCs w:val="21"/>
                    </w:rPr>
                  </w:pPr>
                </w:p>
              </w:tc>
              <w:tc>
                <w:tcPr>
                  <w:tcW w:w="493" w:type="pct"/>
                  <w:noWrap w:val="0"/>
                  <w:vAlign w:val="center"/>
                </w:tcPr>
                <w:p>
                  <w:pPr>
                    <w:autoSpaceDE w:val="0"/>
                    <w:autoSpaceDN w:val="0"/>
                    <w:adjustRightInd w:val="0"/>
                    <w:snapToGrid w:val="0"/>
                    <w:jc w:val="center"/>
                    <w:rPr>
                      <w:rFonts w:hint="eastAsia"/>
                      <w:b/>
                      <w:bCs/>
                      <w:color w:val="auto"/>
                      <w:kern w:val="0"/>
                      <w:szCs w:val="21"/>
                    </w:rPr>
                  </w:pPr>
                </w:p>
              </w:tc>
            </w:tr>
          </w:tbl>
          <w:p>
            <w:pPr>
              <w:autoSpaceDE w:val="0"/>
              <w:autoSpaceDN w:val="0"/>
              <w:adjustRightInd w:val="0"/>
              <w:snapToGrid w:val="0"/>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本项目为林光互补项目，符合云南省能源局关于《云南省能源局关于加快推进“十四五”规划新能源项目配套接网工程有关工作的通知》。</w:t>
            </w:r>
          </w:p>
          <w:p>
            <w:pPr>
              <w:autoSpaceDE w:val="0"/>
              <w:autoSpaceDN w:val="0"/>
              <w:adjustRightInd w:val="0"/>
              <w:snapToGrid w:val="0"/>
              <w:spacing w:line="360" w:lineRule="auto"/>
              <w:rPr>
                <w:rFonts w:hint="eastAsia" w:ascii="宋体" w:hAnsi="宋体" w:cs="宋体"/>
                <w:b/>
                <w:bCs/>
                <w:color w:val="auto"/>
                <w:kern w:val="0"/>
                <w:sz w:val="24"/>
              </w:rPr>
            </w:pPr>
            <w:r>
              <w:rPr>
                <w:rFonts w:hint="eastAsia" w:ascii="宋体" w:hAnsi="宋体" w:cs="宋体"/>
                <w:b/>
                <w:bCs/>
                <w:color w:val="auto"/>
                <w:kern w:val="0"/>
                <w:sz w:val="24"/>
              </w:rPr>
              <w:t>8、与《国家林业局关于光伏电站建设使用林地有关问题的通知》符合性分析</w:t>
            </w:r>
          </w:p>
          <w:p>
            <w:pPr>
              <w:autoSpaceDE w:val="0"/>
              <w:autoSpaceDN w:val="0"/>
              <w:adjustRightInd w:val="0"/>
              <w:snapToGrid w:val="0"/>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2015年11月，国家林业局印发了《关于光伏电站建设使用林地有关问题的通知》（林资发〔2015〕153号），通知指出各类自然保护区、森林公园（含同类型国家公园）、濒危物种栖息地、天然林保护工程区以及东北内蒙古重点国有林区，为禁止建设区域。其它生态地位重要、生态脆弱、地形破碎区域，为限制建设区域。光伏电站的电池组件阵列禁止使用有林地、疏林地、未成林造林地、采伐迹地、火烧迹地，以及年降雨量400mm以下区域覆盖度高于30%的灌木林地和年降雨量400mm以上区域覆盖度高于50%的灌木林地。</w:t>
            </w:r>
          </w:p>
          <w:p>
            <w:pPr>
              <w:autoSpaceDE w:val="0"/>
              <w:autoSpaceDN w:val="0"/>
              <w:adjustRightInd w:val="0"/>
              <w:snapToGrid w:val="0"/>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本项目已对上述禁止建设和限制建设区域进行避让。并针对上述禁建区和限制建设区域进行全面的复核调查，拟建项目不占用上述禁止建设和限制建设区域，本项目的建设与国家林业局“关于光伏电站建设使用林地有关问题的通知”（林资发〔2015〕153号）中的相关要求基本相符。</w:t>
            </w:r>
          </w:p>
          <w:p>
            <w:pPr>
              <w:autoSpaceDE w:val="0"/>
              <w:autoSpaceDN w:val="0"/>
              <w:adjustRightInd w:val="0"/>
              <w:snapToGrid w:val="0"/>
              <w:spacing w:line="360" w:lineRule="auto"/>
              <w:rPr>
                <w:rFonts w:hint="eastAsia" w:ascii="宋体" w:hAnsi="宋体" w:cs="宋体"/>
                <w:color w:val="auto"/>
                <w:kern w:val="0"/>
                <w:szCs w:val="21"/>
              </w:rPr>
            </w:pPr>
          </w:p>
        </w:tc>
      </w:tr>
    </w:tbl>
    <w:p>
      <w:pPr>
        <w:pStyle w:val="6"/>
        <w:bidi w:val="0"/>
        <w:rPr>
          <w:rFonts w:hint="eastAsia"/>
          <w:lang w:val="en-US" w:eastAsia="zh-CN"/>
        </w:rPr>
      </w:pPr>
    </w:p>
    <w:p>
      <w:pPr>
        <w:rPr>
          <w:rFonts w:hint="default"/>
          <w:lang w:val="en-US" w:eastAsia="zh-CN"/>
        </w:rPr>
      </w:pPr>
      <w:r>
        <w:rPr>
          <w:rFonts w:hint="default"/>
          <w:lang w:val="en-US" w:eastAsia="zh-CN"/>
        </w:rPr>
        <w:br w:type="page"/>
      </w:r>
    </w:p>
    <w:p>
      <w:pPr>
        <w:pStyle w:val="15"/>
        <w:jc w:val="center"/>
        <w:outlineLvl w:val="0"/>
        <w:rPr>
          <w:rFonts w:hint="eastAsia" w:ascii="黑体" w:hAnsi="黑体" w:eastAsia="黑体" w:cs="Times New Roman"/>
          <w:snapToGrid w:val="0"/>
          <w:sz w:val="30"/>
          <w:szCs w:val="30"/>
          <w:lang w:val="en-US" w:eastAsia="zh-CN"/>
        </w:rPr>
      </w:pPr>
      <w:bookmarkStart w:id="8" w:name="_Toc26480"/>
      <w:bookmarkStart w:id="9" w:name="_Toc23503"/>
      <w:r>
        <w:rPr>
          <w:rFonts w:hint="eastAsia" w:ascii="黑体" w:hAnsi="黑体" w:eastAsia="黑体" w:cs="Times New Roman"/>
          <w:snapToGrid w:val="0"/>
          <w:sz w:val="30"/>
          <w:szCs w:val="30"/>
          <w:lang w:val="en-US" w:eastAsia="zh-CN"/>
        </w:rPr>
        <w:t>二、建设内容</w:t>
      </w:r>
      <w:bookmarkEnd w:id="8"/>
      <w:bookmarkEnd w:id="9"/>
    </w:p>
    <w:tbl>
      <w:tblPr>
        <w:tblStyle w:val="18"/>
        <w:tblW w:w="923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426" w:type="dxa"/>
            <w:noWrap w:val="0"/>
            <w:vAlign w:val="center"/>
          </w:tcPr>
          <w:p>
            <w:pPr>
              <w:adjustRightInd w:val="0"/>
              <w:snapToGrid w:val="0"/>
              <w:jc w:val="center"/>
              <w:rPr>
                <w:rFonts w:ascii="宋体" w:hAnsi="宋体" w:eastAsia="宋体" w:cs="宋体"/>
                <w:color w:val="auto"/>
                <w:kern w:val="0"/>
                <w:szCs w:val="21"/>
              </w:rPr>
            </w:pPr>
            <w:r>
              <w:rPr>
                <w:rFonts w:hint="eastAsia" w:ascii="宋体" w:hAnsi="宋体" w:eastAsia="宋体" w:cs="宋体"/>
                <w:color w:val="auto"/>
                <w:kern w:val="0"/>
                <w:szCs w:val="21"/>
              </w:rPr>
              <w:t>地理位置</w:t>
            </w:r>
          </w:p>
        </w:tc>
        <w:tc>
          <w:tcPr>
            <w:tcW w:w="8808" w:type="dxa"/>
            <w:noWrap w:val="0"/>
            <w:vAlign w:val="center"/>
          </w:tcPr>
          <w:p>
            <w:pPr>
              <w:adjustRightInd w:val="0"/>
              <w:snapToGrid w:val="0"/>
              <w:spacing w:line="360" w:lineRule="auto"/>
              <w:rPr>
                <w:rFonts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rPr>
              <w:t>2.1 地理位置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hd w:val="clear" w:color="auto" w:fill="FFFFFF"/>
                <w:lang w:val="zh-CN"/>
              </w:rPr>
            </w:pPr>
            <w:r>
              <w:rPr>
                <w:rFonts w:hint="eastAsia" w:ascii="Times New Roman" w:hAnsi="Times New Roman" w:eastAsia="宋体" w:cs="Times New Roman"/>
                <w:color w:val="auto"/>
                <w:sz w:val="24"/>
                <w:shd w:val="clear" w:color="auto" w:fill="FFFFFF"/>
                <w:lang w:val="zh-CN"/>
              </w:rPr>
              <w:t>华能元谋马头地光伏电站</w:t>
            </w:r>
            <w:r>
              <w:rPr>
                <w:rFonts w:hint="eastAsia" w:ascii="Times New Roman" w:hAnsi="Times New Roman" w:eastAsia="宋体" w:cs="Times New Roman"/>
                <w:color w:val="auto"/>
                <w:sz w:val="24"/>
                <w:shd w:val="clear" w:color="auto" w:fill="FFFFFF"/>
                <w:lang w:val="en-US" w:eastAsia="zh-CN"/>
              </w:rPr>
              <w:t>（变更）</w:t>
            </w:r>
            <w:r>
              <w:rPr>
                <w:rFonts w:hint="eastAsia" w:cs="Times New Roman"/>
                <w:color w:val="auto"/>
                <w:sz w:val="24"/>
                <w:shd w:val="clear" w:color="auto" w:fill="FFFFFF"/>
                <w:lang w:val="en-US" w:eastAsia="zh-CN"/>
              </w:rPr>
              <w:t>项目</w:t>
            </w:r>
            <w:r>
              <w:rPr>
                <w:rFonts w:hint="eastAsia" w:ascii="Times New Roman" w:hAnsi="Times New Roman" w:eastAsia="宋体" w:cs="Times New Roman"/>
                <w:color w:val="auto"/>
                <w:sz w:val="24"/>
                <w:shd w:val="clear" w:color="auto" w:fill="FFFFFF"/>
                <w:lang w:val="zh-CN"/>
              </w:rPr>
              <w:t>（以下简称“马头地光伏电站”）位于云南省楚雄州元谋县老城乡，项目利用国家允许光伏使用林地建设光伏发电项目，规划容量170MW。项目场址范围位于东经101.78°至101.85°，北纬25.64°至25.60°，场址中心坐标北纬25.618°，北纬101.806°，高程在1200m～1800m之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hd w:val="clear" w:color="auto" w:fill="FFFFFF"/>
                <w:lang w:val="zh-CN"/>
              </w:rPr>
            </w:pPr>
            <w:r>
              <w:rPr>
                <w:rFonts w:hint="eastAsia" w:ascii="Times New Roman" w:hAnsi="Times New Roman" w:eastAsia="宋体" w:cs="Times New Roman"/>
                <w:color w:val="auto"/>
                <w:sz w:val="24"/>
                <w:shd w:val="clear" w:color="auto" w:fill="FFFFFF"/>
                <w:lang w:val="en-US" w:eastAsia="zh-CN"/>
              </w:rPr>
              <w:t>元谋县具备公路、铁路、水上航运的立体交通运输网络，县城距州府楚雄134公里、省城昆明156公里、四川攀枝花139公里，108国道、G5京昆高速公路、昆明至攀枝花动车横穿元谋县腹地，周边距离G5高速、国道G108，省道S214、省道S216等较近,交通十分便利</w:t>
            </w:r>
            <w:r>
              <w:rPr>
                <w:rFonts w:hint="eastAsia" w:ascii="Times New Roman" w:hAnsi="Times New Roman" w:eastAsia="宋体" w:cs="Times New Roman"/>
                <w:color w:val="auto"/>
                <w:sz w:val="24"/>
                <w:shd w:val="clear" w:color="auto" w:fill="FFFFFF"/>
                <w:lang w:val="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color w:val="auto"/>
              </w:rPr>
            </w:pPr>
            <w:r>
              <w:rPr>
                <w:rFonts w:hint="eastAsia" w:ascii="Times New Roman" w:hAnsi="Times New Roman" w:eastAsia="宋体" w:cs="Times New Roman"/>
                <w:color w:val="auto"/>
                <w:sz w:val="24"/>
                <w:shd w:val="clear" w:color="auto" w:fill="FFFFFF"/>
                <w:lang w:val="zh-CN"/>
              </w:rPr>
              <w:t>项目具体地理位置详见附图1。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426" w:type="dxa"/>
            <w:noWrap w:val="0"/>
            <w:vAlign w:val="center"/>
          </w:tcPr>
          <w:p>
            <w:pPr>
              <w:adjustRightInd w:val="0"/>
              <w:snapToGrid w:val="0"/>
              <w:jc w:val="center"/>
              <w:rPr>
                <w:rFonts w:ascii="宋体" w:hAnsi="宋体" w:eastAsia="宋体" w:cs="宋体"/>
                <w:color w:val="auto"/>
                <w:kern w:val="0"/>
                <w:szCs w:val="21"/>
              </w:rPr>
            </w:pPr>
            <w:r>
              <w:rPr>
                <w:rFonts w:hint="eastAsia" w:ascii="宋体" w:hAnsi="宋体" w:eastAsia="宋体" w:cs="宋体"/>
                <w:color w:val="auto"/>
                <w:kern w:val="0"/>
                <w:szCs w:val="21"/>
              </w:rPr>
              <w:t>项目组成及规模</w:t>
            </w:r>
          </w:p>
        </w:tc>
        <w:tc>
          <w:tcPr>
            <w:tcW w:w="8808" w:type="dxa"/>
            <w:noWrap w:val="0"/>
            <w:vAlign w:val="center"/>
          </w:tcPr>
          <w:p>
            <w:pPr>
              <w:adjustRightInd w:val="0"/>
              <w:snapToGrid w:val="0"/>
              <w:spacing w:line="360" w:lineRule="auto"/>
              <w:rPr>
                <w:rFonts w:hint="eastAsia"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rPr>
              <w:t>2.2 项目概况</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宋体"/>
                <w:color w:val="auto"/>
                <w:kern w:val="0"/>
                <w:sz w:val="24"/>
              </w:rPr>
            </w:pPr>
            <w:r>
              <w:rPr>
                <w:rFonts w:hint="eastAsia" w:ascii="Times New Roman" w:hAnsi="Times New Roman" w:eastAsia="宋体" w:cs="宋体"/>
                <w:b/>
                <w:bCs/>
                <w:color w:val="auto"/>
                <w:kern w:val="0"/>
                <w:sz w:val="24"/>
              </w:rPr>
              <w:t>项目名称：</w:t>
            </w:r>
            <w:r>
              <w:rPr>
                <w:rFonts w:hint="eastAsia" w:ascii="Times New Roman" w:hAnsi="Times New Roman" w:eastAsia="宋体" w:cs="宋体"/>
                <w:color w:val="auto"/>
                <w:kern w:val="0"/>
                <w:sz w:val="24"/>
              </w:rPr>
              <w:t>华能元谋马头地光伏电站</w:t>
            </w:r>
            <w:r>
              <w:rPr>
                <w:rFonts w:hint="eastAsia" w:ascii="Times New Roman" w:hAnsi="Times New Roman" w:cs="Times New Roman"/>
                <w:color w:val="auto"/>
                <w:kern w:val="2"/>
                <w:sz w:val="24"/>
                <w:szCs w:val="24"/>
                <w:lang w:val="en-US" w:eastAsia="zh-CN" w:bidi="ar-SA"/>
              </w:rPr>
              <w:t>（变更）</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宋体"/>
                <w:color w:val="auto"/>
                <w:kern w:val="0"/>
                <w:sz w:val="24"/>
              </w:rPr>
            </w:pPr>
            <w:r>
              <w:rPr>
                <w:rFonts w:hint="eastAsia" w:ascii="Times New Roman" w:hAnsi="Times New Roman" w:eastAsia="宋体" w:cs="宋体"/>
                <w:b/>
                <w:bCs/>
                <w:color w:val="auto"/>
                <w:kern w:val="0"/>
                <w:sz w:val="24"/>
              </w:rPr>
              <w:t>建设单位：</w:t>
            </w:r>
            <w:r>
              <w:rPr>
                <w:rFonts w:hint="eastAsia" w:ascii="Times New Roman" w:hAnsi="Times New Roman" w:eastAsia="宋体" w:cs="宋体"/>
                <w:color w:val="auto"/>
                <w:kern w:val="0"/>
                <w:sz w:val="24"/>
              </w:rPr>
              <w:t>华能新能源（元谋）有限公司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宋体"/>
                <w:color w:val="auto"/>
                <w:kern w:val="0"/>
                <w:sz w:val="24"/>
              </w:rPr>
            </w:pPr>
            <w:r>
              <w:rPr>
                <w:rFonts w:hint="eastAsia" w:ascii="Times New Roman" w:hAnsi="Times New Roman" w:eastAsia="宋体" w:cs="宋体"/>
                <w:b/>
                <w:bCs/>
                <w:color w:val="auto"/>
                <w:kern w:val="0"/>
                <w:sz w:val="24"/>
              </w:rPr>
              <w:t>建设性质：</w:t>
            </w:r>
            <w:r>
              <w:rPr>
                <w:rFonts w:hint="eastAsia" w:ascii="Times New Roman" w:hAnsi="Times New Roman" w:eastAsia="宋体" w:cs="宋体"/>
                <w:color w:val="auto"/>
                <w:kern w:val="0"/>
                <w:sz w:val="24"/>
              </w:rPr>
              <w:t>新建</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宋体"/>
                <w:color w:val="auto"/>
                <w:kern w:val="0"/>
                <w:sz w:val="24"/>
              </w:rPr>
            </w:pPr>
            <w:r>
              <w:rPr>
                <w:rFonts w:hint="eastAsia" w:ascii="Times New Roman" w:hAnsi="Times New Roman" w:eastAsia="宋体" w:cs="宋体"/>
                <w:b/>
                <w:bCs/>
                <w:color w:val="auto"/>
                <w:kern w:val="0"/>
                <w:sz w:val="24"/>
              </w:rPr>
              <w:t>建设地点：</w:t>
            </w:r>
            <w:r>
              <w:rPr>
                <w:rFonts w:hint="eastAsia" w:ascii="Times New Roman" w:hAnsi="Times New Roman" w:eastAsia="宋体" w:cs="宋体"/>
                <w:color w:val="auto"/>
                <w:kern w:val="0"/>
                <w:sz w:val="24"/>
              </w:rPr>
              <w:t>云南省楚雄彝族自治州元谋县老城乡</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ascii="Times New Roman" w:hAnsi="Times New Roman" w:eastAsia="宋体" w:cs="Times New Roman"/>
                <w:color w:val="auto"/>
                <w:kern w:val="0"/>
                <w:sz w:val="24"/>
              </w:rPr>
            </w:pPr>
            <w:r>
              <w:rPr>
                <w:rFonts w:hint="eastAsia" w:ascii="Times New Roman" w:hAnsi="Times New Roman" w:eastAsia="宋体" w:cs="宋体"/>
                <w:b/>
                <w:bCs/>
                <w:color w:val="auto"/>
                <w:kern w:val="0"/>
                <w:sz w:val="24"/>
              </w:rPr>
              <w:t>建设工期：</w:t>
            </w:r>
            <w:r>
              <w:rPr>
                <w:rFonts w:hint="eastAsia" w:cs="Times New Roman"/>
                <w:color w:val="auto"/>
                <w:kern w:val="0"/>
                <w:sz w:val="24"/>
                <w:lang w:val="en-US" w:eastAsia="zh-CN"/>
              </w:rPr>
              <w:t>施工</w:t>
            </w:r>
            <w:r>
              <w:rPr>
                <w:rFonts w:ascii="Times New Roman" w:hAnsi="Times New Roman" w:eastAsia="宋体" w:cs="Times New Roman"/>
                <w:color w:val="auto"/>
                <w:kern w:val="0"/>
                <w:sz w:val="24"/>
              </w:rPr>
              <w:t>工期</w:t>
            </w:r>
            <w:r>
              <w:rPr>
                <w:rFonts w:hint="eastAsia" w:cs="Times New Roman"/>
                <w:color w:val="auto"/>
                <w:kern w:val="0"/>
                <w:sz w:val="24"/>
                <w:lang w:val="en-US" w:eastAsia="zh-CN"/>
              </w:rPr>
              <w:t>7</w:t>
            </w:r>
            <w:r>
              <w:rPr>
                <w:rFonts w:ascii="Times New Roman" w:hAnsi="Times New Roman" w:eastAsia="宋体" w:cs="Times New Roman"/>
                <w:color w:val="auto"/>
                <w:kern w:val="0"/>
                <w:sz w:val="24"/>
              </w:rPr>
              <w:t>个月；</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color w:val="auto"/>
                <w:sz w:val="24"/>
              </w:rPr>
            </w:pPr>
            <w:r>
              <w:rPr>
                <w:rFonts w:ascii="Times New Roman" w:hAnsi="Times New Roman" w:eastAsia="宋体" w:cs="Times New Roman"/>
                <w:b/>
                <w:bCs/>
                <w:color w:val="auto"/>
                <w:kern w:val="0"/>
                <w:sz w:val="24"/>
              </w:rPr>
              <w:t>总投资：</w:t>
            </w:r>
            <w:r>
              <w:rPr>
                <w:rFonts w:ascii="Times New Roman" w:hAnsi="Times New Roman" w:eastAsia="宋体" w:cs="Times New Roman"/>
                <w:color w:val="auto"/>
                <w:kern w:val="0"/>
                <w:sz w:val="24"/>
              </w:rPr>
              <w:t>工程总投资</w:t>
            </w:r>
            <w:r>
              <w:rPr>
                <w:rFonts w:hint="eastAsia" w:cs="Times New Roman"/>
                <w:color w:val="auto"/>
                <w:kern w:val="0"/>
                <w:sz w:val="24"/>
                <w:lang w:val="en-US" w:eastAsia="zh-CN"/>
              </w:rPr>
              <w:t>96430</w:t>
            </w:r>
            <w:r>
              <w:rPr>
                <w:rFonts w:ascii="Times New Roman" w:hAnsi="Times New Roman" w:eastAsia="宋体" w:cs="Times New Roman"/>
                <w:color w:val="auto"/>
                <w:kern w:val="0"/>
                <w:sz w:val="24"/>
              </w:rPr>
              <w:t>万元。</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宋体"/>
                <w:b w:val="0"/>
                <w:bCs w:val="0"/>
                <w:color w:val="auto"/>
                <w:kern w:val="0"/>
                <w:sz w:val="24"/>
                <w:lang w:val="en-US" w:eastAsia="zh-CN"/>
              </w:rPr>
            </w:pPr>
            <w:r>
              <w:rPr>
                <w:rFonts w:hint="eastAsia" w:ascii="Times New Roman" w:hAnsi="Times New Roman" w:eastAsia="宋体" w:cs="宋体"/>
                <w:b/>
                <w:bCs/>
                <w:color w:val="auto"/>
                <w:kern w:val="0"/>
                <w:sz w:val="24"/>
              </w:rPr>
              <w:t>工程规模：</w:t>
            </w:r>
            <w:r>
              <w:rPr>
                <w:rFonts w:hint="eastAsia" w:ascii="Times New Roman" w:hAnsi="Times New Roman" w:eastAsia="宋体" w:cs="宋体"/>
                <w:b w:val="0"/>
                <w:bCs w:val="0"/>
                <w:color w:val="auto"/>
                <w:kern w:val="0"/>
                <w:sz w:val="24"/>
                <w:lang w:val="zh-CN"/>
              </w:rPr>
              <w:t>项目规划交流容量170MW，直流容量212.89002MWp，共布置标称容量为3150kW的光伏方阵52个以及标称容量为</w:t>
            </w:r>
            <w:r>
              <w:rPr>
                <w:rFonts w:hint="eastAsia" w:ascii="Times New Roman" w:hAnsi="Times New Roman" w:eastAsia="宋体" w:cs="宋体"/>
                <w:b w:val="0"/>
                <w:bCs w:val="0"/>
                <w:color w:val="auto"/>
                <w:kern w:val="0"/>
                <w:sz w:val="24"/>
                <w:lang w:val="en-US" w:eastAsia="zh-CN"/>
              </w:rPr>
              <w:t>2000</w:t>
            </w:r>
            <w:r>
              <w:rPr>
                <w:rFonts w:hint="eastAsia" w:ascii="Times New Roman" w:hAnsi="Times New Roman" w:eastAsia="宋体" w:cs="宋体"/>
                <w:b w:val="0"/>
                <w:bCs w:val="0"/>
                <w:color w:val="auto"/>
                <w:kern w:val="0"/>
                <w:sz w:val="24"/>
                <w:lang w:val="zh-CN"/>
              </w:rPr>
              <w:t>kW的光伏方阵2个</w:t>
            </w:r>
            <w:r>
              <w:rPr>
                <w:rFonts w:hint="eastAsia" w:ascii="Times New Roman" w:hAnsi="Times New Roman" w:eastAsia="宋体" w:cs="宋体"/>
                <w:b w:val="0"/>
                <w:bCs w:val="0"/>
                <w:color w:val="auto"/>
                <w:kern w:val="0"/>
                <w:sz w:val="24"/>
                <w:lang w:val="zh-CN" w:eastAsia="zh-CN"/>
              </w:rPr>
              <w:t>，</w:t>
            </w:r>
            <w:r>
              <w:rPr>
                <w:rFonts w:hint="eastAsia" w:ascii="Times New Roman" w:hAnsi="Times New Roman" w:eastAsia="宋体" w:cs="宋体"/>
                <w:b w:val="0"/>
                <w:bCs w:val="0"/>
                <w:color w:val="auto"/>
                <w:kern w:val="0"/>
                <w:sz w:val="24"/>
                <w:lang w:val="en-US" w:eastAsia="zh-CN"/>
              </w:rPr>
              <w:t>拟装设52个3150kVA箱变、2个2000kVA箱变。</w:t>
            </w:r>
            <w:r>
              <w:rPr>
                <w:rFonts w:hint="eastAsia" w:ascii="Times New Roman" w:hAnsi="Times New Roman" w:eastAsia="宋体" w:cs="宋体"/>
                <w:b w:val="0"/>
                <w:bCs w:val="0"/>
                <w:color w:val="auto"/>
                <w:kern w:val="0"/>
                <w:sz w:val="24"/>
                <w:lang w:val="zh-CN"/>
              </w:rPr>
              <w:t>本工程光伏场规划装机容量为170MW，共分为</w:t>
            </w:r>
            <w:r>
              <w:rPr>
                <w:rFonts w:hint="eastAsia" w:ascii="Times New Roman" w:hAnsi="Times New Roman" w:eastAsia="宋体" w:cs="宋体"/>
                <w:b w:val="0"/>
                <w:bCs w:val="0"/>
                <w:color w:val="auto"/>
                <w:kern w:val="0"/>
                <w:sz w:val="24"/>
                <w:lang w:val="en-US" w:eastAsia="zh-CN"/>
              </w:rPr>
              <w:t>三</w:t>
            </w:r>
            <w:r>
              <w:rPr>
                <w:rFonts w:hint="eastAsia" w:ascii="Times New Roman" w:hAnsi="Times New Roman" w:eastAsia="宋体" w:cs="宋体"/>
                <w:b w:val="0"/>
                <w:bCs w:val="0"/>
                <w:color w:val="auto"/>
                <w:kern w:val="0"/>
                <w:sz w:val="24"/>
                <w:lang w:val="zh-CN"/>
              </w:rPr>
              <w:t>个片区，</w:t>
            </w:r>
            <w:r>
              <w:rPr>
                <w:rFonts w:hint="eastAsia" w:ascii="Times New Roman" w:hAnsi="Times New Roman" w:eastAsia="宋体" w:cs="宋体"/>
                <w:b w:val="0"/>
                <w:bCs w:val="0"/>
                <w:color w:val="auto"/>
                <w:kern w:val="0"/>
                <w:sz w:val="24"/>
                <w:lang w:val="en-US" w:eastAsia="zh-CN"/>
              </w:rPr>
              <w:t>分别为阿郎</w:t>
            </w:r>
            <w:r>
              <w:rPr>
                <w:rFonts w:hint="eastAsia" w:ascii="Times New Roman" w:hAnsi="Times New Roman" w:eastAsia="宋体" w:cs="宋体"/>
                <w:b w:val="0"/>
                <w:bCs w:val="0"/>
                <w:color w:val="auto"/>
                <w:kern w:val="0"/>
                <w:sz w:val="24"/>
                <w:lang w:val="zh-CN"/>
              </w:rPr>
              <w:t>片区</w:t>
            </w:r>
            <w:r>
              <w:rPr>
                <w:rFonts w:hint="eastAsia" w:ascii="Times New Roman" w:hAnsi="Times New Roman" w:eastAsia="宋体" w:cs="宋体"/>
                <w:b w:val="0"/>
                <w:bCs w:val="0"/>
                <w:color w:val="auto"/>
                <w:kern w:val="0"/>
                <w:sz w:val="24"/>
                <w:lang w:val="en-US" w:eastAsia="zh-CN"/>
              </w:rPr>
              <w:t>、沙沟</w:t>
            </w:r>
            <w:r>
              <w:rPr>
                <w:rFonts w:hint="eastAsia" w:ascii="Times New Roman" w:hAnsi="Times New Roman" w:eastAsia="宋体" w:cs="宋体"/>
                <w:b w:val="0"/>
                <w:bCs w:val="0"/>
                <w:color w:val="auto"/>
                <w:kern w:val="0"/>
                <w:sz w:val="24"/>
                <w:lang w:val="zh-CN"/>
              </w:rPr>
              <w:t>片区</w:t>
            </w:r>
            <w:r>
              <w:rPr>
                <w:rFonts w:hint="eastAsia" w:ascii="Times New Roman" w:hAnsi="Times New Roman" w:eastAsia="宋体" w:cs="宋体"/>
                <w:b w:val="0"/>
                <w:bCs w:val="0"/>
                <w:color w:val="auto"/>
                <w:kern w:val="0"/>
                <w:sz w:val="24"/>
                <w:lang w:val="en-US" w:eastAsia="zh-CN"/>
              </w:rPr>
              <w:t>、松树湾</w:t>
            </w:r>
            <w:r>
              <w:rPr>
                <w:rFonts w:hint="eastAsia" w:ascii="Times New Roman" w:hAnsi="Times New Roman" w:eastAsia="宋体" w:cs="宋体"/>
                <w:b w:val="0"/>
                <w:bCs w:val="0"/>
                <w:color w:val="auto"/>
                <w:kern w:val="0"/>
                <w:sz w:val="24"/>
                <w:lang w:val="zh-CN"/>
              </w:rPr>
              <w:t>片区。配套在马头地片区建设一座</w:t>
            </w:r>
            <w:r>
              <w:rPr>
                <w:rFonts w:hint="eastAsia" w:ascii="Times New Roman" w:hAnsi="Times New Roman" w:eastAsia="宋体" w:cs="宋体"/>
                <w:b w:val="0"/>
                <w:bCs w:val="0"/>
                <w:color w:val="auto"/>
                <w:kern w:val="0"/>
                <w:sz w:val="24"/>
                <w:lang w:val="en-US" w:eastAsia="zh-CN"/>
              </w:rPr>
              <w:t>110</w:t>
            </w:r>
            <w:r>
              <w:rPr>
                <w:rFonts w:hint="eastAsia" w:ascii="Times New Roman" w:hAnsi="Times New Roman" w:eastAsia="宋体" w:cs="宋体"/>
                <w:b w:val="0"/>
                <w:bCs w:val="0"/>
                <w:color w:val="auto"/>
                <w:kern w:val="0"/>
                <w:sz w:val="24"/>
                <w:lang w:val="zh-CN"/>
              </w:rPr>
              <w:t>kV升压站，</w:t>
            </w:r>
            <w:r>
              <w:rPr>
                <w:rFonts w:hint="eastAsia" w:ascii="Times New Roman" w:hAnsi="Times New Roman" w:eastAsia="宋体" w:cs="宋体"/>
                <w:b w:val="0"/>
                <w:bCs w:val="0"/>
                <w:color w:val="auto"/>
                <w:kern w:val="0"/>
                <w:sz w:val="24"/>
                <w:lang w:val="en-US" w:eastAsia="zh-CN"/>
              </w:rPr>
              <w:t>站内设置1台容量为170MW的主变压器。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rPr>
            </w:pPr>
            <w:r>
              <w:rPr>
                <w:rFonts w:ascii="Times New Roman" w:hAnsi="Times New Roman" w:eastAsia="宋体" w:cs="Times New Roman"/>
                <w:color w:val="auto"/>
                <w:sz w:val="24"/>
                <w:shd w:val="clear" w:color="auto" w:fill="FFFFFF"/>
                <w:lang w:val="zh-CN"/>
              </w:rPr>
              <w:t>本项目主要建设内容包括</w:t>
            </w:r>
            <w:r>
              <w:rPr>
                <w:rFonts w:hint="eastAsia" w:ascii="Times New Roman" w:hAnsi="Times New Roman" w:eastAsia="宋体" w:cs="Times New Roman"/>
                <w:color w:val="auto"/>
                <w:sz w:val="24"/>
                <w:shd w:val="clear" w:color="auto" w:fill="FFFFFF"/>
                <w:lang w:val="zh-CN"/>
              </w:rPr>
              <w:t>：</w:t>
            </w:r>
            <w:r>
              <w:rPr>
                <w:rFonts w:ascii="Times New Roman" w:hAnsi="Times New Roman" w:eastAsia="宋体" w:cs="Times New Roman"/>
                <w:color w:val="auto"/>
                <w:sz w:val="24"/>
                <w:shd w:val="clear" w:color="auto" w:fill="FFFFFF"/>
                <w:lang w:val="zh-CN"/>
              </w:rPr>
              <w:t>光伏阵列、箱式变压器、电缆分接箱、电缆井、杆塔、</w:t>
            </w:r>
            <w:r>
              <w:rPr>
                <w:rFonts w:hint="eastAsia" w:ascii="Times New Roman" w:hAnsi="Times New Roman" w:eastAsia="宋体" w:cs="Times New Roman"/>
                <w:color w:val="auto"/>
                <w:sz w:val="24"/>
                <w:shd w:val="clear" w:color="auto" w:fill="FFFFFF"/>
                <w:lang w:val="zh-CN"/>
              </w:rPr>
              <w:t>集电</w:t>
            </w:r>
            <w:r>
              <w:rPr>
                <w:rFonts w:ascii="Times New Roman" w:hAnsi="Times New Roman" w:eastAsia="宋体" w:cs="Times New Roman"/>
                <w:color w:val="auto"/>
                <w:sz w:val="24"/>
                <w:shd w:val="clear" w:color="auto" w:fill="FFFFFF"/>
                <w:lang w:val="zh-CN"/>
              </w:rPr>
              <w:t>线路、场区道路、临时生产、生活设施及仓库、绿化等</w:t>
            </w:r>
            <w:r>
              <w:rPr>
                <w:rFonts w:hint="eastAsia" w:ascii="Times New Roman" w:hAnsi="Times New Roman" w:eastAsia="宋体" w:cs="Times New Roman"/>
                <w:color w:val="auto"/>
                <w:sz w:val="24"/>
                <w:shd w:val="clear" w:color="auto" w:fill="FFFFFF"/>
              </w:rPr>
              <w:t>工程。</w:t>
            </w:r>
            <w:r>
              <w:rPr>
                <w:rFonts w:hint="eastAsia" w:ascii="Times New Roman" w:hAnsi="Times New Roman" w:eastAsia="宋体" w:cs="Times New Roman"/>
                <w:color w:val="auto"/>
                <w:sz w:val="24"/>
              </w:rPr>
              <w:t>本项目新建马头地</w:t>
            </w:r>
            <w:r>
              <w:rPr>
                <w:rFonts w:hint="eastAsia" w:ascii="Times New Roman" w:hAnsi="Times New Roman" w:eastAsia="宋体" w:cs="Times New Roman"/>
                <w:color w:val="auto"/>
                <w:sz w:val="24"/>
                <w:lang w:val="en-US" w:eastAsia="zh-CN"/>
              </w:rPr>
              <w:t>110</w:t>
            </w:r>
            <w:r>
              <w:rPr>
                <w:rFonts w:ascii="Times New Roman" w:hAnsi="Times New Roman" w:eastAsia="宋体" w:cs="Times New Roman"/>
                <w:color w:val="auto"/>
                <w:sz w:val="24"/>
              </w:rPr>
              <w:t>kV</w:t>
            </w:r>
            <w:r>
              <w:rPr>
                <w:rFonts w:hint="eastAsia" w:ascii="Times New Roman" w:hAnsi="Times New Roman" w:eastAsia="宋体" w:cs="Times New Roman"/>
                <w:color w:val="auto"/>
                <w:sz w:val="24"/>
              </w:rPr>
              <w:t>升压站，</w:t>
            </w:r>
            <w:r>
              <w:rPr>
                <w:rFonts w:hint="eastAsia" w:cs="Times New Roman"/>
                <w:color w:val="auto"/>
                <w:sz w:val="24"/>
                <w:shd w:val="clear" w:color="auto" w:fill="FFFFFF"/>
                <w:lang w:val="en-US" w:eastAsia="zh-CN"/>
              </w:rPr>
              <w:t>升压站内建设1台容量为170MW的主变器。</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sz w:val="24"/>
                <w:shd w:val="clear" w:color="auto" w:fill="FFFFFF"/>
                <w:lang w:val="en-US" w:eastAsia="zh-CN"/>
              </w:rPr>
            </w:pPr>
            <w:r>
              <w:rPr>
                <w:rFonts w:hint="eastAsia" w:ascii="Times New Roman" w:hAnsi="Times New Roman" w:eastAsia="宋体" w:cs="Times New Roman"/>
                <w:b/>
                <w:color w:val="auto"/>
                <w:sz w:val="24"/>
                <w:shd w:val="clear" w:color="auto" w:fill="FFFFFF"/>
                <w:lang w:val="zh-CN"/>
              </w:rPr>
              <w:t>马头地光伏电站集电线路方案：</w:t>
            </w:r>
            <w:r>
              <w:rPr>
                <w:rFonts w:hint="eastAsia" w:ascii="Times New Roman" w:hAnsi="Times New Roman" w:cs="Times New Roman"/>
                <w:b w:val="0"/>
                <w:bCs/>
                <w:color w:val="auto"/>
                <w:sz w:val="24"/>
                <w:shd w:val="clear" w:color="auto" w:fill="FFFFFF"/>
                <w:lang w:val="en-US" w:eastAsia="zh-CN"/>
              </w:rPr>
              <w:t>阿郎</w:t>
            </w:r>
            <w:r>
              <w:rPr>
                <w:rFonts w:hint="eastAsia" w:ascii="Times New Roman" w:hAnsi="Times New Roman" w:eastAsia="宋体" w:cs="Times New Roman"/>
                <w:b w:val="0"/>
                <w:bCs/>
                <w:color w:val="auto"/>
                <w:sz w:val="24"/>
                <w:shd w:val="clear" w:color="auto" w:fill="FFFFFF"/>
                <w:lang w:val="zh-CN"/>
              </w:rPr>
              <w:t>区、</w:t>
            </w:r>
            <w:r>
              <w:rPr>
                <w:rFonts w:hint="eastAsia" w:ascii="Times New Roman" w:hAnsi="Times New Roman" w:cs="Times New Roman"/>
                <w:b w:val="0"/>
                <w:bCs/>
                <w:color w:val="auto"/>
                <w:sz w:val="24"/>
                <w:shd w:val="clear" w:color="auto" w:fill="FFFFFF"/>
                <w:lang w:val="en-US" w:eastAsia="zh-CN"/>
              </w:rPr>
              <w:t>松树湾</w:t>
            </w:r>
            <w:r>
              <w:rPr>
                <w:rFonts w:hint="eastAsia" w:ascii="Times New Roman" w:hAnsi="Times New Roman" w:eastAsia="宋体" w:cs="Times New Roman"/>
                <w:b w:val="0"/>
                <w:bCs/>
                <w:color w:val="auto"/>
                <w:sz w:val="24"/>
                <w:shd w:val="clear" w:color="auto" w:fill="FFFFFF"/>
                <w:lang w:val="zh-CN"/>
              </w:rPr>
              <w:t>片区通过</w:t>
            </w:r>
            <w:r>
              <w:rPr>
                <w:rFonts w:hint="eastAsia" w:ascii="Times New Roman" w:hAnsi="Times New Roman" w:cs="Times New Roman"/>
                <w:b w:val="0"/>
                <w:bCs/>
                <w:color w:val="auto"/>
                <w:sz w:val="24"/>
                <w:lang w:val="en-US" w:eastAsia="zh-CN"/>
              </w:rPr>
              <w:t>2</w:t>
            </w:r>
            <w:r>
              <w:rPr>
                <w:rFonts w:hint="eastAsia" w:ascii="Times New Roman" w:hAnsi="Times New Roman" w:eastAsia="宋体" w:cs="Times New Roman"/>
                <w:b w:val="0"/>
                <w:bCs/>
                <w:color w:val="auto"/>
                <w:sz w:val="24"/>
              </w:rPr>
              <w:t>回</w:t>
            </w:r>
            <w:r>
              <w:rPr>
                <w:rFonts w:ascii="Times New Roman" w:hAnsi="Times New Roman" w:eastAsia="宋体" w:cs="Times New Roman"/>
                <w:b w:val="0"/>
                <w:bCs/>
                <w:color w:val="auto"/>
                <w:sz w:val="24"/>
              </w:rPr>
              <w:t>35kV</w:t>
            </w:r>
            <w:r>
              <w:rPr>
                <w:rFonts w:hint="eastAsia" w:ascii="Times New Roman" w:hAnsi="Times New Roman" w:eastAsia="宋体" w:cs="Times New Roman"/>
                <w:b w:val="0"/>
                <w:bCs/>
                <w:color w:val="auto"/>
                <w:sz w:val="24"/>
              </w:rPr>
              <w:t>架空线路接入小米地</w:t>
            </w:r>
            <w:r>
              <w:rPr>
                <w:rFonts w:hint="eastAsia" w:ascii="Times New Roman" w:hAnsi="Times New Roman" w:cs="Times New Roman"/>
                <w:b w:val="0"/>
                <w:bCs/>
                <w:color w:val="auto"/>
                <w:sz w:val="24"/>
                <w:lang w:val="en-US" w:eastAsia="zh-CN"/>
              </w:rPr>
              <w:t>11</w:t>
            </w:r>
            <w:r>
              <w:rPr>
                <w:rFonts w:ascii="Times New Roman" w:hAnsi="Times New Roman" w:eastAsia="宋体" w:cs="Times New Roman"/>
                <w:b w:val="0"/>
                <w:bCs/>
                <w:color w:val="auto"/>
                <w:sz w:val="24"/>
              </w:rPr>
              <w:t>0kV</w:t>
            </w:r>
            <w:r>
              <w:rPr>
                <w:rFonts w:hint="eastAsia" w:ascii="Times New Roman" w:hAnsi="Times New Roman" w:eastAsia="宋体" w:cs="Times New Roman"/>
                <w:b w:val="0"/>
                <w:bCs/>
                <w:color w:val="auto"/>
                <w:sz w:val="24"/>
              </w:rPr>
              <w:t>升压站，</w:t>
            </w:r>
            <w:r>
              <w:rPr>
                <w:rFonts w:hint="eastAsia" w:ascii="Times New Roman" w:hAnsi="Times New Roman" w:eastAsia="宋体" w:cs="Times New Roman"/>
                <w:b w:val="0"/>
                <w:bCs/>
                <w:color w:val="auto"/>
                <w:sz w:val="24"/>
                <w:shd w:val="clear" w:color="auto" w:fill="FFFFFF"/>
                <w:lang w:val="zh-CN"/>
              </w:rPr>
              <w:t>沙沟片区</w:t>
            </w:r>
            <w:r>
              <w:rPr>
                <w:rFonts w:hint="eastAsia" w:ascii="Times New Roman" w:hAnsi="Times New Roman" w:eastAsia="宋体" w:cs="Times New Roman"/>
                <w:b w:val="0"/>
                <w:bCs/>
                <w:color w:val="auto"/>
                <w:sz w:val="24"/>
              </w:rPr>
              <w:t>装机容量通过</w:t>
            </w:r>
            <w:r>
              <w:rPr>
                <w:rFonts w:ascii="Times New Roman" w:hAnsi="Times New Roman" w:eastAsia="宋体" w:cs="Times New Roman"/>
                <w:b w:val="0"/>
                <w:bCs/>
                <w:color w:val="auto"/>
                <w:sz w:val="24"/>
              </w:rPr>
              <w:t>1</w:t>
            </w:r>
            <w:r>
              <w:rPr>
                <w:rFonts w:hint="eastAsia" w:ascii="Times New Roman" w:hAnsi="Times New Roman" w:eastAsia="宋体" w:cs="Times New Roman"/>
                <w:b w:val="0"/>
                <w:bCs/>
                <w:color w:val="auto"/>
                <w:sz w:val="24"/>
              </w:rPr>
              <w:t>回</w:t>
            </w:r>
            <w:r>
              <w:rPr>
                <w:rFonts w:ascii="Times New Roman" w:hAnsi="Times New Roman" w:eastAsia="宋体" w:cs="Times New Roman"/>
                <w:b w:val="0"/>
                <w:bCs/>
                <w:color w:val="auto"/>
                <w:sz w:val="24"/>
              </w:rPr>
              <w:t>35kV</w:t>
            </w:r>
            <w:r>
              <w:rPr>
                <w:rFonts w:hint="eastAsia" w:ascii="Times New Roman" w:hAnsi="Times New Roman" w:eastAsia="宋体" w:cs="Times New Roman"/>
                <w:b w:val="0"/>
                <w:bCs/>
                <w:color w:val="auto"/>
                <w:sz w:val="24"/>
              </w:rPr>
              <w:t>直埋电缆接入新建马头地</w:t>
            </w:r>
            <w:r>
              <w:rPr>
                <w:rFonts w:hint="eastAsia" w:ascii="Times New Roman" w:hAnsi="Times New Roman" w:cs="Times New Roman"/>
                <w:b w:val="0"/>
                <w:bCs/>
                <w:color w:val="auto"/>
                <w:sz w:val="24"/>
                <w:lang w:val="en-US" w:eastAsia="zh-CN"/>
              </w:rPr>
              <w:t>11</w:t>
            </w:r>
            <w:r>
              <w:rPr>
                <w:rFonts w:ascii="Times New Roman" w:hAnsi="Times New Roman" w:eastAsia="宋体" w:cs="Times New Roman"/>
                <w:b w:val="0"/>
                <w:bCs/>
                <w:color w:val="auto"/>
                <w:sz w:val="24"/>
              </w:rPr>
              <w:t>0kV</w:t>
            </w:r>
            <w:r>
              <w:rPr>
                <w:rFonts w:hint="eastAsia" w:ascii="Times New Roman" w:hAnsi="Times New Roman" w:eastAsia="宋体" w:cs="Times New Roman"/>
                <w:b w:val="0"/>
                <w:bCs/>
                <w:color w:val="auto"/>
                <w:sz w:val="24"/>
              </w:rPr>
              <w:t>升压站。</w:t>
            </w:r>
            <w:r>
              <w:rPr>
                <w:rFonts w:hint="eastAsia" w:ascii="Times New Roman" w:hAnsi="Times New Roman" w:eastAsia="宋体" w:cs="Times New Roman"/>
                <w:b/>
                <w:bCs/>
                <w:color w:val="auto"/>
                <w:sz w:val="24"/>
                <w:lang w:val="en-US" w:eastAsia="zh-CN"/>
              </w:rPr>
              <w:t>拟通过1回110kV线路送出，接入220kV物茂升压站</w:t>
            </w:r>
            <w:r>
              <w:rPr>
                <w:rFonts w:hint="eastAsia" w:ascii="Times New Roman" w:hAnsi="Times New Roman" w:eastAsia="宋体" w:cs="Times New Roman"/>
                <w:b/>
                <w:bCs/>
                <w:color w:val="auto"/>
                <w:sz w:val="24"/>
              </w:rPr>
              <w:t>。</w:t>
            </w:r>
            <w:r>
              <w:rPr>
                <w:rFonts w:hint="eastAsia" w:ascii="Times New Roman" w:hAnsi="Times New Roman" w:eastAsia="宋体" w:cs="Times New Roman"/>
                <w:b/>
                <w:bCs/>
                <w:color w:val="auto"/>
                <w:sz w:val="24"/>
                <w:shd w:val="clear" w:color="auto" w:fill="FFFFFF"/>
                <w:lang w:val="en-US" w:eastAsia="zh-CN"/>
              </w:rPr>
              <w:t>本次评价不包含送出线路工程，送出线路部分另行评价。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color w:val="auto"/>
                <w:sz w:val="24"/>
                <w:shd w:val="clear" w:color="auto" w:fill="FFFFFF"/>
                <w:lang w:val="en-US" w:eastAsia="zh-CN"/>
              </w:rPr>
            </w:pPr>
            <w:r>
              <w:rPr>
                <w:rFonts w:hint="eastAsia" w:ascii="Times New Roman" w:hAnsi="Times New Roman" w:eastAsia="宋体" w:cs="宋体"/>
                <w:b/>
                <w:bCs/>
                <w:color w:val="auto"/>
                <w:kern w:val="0"/>
                <w:sz w:val="24"/>
                <w:lang w:val="en-US" w:eastAsia="zh-CN"/>
              </w:rPr>
              <w:t>原环评：</w:t>
            </w:r>
            <w:r>
              <w:rPr>
                <w:rFonts w:hint="eastAsia" w:ascii="Times New Roman" w:hAnsi="Times New Roman" w:eastAsia="宋体" w:cs="Times New Roman"/>
                <w:color w:val="auto"/>
                <w:sz w:val="24"/>
                <w:shd w:val="clear" w:color="auto" w:fill="FFFFFF"/>
                <w:lang w:val="en-US" w:eastAsia="zh-CN"/>
              </w:rPr>
              <w:t>项目规划交流容量170.128MW，直流容量209.98656MWp，共布置标称容量为3150kW的光伏方阵52个以及标称容量为3500kW的光伏方阵2个，每个光伏方阵配置256（288）个组串（每个组串由28块组件串联）、16（18）台组串式逆变器和1台容量为3150kVA（3500kVA）双绕组升压箱变。组件选用峰值功率为540Wp的单晶硅高效半片电池组件，逆变器选用额定功率为196kW的组串式逆变器。配套在马头地片区建设一座220kV升压站（坐标：101°51′27.467″，25°35′0.170″），预留1回110kV间隔（后续帕地光伏送出）接入本升压站主变中压侧。马头地光伏电站共分为六个片区，自北向南依次是老凹塘片区11个3.15MW方阵，共计34.496MW；M24片区3个3.15MW方阵，共计9.408MW；M25片区6个3.15MW方阵，共计18.816MW；沙沟片区22个3.15MW方阵以及2个3.5MW方阵，共计76.048MW；松树湾片区5个3.15MW方阵，共计15.68MW；马头地片区5个3.15MW方阵，共计15.68MW。主要建设内容包括光伏阵列、箱式变压器、电缆分接箱、集电线路、电缆井、杆塔、临时生产、场区道路、生活设施及仓库、绿化等工程。项目全部170MW 装机容量以及附近光伏电站项目经1回 220kV 架空线路送出接入 500kV 麦冲汇流站实现并网。本次评价仅对项目光伏发电系统、35kV集电线路、220kV升压站及相关配套设施进行，送出线路环境影响评价工作单独开展，本次评价不包含升压站送出线路。</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color w:val="auto"/>
                <w:sz w:val="24"/>
                <w:shd w:val="clear" w:color="auto" w:fill="FFFFFF"/>
                <w:lang w:val="en-US" w:eastAsia="zh-CN"/>
              </w:rPr>
            </w:pPr>
            <w:r>
              <w:rPr>
                <w:rFonts w:hint="eastAsia" w:ascii="Times New Roman" w:hAnsi="Times New Roman" w:eastAsia="宋体" w:cs="宋体"/>
                <w:b/>
                <w:bCs/>
                <w:color w:val="auto"/>
                <w:kern w:val="0"/>
                <w:sz w:val="24"/>
                <w:lang w:val="en-US" w:eastAsia="zh-CN"/>
              </w:rPr>
              <w:t>变更后：</w:t>
            </w:r>
            <w:r>
              <w:rPr>
                <w:rFonts w:hint="eastAsia" w:ascii="Times New Roman" w:hAnsi="Times New Roman" w:eastAsia="宋体" w:cs="Times New Roman"/>
                <w:color w:val="auto"/>
                <w:sz w:val="24"/>
                <w:shd w:val="clear" w:color="auto" w:fill="FFFFFF"/>
                <w:lang w:val="en-US" w:eastAsia="zh-CN"/>
              </w:rPr>
              <w:t>本项目总规划装机容量为交流容量170MW，直流容量212.89002MWp，拟装设52个3150kW地面光伏单元、2个2000kW地面光伏单元，共安装545Wp双面双玻单晶硅组件76916块及550Wp双面双玻单晶硅组件310856块，533台320kW组串式逆变器。配套在沙沟片区建设一座110kV升压站（坐标：101°49′9.618″，25°37′4.590″），升压站内配套建设1台容量为170WMA的主变。变更后马头地光伏电站共分为三个片区，自北向南依次是阿郎片区4个3.15MW方阵，共16.282MW；沙沟片区43个3.15MW方阵，2个2MW方阵，共176.358MW；松树湾片区5个3.15MW方阵，共20.250MW。主要建设内容包括光伏阵列、箱式变压器、电缆分接箱、集电线路、电缆井、杆塔、临时生产、场区道路、生活设施及仓库、绿化等工程。拟通过1回110kV线路送出，接入220kV物茂升压站，送出线路环境影响评价工作单独开展，本次评价不包含升压站送出线路。</w:t>
            </w:r>
          </w:p>
          <w:p>
            <w:pPr>
              <w:adjustRightInd w:val="0"/>
              <w:snapToGrid w:val="0"/>
              <w:spacing w:line="360" w:lineRule="auto"/>
              <w:ind w:firstLine="482" w:firstLineChars="200"/>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项目主要变更内容：</w:t>
            </w:r>
          </w:p>
          <w:p>
            <w:pPr>
              <w:adjustRightInd w:val="0"/>
              <w:snapToGrid w:val="0"/>
              <w:spacing w:line="360" w:lineRule="auto"/>
              <w:ind w:firstLine="480" w:firstLineChars="200"/>
              <w:rPr>
                <w:rFonts w:hint="eastAsia" w:ascii="Times New Roman" w:hAnsi="Times New Roman" w:eastAsia="宋体" w:cs="宋体"/>
                <w:color w:val="auto"/>
                <w:kern w:val="0"/>
                <w:sz w:val="24"/>
                <w:lang w:val="en-US" w:eastAsia="zh-CN"/>
              </w:rPr>
            </w:pPr>
            <w:r>
              <w:rPr>
                <w:rFonts w:hint="eastAsia" w:ascii="Times New Roman" w:hAnsi="Times New Roman" w:eastAsia="宋体" w:cs="宋体"/>
                <w:color w:val="auto"/>
                <w:kern w:val="0"/>
                <w:sz w:val="24"/>
                <w:lang w:val="en-US" w:eastAsia="zh-CN"/>
              </w:rPr>
              <w:t>（1）光伏方阵：初步设计阶段取消了原方案批复的马头地片区、M24片区、老凹塘片区。光伏发电单元编号进行重新排列，其中 1#~11#、13#~18#均为新增地块，12#为可研设计08#列阵范围微调，19#为可研设计09#列阵范围缩减，20#为可研设计 10#列阵范围微调，21#为可研设计 12#列阵范围缩减，22#为可研设计14#列阵范围缩减，经统计，初步设计光伏方阵地块面积为58.57hm</w:t>
            </w:r>
            <w:r>
              <w:rPr>
                <w:rFonts w:hint="eastAsia" w:ascii="Times New Roman" w:hAnsi="Times New Roman" w:eastAsia="宋体" w:cs="宋体"/>
                <w:color w:val="auto"/>
                <w:kern w:val="0"/>
                <w:sz w:val="24"/>
                <w:vertAlign w:val="superscript"/>
                <w:lang w:val="en-US" w:eastAsia="zh-CN"/>
              </w:rPr>
              <w:t>2</w:t>
            </w:r>
            <w:r>
              <w:rPr>
                <w:rFonts w:hint="eastAsia" w:ascii="Times New Roman" w:hAnsi="Times New Roman" w:eastAsia="宋体" w:cs="宋体"/>
                <w:color w:val="auto"/>
                <w:kern w:val="0"/>
                <w:sz w:val="24"/>
                <w:lang w:val="en-US" w:eastAsia="zh-CN"/>
              </w:rPr>
              <w:t>，与可研阶段光伏方阵地块重叠部分面积为13.44hm</w:t>
            </w:r>
            <w:r>
              <w:rPr>
                <w:rFonts w:hint="eastAsia" w:ascii="Times New Roman" w:hAnsi="Times New Roman" w:eastAsia="宋体" w:cs="宋体"/>
                <w:color w:val="auto"/>
                <w:kern w:val="0"/>
                <w:sz w:val="24"/>
                <w:vertAlign w:val="superscript"/>
                <w:lang w:val="en-US" w:eastAsia="zh-CN"/>
              </w:rPr>
              <w:t>2</w:t>
            </w:r>
            <w:r>
              <w:rPr>
                <w:rFonts w:hint="eastAsia" w:ascii="Times New Roman" w:hAnsi="Times New Roman" w:eastAsia="宋体" w:cs="宋体"/>
                <w:color w:val="auto"/>
                <w:kern w:val="0"/>
                <w:sz w:val="24"/>
                <w:lang w:val="en-US" w:eastAsia="zh-CN"/>
              </w:rPr>
              <w:t>，其余 46.89hm</w:t>
            </w:r>
            <w:r>
              <w:rPr>
                <w:rFonts w:hint="eastAsia" w:ascii="Times New Roman" w:hAnsi="Times New Roman" w:eastAsia="宋体" w:cs="宋体"/>
                <w:color w:val="auto"/>
                <w:kern w:val="0"/>
                <w:sz w:val="24"/>
                <w:vertAlign w:val="superscript"/>
                <w:lang w:val="en-US" w:eastAsia="zh-CN"/>
              </w:rPr>
              <w:t>2</w:t>
            </w:r>
            <w:r>
              <w:rPr>
                <w:rFonts w:hint="eastAsia" w:ascii="Times New Roman" w:hAnsi="Times New Roman" w:eastAsia="宋体" w:cs="宋体"/>
                <w:color w:val="auto"/>
                <w:kern w:val="0"/>
                <w:sz w:val="24"/>
                <w:lang w:val="en-US" w:eastAsia="zh-CN"/>
              </w:rPr>
              <w:t>为新增地块面积。</w:t>
            </w:r>
          </w:p>
          <w:p>
            <w:pPr>
              <w:adjustRightInd w:val="0"/>
              <w:snapToGrid w:val="0"/>
              <w:spacing w:line="360" w:lineRule="auto"/>
              <w:ind w:firstLine="480" w:firstLineChars="200"/>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（2）升压站</w:t>
            </w:r>
          </w:p>
          <w:p>
            <w:pPr>
              <w:adjustRightInd w:val="0"/>
              <w:snapToGrid w:val="0"/>
              <w:spacing w:line="360" w:lineRule="auto"/>
              <w:ind w:firstLine="480" w:firstLineChars="200"/>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升压站面积减小，位置变化，规模等级缩减为110kV，占地类型变化为草地，未占用耕地。</w:t>
            </w:r>
          </w:p>
          <w:p>
            <w:pPr>
              <w:adjustRightInd w:val="0"/>
              <w:snapToGrid w:val="0"/>
              <w:spacing w:line="360" w:lineRule="auto"/>
              <w:ind w:firstLine="480" w:firstLineChars="200"/>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（3）集电线路</w:t>
            </w:r>
          </w:p>
          <w:p>
            <w:pPr>
              <w:adjustRightInd w:val="0"/>
              <w:snapToGrid w:val="0"/>
              <w:spacing w:line="360" w:lineRule="auto"/>
              <w:ind w:firstLine="480" w:firstLineChars="200"/>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集电线路总长度增加8.794km，其中直埋电缆沟增加29.864km，架空线路减少21.07km，架空线路塔基减少127基。</w:t>
            </w:r>
          </w:p>
          <w:p>
            <w:pPr>
              <w:adjustRightInd w:val="0"/>
              <w:snapToGrid w:val="0"/>
              <w:spacing w:line="360" w:lineRule="auto"/>
              <w:ind w:firstLine="480" w:firstLineChars="200"/>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（4）场内道路</w:t>
            </w:r>
          </w:p>
          <w:p>
            <w:pPr>
              <w:adjustRightInd w:val="0"/>
              <w:snapToGrid w:val="0"/>
              <w:spacing w:line="360" w:lineRule="auto"/>
              <w:ind w:firstLine="480" w:firstLineChars="200"/>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方阵区新建道路减少1.41km，改扩建道路增加3.09km，新建道路优化道路设计，路基宽度有所增加；进站道路减少0.11km，路基增宽2.00m，补充修建了1.22km施工便道。</w:t>
            </w:r>
          </w:p>
          <w:p>
            <w:pPr>
              <w:adjustRightInd w:val="0"/>
              <w:snapToGrid w:val="0"/>
              <w:spacing w:line="360" w:lineRule="auto"/>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rPr>
              <w:t>2.3项目组成</w:t>
            </w:r>
            <w:r>
              <w:rPr>
                <w:rFonts w:hint="eastAsia" w:cs="Times New Roman"/>
                <w:b/>
                <w:bCs/>
                <w:color w:val="auto"/>
                <w:sz w:val="28"/>
                <w:szCs w:val="28"/>
                <w:lang w:val="en-US" w:eastAsia="zh-CN"/>
              </w:rPr>
              <w:t>及规模</w:t>
            </w:r>
          </w:p>
          <w:p>
            <w:pPr>
              <w:adjustRightInd w:val="0"/>
              <w:snapToGrid w:val="0"/>
              <w:spacing w:line="360" w:lineRule="auto"/>
              <w:ind w:firstLine="480" w:firstLineChars="200"/>
              <w:rPr>
                <w:rFonts w:hint="eastAsia" w:ascii="Times New Roman" w:hAnsi="Times New Roman" w:eastAsia="宋体" w:cs="Times New Roman"/>
                <w:color w:val="auto"/>
                <w:sz w:val="24"/>
                <w:shd w:val="clear" w:color="auto" w:fill="FFFFFF"/>
              </w:rPr>
            </w:pPr>
            <w:r>
              <w:rPr>
                <w:rFonts w:hint="eastAsia" w:ascii="宋体" w:hAnsi="宋体" w:eastAsia="宋体" w:cs="宋体"/>
                <w:color w:val="auto"/>
                <w:kern w:val="0"/>
                <w:sz w:val="24"/>
              </w:rPr>
              <w:t>工程主要由主体工程光伏阵列、逆变器、升压站、集电线路和公辅工程、环保工程等。详细组成见表</w:t>
            </w:r>
            <w:r>
              <w:rPr>
                <w:rFonts w:hint="default" w:ascii="Times New Roman" w:hAnsi="Times New Roman" w:eastAsia="宋体" w:cs="Times New Roman"/>
                <w:color w:val="auto"/>
                <w:kern w:val="0"/>
                <w:sz w:val="24"/>
              </w:rPr>
              <w:t>2.3-1。</w:t>
            </w:r>
            <w:r>
              <w:rPr>
                <w:rFonts w:hint="eastAsia" w:ascii="Times New Roman" w:hAnsi="Times New Roman" w:eastAsia="宋体" w:cs="Times New Roman"/>
                <w:color w:val="auto"/>
                <w:sz w:val="24"/>
              </w:rPr>
              <w:t>本项目新建马头地</w:t>
            </w:r>
            <w:r>
              <w:rPr>
                <w:rFonts w:hint="eastAsia" w:ascii="Times New Roman" w:hAnsi="Times New Roman" w:eastAsia="宋体" w:cs="Times New Roman"/>
                <w:color w:val="auto"/>
                <w:sz w:val="24"/>
                <w:lang w:val="en-US" w:eastAsia="zh-CN"/>
              </w:rPr>
              <w:t>110</w:t>
            </w:r>
            <w:r>
              <w:rPr>
                <w:rFonts w:ascii="Times New Roman" w:hAnsi="Times New Roman" w:eastAsia="宋体" w:cs="Times New Roman"/>
                <w:color w:val="auto"/>
                <w:sz w:val="24"/>
              </w:rPr>
              <w:t>kV</w:t>
            </w:r>
            <w:r>
              <w:rPr>
                <w:rFonts w:hint="eastAsia" w:ascii="Times New Roman" w:hAnsi="Times New Roman" w:eastAsia="宋体" w:cs="Times New Roman"/>
                <w:color w:val="auto"/>
                <w:sz w:val="24"/>
              </w:rPr>
              <w:t>升压站，</w:t>
            </w:r>
            <w:r>
              <w:rPr>
                <w:rFonts w:hint="eastAsia" w:cs="Times New Roman"/>
                <w:color w:val="auto"/>
                <w:sz w:val="24"/>
                <w:shd w:val="clear" w:color="auto" w:fill="FFFFFF"/>
                <w:lang w:val="en-US" w:eastAsia="zh-CN"/>
              </w:rPr>
              <w:t>升压站内建设1台容量为170MW的主变器，</w:t>
            </w:r>
            <w:r>
              <w:rPr>
                <w:rFonts w:hint="eastAsia" w:ascii="Times New Roman" w:hAnsi="Times New Roman" w:eastAsia="宋体" w:cs="Times New Roman"/>
                <w:color w:val="auto"/>
                <w:sz w:val="24"/>
                <w:lang w:val="en-US" w:eastAsia="zh-CN"/>
              </w:rPr>
              <w:t>拟通过1回110kV线路送出，接入220kV物茂升压站</w:t>
            </w:r>
            <w:r>
              <w:rPr>
                <w:rFonts w:hint="eastAsia" w:ascii="Times New Roman" w:hAnsi="Times New Roman" w:eastAsia="宋体" w:cs="Times New Roman"/>
                <w:color w:val="auto"/>
                <w:sz w:val="24"/>
              </w:rPr>
              <w:t>。</w:t>
            </w:r>
            <w:r>
              <w:rPr>
                <w:rFonts w:hint="eastAsia" w:cs="Times New Roman"/>
                <w:color w:val="auto"/>
                <w:sz w:val="24"/>
                <w:lang w:val="en-US" w:eastAsia="zh-CN"/>
              </w:rPr>
              <w:t>该送出线路</w:t>
            </w:r>
            <w:r>
              <w:rPr>
                <w:rFonts w:hint="eastAsia" w:ascii="Times New Roman" w:hAnsi="Times New Roman" w:eastAsia="宋体" w:cs="Times New Roman"/>
                <w:color w:val="auto"/>
                <w:sz w:val="24"/>
                <w:shd w:val="clear" w:color="auto" w:fill="FFFFFF"/>
              </w:rPr>
              <w:t>不在本次评价范围内，将另行开展环境影响评价。</w:t>
            </w:r>
          </w:p>
          <w:p>
            <w:pPr>
              <w:adjustRightInd w:val="0"/>
              <w:snapToGrid w:val="0"/>
              <w:spacing w:line="240" w:lineRule="auto"/>
              <w:ind w:firstLine="422" w:firstLineChars="200"/>
              <w:jc w:val="center"/>
              <w:rPr>
                <w:rFonts w:hint="eastAsia" w:ascii="Times New Roman" w:hAnsi="Times New Roman" w:eastAsia="宋体" w:cs="宋体"/>
                <w:b/>
                <w:bCs/>
                <w:color w:val="auto"/>
                <w:kern w:val="0"/>
                <w:sz w:val="21"/>
                <w:szCs w:val="21"/>
              </w:rPr>
            </w:pPr>
            <w:r>
              <w:rPr>
                <w:rFonts w:hint="eastAsia" w:ascii="Times New Roman" w:hAnsi="Times New Roman" w:eastAsia="宋体" w:cs="宋体"/>
                <w:b/>
                <w:bCs/>
                <w:color w:val="auto"/>
                <w:kern w:val="0"/>
                <w:sz w:val="21"/>
                <w:szCs w:val="21"/>
              </w:rPr>
              <w:t>表2.3-1  华能元谋马头地光伏电站工程组成表。</w:t>
            </w:r>
          </w:p>
          <w:tbl>
            <w:tblPr>
              <w:tblStyle w:val="18"/>
              <w:tblW w:w="4998"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503"/>
              <w:gridCol w:w="604"/>
              <w:gridCol w:w="3152"/>
              <w:gridCol w:w="3015"/>
              <w:gridCol w:w="93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2" w:type="pct"/>
                  <w:gridSpan w:val="3"/>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b/>
                      <w:bCs/>
                      <w:color w:val="auto"/>
                      <w:kern w:val="2"/>
                      <w:sz w:val="21"/>
                      <w:szCs w:val="21"/>
                      <w:lang w:val="en-US" w:eastAsia="zh-CN" w:bidi="ar-SA"/>
                    </w:rPr>
                  </w:pPr>
                  <w:r>
                    <w:rPr>
                      <w:rFonts w:ascii="Times New Roman" w:hAnsi="Times New Roman" w:eastAsia="宋体" w:cs="Times New Roman"/>
                      <w:b/>
                      <w:bCs/>
                      <w:color w:val="auto"/>
                      <w:kern w:val="2"/>
                      <w:sz w:val="21"/>
                      <w:szCs w:val="21"/>
                      <w:lang w:val="en-US" w:eastAsia="zh-CN" w:bidi="ar-SA"/>
                    </w:rPr>
                    <w:t>工程组成部分</w:t>
                  </w:r>
                </w:p>
              </w:tc>
              <w:tc>
                <w:tcPr>
                  <w:tcW w:w="1839"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原环评阶段建设内容及规模</w:t>
                  </w:r>
                </w:p>
              </w:tc>
              <w:tc>
                <w:tcPr>
                  <w:tcW w:w="1760"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变更后建设内容及规模</w:t>
                  </w:r>
                </w:p>
              </w:tc>
              <w:tc>
                <w:tcPr>
                  <w:tcW w:w="557"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restar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主体工程</w:t>
                  </w:r>
                </w:p>
              </w:tc>
              <w:tc>
                <w:tcPr>
                  <w:tcW w:w="316" w:type="pct"/>
                  <w:vMerge w:val="restar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光伏发电系统</w:t>
                  </w:r>
                </w:p>
              </w:tc>
              <w:tc>
                <w:tcPr>
                  <w:tcW w:w="273"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光伏组件</w:t>
                  </w:r>
                </w:p>
              </w:tc>
              <w:tc>
                <w:tcPr>
                  <w:tcW w:w="1839"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规划装机容量170MW，电池组件装机功率209.98656MWp。组件选用峰值功率为540Wp的单晶硅高效半片电池组件，共设计标称容量为3150kW的光伏方阵52个以及标称容量为3500kW的光伏方阵2个组成，每个光伏方阵配置256（288）个组串（每个组串由28块组件串联），共用组件388864块。</w:t>
                  </w:r>
                </w:p>
              </w:tc>
              <w:tc>
                <w:tcPr>
                  <w:tcW w:w="1760"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本项目规划装机容量170MW，电池组件装机功率209.98656MWp。组件选用峰值功率为545Wp的</w:t>
                  </w:r>
                  <w:r>
                    <w:rPr>
                      <w:rFonts w:hint="eastAsia" w:ascii="Times New Roman" w:hAnsi="Times New Roman" w:eastAsia="宋体" w:cs="Times New Roman"/>
                      <w:color w:val="auto"/>
                      <w:sz w:val="21"/>
                      <w:szCs w:val="21"/>
                      <w:lang w:val="zh-TW" w:eastAsia="zh-CN"/>
                    </w:rPr>
                    <w:t>双面双玻单晶硅组件</w:t>
                  </w:r>
                  <w:r>
                    <w:rPr>
                      <w:rFonts w:hint="eastAsia" w:ascii="Times New Roman" w:hAnsi="Times New Roman" w:eastAsia="宋体" w:cs="Times New Roman"/>
                      <w:color w:val="auto"/>
                      <w:sz w:val="21"/>
                      <w:szCs w:val="21"/>
                      <w:lang w:val="en-US" w:eastAsia="zh-CN"/>
                    </w:rPr>
                    <w:t>，共设计标称容量为3150kW的光伏方阵52个以及标称容量为2000kW的光伏方阵2个组成，每个光伏方阵配置256（288）个组串（每个组串由28块组件串联），共用组件310856块。</w:t>
                  </w:r>
                </w:p>
              </w:tc>
              <w:tc>
                <w:tcPr>
                  <w:tcW w:w="557"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pacing w:val="-8"/>
                      <w:sz w:val="21"/>
                      <w:szCs w:val="21"/>
                      <w:highlight w:val="none"/>
                      <w:lang w:val="en-US" w:eastAsia="zh-CN"/>
                    </w:rPr>
                    <w:t>太阳能电池方阵区及装机容量与原环评阶段一致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316"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273"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支架</w:t>
                  </w:r>
                </w:p>
              </w:tc>
              <w:tc>
                <w:tcPr>
                  <w:tcW w:w="1839"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方阵支架采用固定式支架，固定支架安装规模209.98656MWp，每个支架安装28块电池组件（2×14竖向布置），按24°倾角布置；支架按最低沿离地</w:t>
                  </w:r>
                  <w:r>
                    <w:rPr>
                      <w:rFonts w:ascii="Times New Roman" w:hAnsi="Times New Roman" w:eastAsia="宋体" w:cs="Times New Roman"/>
                      <w:color w:val="auto"/>
                      <w:kern w:val="2"/>
                      <w:sz w:val="21"/>
                      <w:szCs w:val="21"/>
                      <w:lang w:val="en-US" w:eastAsia="zh-CN" w:bidi="ar-SA"/>
                    </w:rPr>
                    <w:t>2.5m</w:t>
                  </w:r>
                  <w:r>
                    <w:rPr>
                      <w:rFonts w:hint="eastAsia" w:ascii="Times New Roman" w:hAnsi="Times New Roman" w:eastAsia="宋体" w:cs="Times New Roman"/>
                      <w:color w:val="auto"/>
                      <w:kern w:val="2"/>
                      <w:sz w:val="21"/>
                      <w:szCs w:val="21"/>
                      <w:lang w:val="en-US" w:eastAsia="zh-CN" w:bidi="ar-SA"/>
                    </w:rPr>
                    <w:t>、桩基间列间距大于</w:t>
                  </w:r>
                  <w:r>
                    <w:rPr>
                      <w:rFonts w:ascii="Times New Roman" w:hAnsi="Times New Roman" w:eastAsia="宋体" w:cs="Times New Roman"/>
                      <w:color w:val="auto"/>
                      <w:kern w:val="2"/>
                      <w:sz w:val="21"/>
                      <w:szCs w:val="21"/>
                      <w:lang w:val="en-US" w:eastAsia="zh-CN" w:bidi="ar-SA"/>
                    </w:rPr>
                    <w:t>4m</w:t>
                  </w:r>
                  <w:r>
                    <w:rPr>
                      <w:rFonts w:hint="eastAsia" w:ascii="Times New Roman" w:hAnsi="Times New Roman" w:eastAsia="宋体" w:cs="Times New Roman"/>
                      <w:color w:val="auto"/>
                      <w:kern w:val="2"/>
                      <w:sz w:val="21"/>
                      <w:szCs w:val="21"/>
                      <w:lang w:val="en-US" w:eastAsia="zh-CN" w:bidi="ar-SA"/>
                    </w:rPr>
                    <w:t>、行间距大于</w:t>
                  </w:r>
                  <w:r>
                    <w:rPr>
                      <w:rFonts w:ascii="Times New Roman" w:hAnsi="Times New Roman" w:eastAsia="宋体" w:cs="Times New Roman"/>
                      <w:color w:val="auto"/>
                      <w:kern w:val="2"/>
                      <w:sz w:val="21"/>
                      <w:szCs w:val="21"/>
                      <w:lang w:val="en-US" w:eastAsia="zh-CN" w:bidi="ar-SA"/>
                    </w:rPr>
                    <w:t>6.5m</w:t>
                  </w:r>
                  <w:r>
                    <w:rPr>
                      <w:rFonts w:hint="eastAsia" w:ascii="Times New Roman" w:hAnsi="Times New Roman" w:eastAsia="宋体" w:cs="Times New Roman"/>
                      <w:color w:val="auto"/>
                      <w:kern w:val="2"/>
                      <w:sz w:val="21"/>
                      <w:szCs w:val="21"/>
                      <w:lang w:val="en-US" w:eastAsia="zh-CN" w:bidi="ar-SA"/>
                    </w:rPr>
                    <w:t>的架设要求执行。</w:t>
                  </w:r>
                </w:p>
              </w:tc>
              <w:tc>
                <w:tcPr>
                  <w:tcW w:w="1760"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方阵支架采用固定式支架，固定支架安装规模212.89002MWp，每个支架安装28块电池组件（2×14竖向布置），按24°倾角布置；支架按最低沿离地2.5m、桩基间列间距大于4m、行间距大于6.5m的架设要求执行。</w:t>
                  </w:r>
                </w:p>
              </w:tc>
              <w:tc>
                <w:tcPr>
                  <w:tcW w:w="557"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支架安装方式不变，</w:t>
                  </w:r>
                  <w:r>
                    <w:rPr>
                      <w:rFonts w:hint="eastAsia" w:ascii="Times New Roman" w:hAnsi="Times New Roman" w:eastAsia="宋体" w:cs="Times New Roman"/>
                      <w:color w:val="auto"/>
                      <w:spacing w:val="-8"/>
                      <w:sz w:val="21"/>
                      <w:szCs w:val="21"/>
                      <w:highlight w:val="none"/>
                      <w:lang w:val="en-US" w:eastAsia="zh-CN"/>
                    </w:rPr>
                    <w:t>与原环评阶段一致。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316"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273"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逆变器</w:t>
                  </w:r>
                </w:p>
              </w:tc>
              <w:tc>
                <w:tcPr>
                  <w:tcW w:w="1839"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1、项目选</w:t>
                  </w:r>
                  <w:r>
                    <w:rPr>
                      <w:rFonts w:ascii="Times New Roman" w:hAnsi="Times New Roman" w:eastAsia="宋体" w:cs="Times New Roman"/>
                      <w:color w:val="auto"/>
                      <w:kern w:val="2"/>
                      <w:sz w:val="21"/>
                      <w:szCs w:val="21"/>
                      <w:lang w:val="en-US" w:eastAsia="zh-CN" w:bidi="ar-SA"/>
                    </w:rPr>
                    <w:t>用196kW</w:t>
                  </w:r>
                  <w:r>
                    <w:rPr>
                      <w:rFonts w:hint="eastAsia" w:ascii="Times New Roman" w:hAnsi="Times New Roman" w:eastAsia="宋体" w:cs="Times New Roman"/>
                      <w:color w:val="auto"/>
                      <w:kern w:val="2"/>
                      <w:sz w:val="21"/>
                      <w:szCs w:val="21"/>
                      <w:lang w:val="en-US" w:eastAsia="zh-CN" w:bidi="ar-SA"/>
                    </w:rPr>
                    <w:t>型组串式逆变器，容配比1</w:t>
                  </w:r>
                  <w:r>
                    <w:rPr>
                      <w:rFonts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23</w:t>
                  </w:r>
                  <w:r>
                    <w:rPr>
                      <w:rFonts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每台逆变器接入241.92</w:t>
                  </w:r>
                  <w:r>
                    <w:rPr>
                      <w:rFonts w:ascii="Times New Roman" w:hAnsi="Times New Roman" w:eastAsia="宋体" w:cs="Times New Roman"/>
                      <w:color w:val="auto"/>
                      <w:kern w:val="2"/>
                      <w:sz w:val="21"/>
                      <w:szCs w:val="21"/>
                      <w:lang w:val="en-US" w:eastAsia="zh-CN" w:bidi="ar-SA"/>
                    </w:rPr>
                    <w:t>kWp光伏电能，全站共</w:t>
                  </w:r>
                  <w:r>
                    <w:rPr>
                      <w:rFonts w:hint="eastAsia" w:ascii="Times New Roman" w:hAnsi="Times New Roman" w:eastAsia="宋体" w:cs="Times New Roman"/>
                      <w:color w:val="auto"/>
                      <w:kern w:val="2"/>
                      <w:sz w:val="21"/>
                      <w:szCs w:val="21"/>
                      <w:lang w:val="en-US" w:eastAsia="zh-CN" w:bidi="ar-SA"/>
                    </w:rPr>
                    <w:t>868台逆变器。</w:t>
                  </w:r>
                </w:p>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2、</w:t>
                  </w:r>
                  <w:r>
                    <w:rPr>
                      <w:rFonts w:hint="eastAsia" w:ascii="Times New Roman" w:hAnsi="Times New Roman" w:eastAsia="宋体" w:cs="Times New Roman"/>
                      <w:color w:val="auto"/>
                      <w:kern w:val="2"/>
                      <w:sz w:val="21"/>
                      <w:szCs w:val="21"/>
                      <w:lang w:val="en-US" w:eastAsia="zh-CN" w:bidi="ar-SA"/>
                    </w:rPr>
                    <w:t>组串式逆变器不单独做基础，采用挂板固定在光伏支架上。</w:t>
                  </w:r>
                </w:p>
              </w:tc>
              <w:tc>
                <w:tcPr>
                  <w:tcW w:w="1760"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1、项目选用320kW型组串式逆变器，容配比1.252294，每台逆变器接入400.73408kWp光伏电能，全站共533台逆变器。</w:t>
                  </w:r>
                </w:p>
                <w:p>
                  <w:pPr>
                    <w:keepNext w:val="0"/>
                    <w:keepLines w:val="0"/>
                    <w:pageBreakBefore w:val="0"/>
                    <w:kinsoku/>
                    <w:wordWrap w:val="0"/>
                    <w:overflowPunct/>
                    <w:topLinePunct w:val="0"/>
                    <w:autoSpaceDE w:val="0"/>
                    <w:autoSpaceDN w:val="0"/>
                    <w:bidi w:val="0"/>
                    <w:adjustRightInd w:val="0"/>
                    <w:snapToGrid w:val="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2、组串式逆变器不单独做基础，采用挂板固定在光伏支架上。</w:t>
                  </w:r>
                </w:p>
              </w:tc>
              <w:tc>
                <w:tcPr>
                  <w:tcW w:w="557"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逆变器型号数量发生变化，安装方式不变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316"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273"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pacing w:val="-8"/>
                      <w:kern w:val="2"/>
                      <w:sz w:val="21"/>
                      <w:szCs w:val="21"/>
                      <w:lang w:val="en-US" w:eastAsia="zh-CN" w:bidi="ar-SA"/>
                    </w:rPr>
                    <w:t>就地</w:t>
                  </w:r>
                  <w:r>
                    <w:rPr>
                      <w:rFonts w:ascii="Times New Roman" w:hAnsi="Times New Roman" w:eastAsia="宋体" w:cs="Times New Roman"/>
                      <w:color w:val="auto"/>
                      <w:spacing w:val="-8"/>
                      <w:kern w:val="2"/>
                      <w:sz w:val="21"/>
                      <w:szCs w:val="21"/>
                      <w:lang w:val="en-US" w:eastAsia="zh-CN" w:bidi="ar-SA"/>
                    </w:rPr>
                    <w:t>升压变压器</w:t>
                  </w:r>
                  <w:r>
                    <w:rPr>
                      <w:rFonts w:hint="eastAsia" w:ascii="Times New Roman" w:hAnsi="Times New Roman" w:eastAsia="宋体" w:cs="Times New Roman"/>
                      <w:color w:val="auto"/>
                      <w:spacing w:val="-8"/>
                      <w:kern w:val="2"/>
                      <w:sz w:val="21"/>
                      <w:szCs w:val="21"/>
                      <w:lang w:val="en-US" w:eastAsia="zh-CN" w:bidi="ar-SA"/>
                    </w:rPr>
                    <w:t>（箱变）</w:t>
                  </w:r>
                </w:p>
              </w:tc>
              <w:tc>
                <w:tcPr>
                  <w:tcW w:w="1839"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1、每个方阵布置对应容量的华式箱变一台，全站共设54</w:t>
                  </w:r>
                  <w:r>
                    <w:rPr>
                      <w:rFonts w:ascii="Times New Roman" w:hAnsi="Times New Roman" w:eastAsia="宋体" w:cs="Times New Roman"/>
                      <w:color w:val="auto"/>
                      <w:kern w:val="2"/>
                      <w:sz w:val="21"/>
                      <w:szCs w:val="21"/>
                      <w:lang w:val="en-US" w:eastAsia="zh-CN" w:bidi="ar-SA"/>
                    </w:rPr>
                    <w:t>台箱变，包括</w:t>
                  </w:r>
                  <w:r>
                    <w:rPr>
                      <w:rFonts w:hint="eastAsia" w:ascii="Times New Roman" w:hAnsi="Times New Roman" w:eastAsia="宋体" w:cs="Times New Roman"/>
                      <w:color w:val="auto"/>
                      <w:kern w:val="2"/>
                      <w:sz w:val="21"/>
                      <w:szCs w:val="21"/>
                      <w:lang w:val="en-US" w:eastAsia="zh-CN" w:bidi="ar-SA"/>
                    </w:rPr>
                    <w:t>52台3</w:t>
                  </w:r>
                  <w:r>
                    <w:rPr>
                      <w:rFonts w:ascii="Times New Roman" w:hAnsi="Times New Roman" w:eastAsia="宋体" w:cs="Times New Roman"/>
                      <w:color w:val="auto"/>
                      <w:kern w:val="2"/>
                      <w:sz w:val="21"/>
                      <w:szCs w:val="21"/>
                      <w:lang w:val="en-US" w:eastAsia="zh-CN" w:bidi="ar-SA"/>
                    </w:rPr>
                    <w:t>150kVA</w:t>
                  </w:r>
                  <w:r>
                    <w:rPr>
                      <w:rFonts w:hint="eastAsia" w:ascii="Times New Roman" w:hAnsi="Times New Roman" w:eastAsia="宋体" w:cs="Times New Roman"/>
                      <w:color w:val="auto"/>
                      <w:kern w:val="2"/>
                      <w:sz w:val="21"/>
                      <w:szCs w:val="21"/>
                      <w:lang w:val="en-US" w:eastAsia="zh-CN" w:bidi="ar-SA"/>
                    </w:rPr>
                    <w:t>箱变，每台接入1</w:t>
                  </w:r>
                  <w:r>
                    <w:rPr>
                      <w:rFonts w:ascii="Times New Roman" w:hAnsi="Times New Roman" w:eastAsia="宋体" w:cs="Times New Roman"/>
                      <w:color w:val="auto"/>
                      <w:kern w:val="2"/>
                      <w:sz w:val="21"/>
                      <w:szCs w:val="21"/>
                      <w:lang w:val="en-US" w:eastAsia="zh-CN" w:bidi="ar-SA"/>
                    </w:rPr>
                    <w:t>6台逆变器；</w:t>
                  </w:r>
                  <w:r>
                    <w:rPr>
                      <w:rFonts w:hint="eastAsia" w:ascii="Times New Roman" w:hAnsi="Times New Roman" w:eastAsia="宋体" w:cs="Times New Roman"/>
                      <w:color w:val="auto"/>
                      <w:kern w:val="2"/>
                      <w:sz w:val="21"/>
                      <w:szCs w:val="21"/>
                      <w:lang w:val="en-US" w:eastAsia="zh-CN" w:bidi="ar-SA"/>
                    </w:rPr>
                    <w:t>2台3500</w:t>
                  </w:r>
                  <w:r>
                    <w:rPr>
                      <w:rFonts w:ascii="Times New Roman" w:hAnsi="Times New Roman" w:eastAsia="宋体" w:cs="Times New Roman"/>
                      <w:color w:val="auto"/>
                      <w:kern w:val="2"/>
                      <w:sz w:val="21"/>
                      <w:szCs w:val="21"/>
                      <w:lang w:val="en-US" w:eastAsia="zh-CN" w:bidi="ar-SA"/>
                    </w:rPr>
                    <w:t>kVA</w:t>
                  </w:r>
                  <w:r>
                    <w:rPr>
                      <w:rFonts w:hint="eastAsia" w:ascii="Times New Roman" w:hAnsi="Times New Roman" w:eastAsia="宋体" w:cs="Times New Roman"/>
                      <w:color w:val="auto"/>
                      <w:kern w:val="2"/>
                      <w:sz w:val="21"/>
                      <w:szCs w:val="21"/>
                      <w:lang w:val="en-US" w:eastAsia="zh-CN" w:bidi="ar-SA"/>
                    </w:rPr>
                    <w:t>箱变，每台接入18</w:t>
                  </w:r>
                  <w:r>
                    <w:rPr>
                      <w:rFonts w:ascii="Times New Roman" w:hAnsi="Times New Roman" w:eastAsia="宋体" w:cs="Times New Roman"/>
                      <w:color w:val="auto"/>
                      <w:kern w:val="2"/>
                      <w:sz w:val="21"/>
                      <w:szCs w:val="21"/>
                      <w:lang w:val="en-US" w:eastAsia="zh-CN" w:bidi="ar-SA"/>
                    </w:rPr>
                    <w:t>台逆变器</w:t>
                  </w:r>
                  <w:r>
                    <w:rPr>
                      <w:rFonts w:hint="eastAsia" w:ascii="Times New Roman" w:hAnsi="Times New Roman" w:eastAsia="宋体" w:cs="Times New Roman"/>
                      <w:color w:val="auto"/>
                      <w:kern w:val="2"/>
                      <w:sz w:val="21"/>
                      <w:szCs w:val="21"/>
                      <w:lang w:val="en-US" w:eastAsia="zh-CN" w:bidi="ar-SA"/>
                    </w:rPr>
                    <w:t>。箱变额定电压</w:t>
                  </w:r>
                  <w:r>
                    <w:rPr>
                      <w:rFonts w:ascii="Times New Roman" w:hAnsi="Times New Roman" w:eastAsia="宋体" w:cs="Times New Roman"/>
                      <w:color w:val="auto"/>
                      <w:kern w:val="2"/>
                      <w:sz w:val="21"/>
                      <w:szCs w:val="21"/>
                      <w:lang w:val="en-US" w:eastAsia="zh-CN" w:bidi="ar-SA"/>
                    </w:rPr>
                    <w:t>35±2*2.5%/0.8kV。</w:t>
                  </w:r>
                </w:p>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2、箱变</w:t>
                  </w:r>
                  <w:r>
                    <w:rPr>
                      <w:rFonts w:ascii="Times New Roman" w:hAnsi="Times New Roman" w:eastAsia="宋体" w:cs="Times New Roman"/>
                      <w:color w:val="auto"/>
                      <w:kern w:val="2"/>
                      <w:sz w:val="21"/>
                      <w:szCs w:val="21"/>
                      <w:lang w:val="en-US" w:eastAsia="zh-CN" w:bidi="ar-SA"/>
                    </w:rPr>
                    <w:t>布置在</w:t>
                  </w:r>
                  <w:r>
                    <w:rPr>
                      <w:rFonts w:hint="eastAsia" w:ascii="Times New Roman" w:hAnsi="Times New Roman" w:eastAsia="宋体" w:cs="Times New Roman"/>
                      <w:color w:val="auto"/>
                      <w:kern w:val="2"/>
                      <w:sz w:val="21"/>
                      <w:szCs w:val="21"/>
                      <w:lang w:val="en-US" w:eastAsia="zh-CN" w:bidi="ar-SA"/>
                    </w:rPr>
                    <w:t>各</w:t>
                  </w:r>
                  <w:r>
                    <w:rPr>
                      <w:rFonts w:ascii="Times New Roman" w:hAnsi="Times New Roman" w:eastAsia="宋体" w:cs="Times New Roman"/>
                      <w:color w:val="auto"/>
                      <w:kern w:val="2"/>
                      <w:sz w:val="21"/>
                      <w:szCs w:val="21"/>
                      <w:lang w:val="en-US" w:eastAsia="zh-CN" w:bidi="ar-SA"/>
                    </w:rPr>
                    <w:t>子方阵的检修道路旁。</w:t>
                  </w:r>
                  <w:r>
                    <w:rPr>
                      <w:rFonts w:hint="eastAsia" w:ascii="Times New Roman" w:hAnsi="Times New Roman" w:eastAsia="宋体" w:cs="Times New Roman"/>
                      <w:color w:val="auto"/>
                      <w:kern w:val="2"/>
                      <w:sz w:val="21"/>
                      <w:szCs w:val="21"/>
                      <w:lang w:val="en-US" w:eastAsia="zh-CN" w:bidi="ar-SA"/>
                    </w:rPr>
                    <w:t>箱变基础为钢筋混凝土箱形结构，占地面积约</w:t>
                  </w:r>
                  <w:r>
                    <w:rPr>
                      <w:rFonts w:ascii="Times New Roman" w:hAnsi="Times New Roman" w:eastAsia="宋体" w:cs="Times New Roman"/>
                      <w:color w:val="auto"/>
                      <w:kern w:val="2"/>
                      <w:sz w:val="21"/>
                      <w:szCs w:val="21"/>
                      <w:lang w:val="en-US" w:eastAsia="zh-CN" w:bidi="ar-SA"/>
                    </w:rPr>
                    <w:t>1</w:t>
                  </w:r>
                  <w:r>
                    <w:rPr>
                      <w:rFonts w:hint="eastAsia" w:ascii="Times New Roman" w:hAnsi="Times New Roman" w:eastAsia="宋体" w:cs="Times New Roman"/>
                      <w:color w:val="auto"/>
                      <w:kern w:val="2"/>
                      <w:sz w:val="21"/>
                      <w:szCs w:val="21"/>
                      <w:lang w:val="en-US" w:eastAsia="zh-CN" w:bidi="ar-SA"/>
                    </w:rPr>
                    <w:t>700</w:t>
                  </w:r>
                  <w:r>
                    <w:rPr>
                      <w:rFonts w:ascii="Times New Roman" w:hAnsi="Times New Roman" w:eastAsia="宋体" w:cs="Times New Roman"/>
                      <w:color w:val="auto"/>
                      <w:kern w:val="2"/>
                      <w:sz w:val="21"/>
                      <w:szCs w:val="21"/>
                      <w:lang w:val="en-US" w:eastAsia="zh-CN" w:bidi="ar-SA"/>
                    </w:rPr>
                    <w:t>m</w:t>
                  </w:r>
                  <w:r>
                    <w:rPr>
                      <w:rFonts w:ascii="Times New Roman" w:hAnsi="Times New Roman" w:eastAsia="宋体" w:cs="Times New Roman"/>
                      <w:color w:val="auto"/>
                      <w:kern w:val="2"/>
                      <w:sz w:val="21"/>
                      <w:szCs w:val="21"/>
                      <w:vertAlign w:val="superscript"/>
                      <w:lang w:val="en-US" w:eastAsia="zh-CN" w:bidi="ar-SA"/>
                    </w:rPr>
                    <w:t>2</w:t>
                  </w:r>
                  <w:r>
                    <w:rPr>
                      <w:rFonts w:hint="eastAsia" w:ascii="Times New Roman" w:hAnsi="Times New Roman" w:eastAsia="宋体" w:cs="Times New Roman"/>
                      <w:color w:val="auto"/>
                      <w:kern w:val="2"/>
                      <w:sz w:val="21"/>
                      <w:szCs w:val="21"/>
                      <w:lang w:val="en-US" w:eastAsia="zh-CN" w:bidi="ar-SA"/>
                    </w:rPr>
                    <w:t>，底部埋深1</w:t>
                  </w:r>
                  <w:r>
                    <w:rPr>
                      <w:rFonts w:ascii="Times New Roman" w:hAnsi="Times New Roman" w:eastAsia="宋体" w:cs="Times New Roman"/>
                      <w:color w:val="auto"/>
                      <w:kern w:val="2"/>
                      <w:sz w:val="21"/>
                      <w:szCs w:val="21"/>
                      <w:lang w:val="en-US" w:eastAsia="zh-CN" w:bidi="ar-SA"/>
                    </w:rPr>
                    <w:t>.0m</w:t>
                  </w:r>
                  <w:r>
                    <w:rPr>
                      <w:rFonts w:hint="eastAsia" w:ascii="Times New Roman" w:hAnsi="Times New Roman" w:eastAsia="宋体" w:cs="Times New Roman"/>
                      <w:color w:val="auto"/>
                      <w:kern w:val="2"/>
                      <w:sz w:val="21"/>
                      <w:szCs w:val="21"/>
                      <w:lang w:val="en-US" w:eastAsia="zh-CN" w:bidi="ar-SA"/>
                    </w:rPr>
                    <w:t>，基础顶面高于地坪</w:t>
                  </w:r>
                  <w:r>
                    <w:rPr>
                      <w:rFonts w:ascii="Times New Roman" w:hAnsi="Times New Roman" w:eastAsia="宋体" w:cs="Times New Roman"/>
                      <w:color w:val="auto"/>
                      <w:kern w:val="0"/>
                      <w:sz w:val="21"/>
                      <w:szCs w:val="24"/>
                      <w:lang w:val="en-US" w:eastAsia="zh-CN" w:bidi="ar-SA"/>
                    </w:rPr>
                    <w:t>0.8</w:t>
                  </w:r>
                  <w:r>
                    <w:rPr>
                      <w:rFonts w:hint="eastAsia" w:ascii="Times New Roman" w:hAnsi="Times New Roman" w:eastAsia="宋体" w:cs="Times New Roman"/>
                      <w:color w:val="auto"/>
                      <w:kern w:val="0"/>
                      <w:sz w:val="21"/>
                      <w:szCs w:val="24"/>
                      <w:lang w:val="en-US" w:eastAsia="zh-CN" w:bidi="ar-SA"/>
                    </w:rPr>
                    <w:t>～</w:t>
                  </w:r>
                  <w:r>
                    <w:rPr>
                      <w:rFonts w:ascii="Times New Roman" w:hAnsi="Times New Roman" w:eastAsia="宋体" w:cs="Times New Roman"/>
                      <w:color w:val="auto"/>
                      <w:kern w:val="0"/>
                      <w:sz w:val="21"/>
                      <w:szCs w:val="24"/>
                      <w:lang w:val="en-US" w:eastAsia="zh-CN" w:bidi="ar-SA"/>
                    </w:rPr>
                    <w:t>1.0</w:t>
                  </w:r>
                  <w:r>
                    <w:rPr>
                      <w:rFonts w:ascii="Times New Roman" w:hAnsi="Times New Roman" w:eastAsia="宋体" w:cs="Times New Roman"/>
                      <w:color w:val="auto"/>
                      <w:kern w:val="2"/>
                      <w:sz w:val="21"/>
                      <w:szCs w:val="21"/>
                      <w:lang w:val="en-US" w:eastAsia="zh-CN" w:bidi="ar-SA"/>
                    </w:rPr>
                    <w:t xml:space="preserve"> m</w:t>
                  </w:r>
                  <w:r>
                    <w:rPr>
                      <w:rFonts w:hint="eastAsia" w:ascii="Times New Roman" w:hAnsi="Times New Roman" w:eastAsia="宋体" w:cs="Times New Roman"/>
                      <w:color w:val="auto"/>
                      <w:kern w:val="2"/>
                      <w:sz w:val="21"/>
                      <w:szCs w:val="21"/>
                      <w:lang w:val="en-US" w:eastAsia="zh-CN" w:bidi="ar-SA"/>
                    </w:rPr>
                    <w:t>；配套设置集油池。</w:t>
                  </w:r>
                </w:p>
              </w:tc>
              <w:tc>
                <w:tcPr>
                  <w:tcW w:w="1760"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1、每个方阵布置对应容量的华式箱变一台，全站共设54台箱变，包括52台3150kVA箱变，每台接入16台逆变器；2台2000kVA箱变，每台接入18台逆变器。箱变额定电压37±2×2.5%/0.8kV。</w:t>
                  </w:r>
                </w:p>
                <w:p>
                  <w:pPr>
                    <w:keepNext w:val="0"/>
                    <w:keepLines w:val="0"/>
                    <w:pageBreakBefore w:val="0"/>
                    <w:widowControl w:val="0"/>
                    <w:kinsoku/>
                    <w:wordWrap w:val="0"/>
                    <w:overflowPunct/>
                    <w:topLinePunct w:val="0"/>
                    <w:bidi w:val="0"/>
                    <w:adjustRightInd w:val="0"/>
                    <w:snapToGrid w:val="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2、箱变布置在各子方阵的检修道路旁。箱变基础为钢筋混凝土箱形结构，占地面积约1700m2，底部埋深1.0m，基础顶面高于地坪0.8～1.0 m；配套设置集油池。</w:t>
                  </w:r>
                </w:p>
              </w:tc>
              <w:tc>
                <w:tcPr>
                  <w:tcW w:w="557"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项目箱变数量不变，型号发生变化，安装方式不变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316"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273"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spacing w:val="-8"/>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35kV</w:t>
                  </w:r>
                  <w:r>
                    <w:rPr>
                      <w:rFonts w:hint="eastAsia" w:ascii="Times New Roman" w:hAnsi="Times New Roman" w:eastAsia="宋体" w:cs="Times New Roman"/>
                      <w:color w:val="auto"/>
                      <w:spacing w:val="-8"/>
                      <w:kern w:val="2"/>
                      <w:sz w:val="21"/>
                      <w:szCs w:val="21"/>
                      <w:lang w:val="en-US" w:eastAsia="zh-CN" w:bidi="ar-SA"/>
                    </w:rPr>
                    <w:t>电缆分接箱</w:t>
                  </w:r>
                </w:p>
              </w:tc>
              <w:tc>
                <w:tcPr>
                  <w:tcW w:w="1839"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1、工程设电缆分接箱</w:t>
                  </w:r>
                  <w:r>
                    <w:rPr>
                      <w:rFonts w:ascii="Times New Roman" w:hAnsi="Times New Roman" w:eastAsia="宋体" w:cs="Times New Roman"/>
                      <w:color w:val="auto"/>
                      <w:kern w:val="2"/>
                      <w:sz w:val="21"/>
                      <w:szCs w:val="21"/>
                      <w:lang w:val="en-US" w:eastAsia="zh-CN" w:bidi="ar-SA"/>
                    </w:rPr>
                    <w:t>3</w:t>
                  </w:r>
                  <w:r>
                    <w:rPr>
                      <w:rFonts w:hint="eastAsia" w:ascii="Times New Roman" w:hAnsi="Times New Roman" w:eastAsia="宋体" w:cs="Times New Roman"/>
                      <w:color w:val="auto"/>
                      <w:kern w:val="2"/>
                      <w:sz w:val="21"/>
                      <w:szCs w:val="21"/>
                      <w:lang w:val="en-US" w:eastAsia="zh-CN" w:bidi="ar-SA"/>
                    </w:rPr>
                    <w:t>台，各方阵电能逆变并升压至35kV后，通过35kV电缆分接箱并联至35kV集电线路。</w:t>
                  </w:r>
                </w:p>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2、各电缆分接箱采用</w:t>
                  </w:r>
                  <w:r>
                    <w:rPr>
                      <w:rFonts w:hint="eastAsia" w:ascii="Times New Roman" w:hAnsi="Times New Roman" w:eastAsia="宋体" w:cs="Times New Roman"/>
                      <w:color w:val="auto"/>
                      <w:kern w:val="2"/>
                      <w:sz w:val="21"/>
                      <w:szCs w:val="21"/>
                      <w:lang w:val="en-US" w:eastAsia="zh-CN" w:bidi="ar-SA"/>
                    </w:rPr>
                    <w:t>钢筋混凝土箱形结构，占地面积约</w:t>
                  </w:r>
                  <w:r>
                    <w:rPr>
                      <w:rFonts w:ascii="Times New Roman" w:hAnsi="Times New Roman" w:eastAsia="宋体" w:cs="Times New Roman"/>
                      <w:color w:val="auto"/>
                      <w:kern w:val="2"/>
                      <w:sz w:val="21"/>
                      <w:szCs w:val="21"/>
                      <w:lang w:val="en-US" w:eastAsia="zh-CN" w:bidi="ar-SA"/>
                    </w:rPr>
                    <w:t>13.5m</w:t>
                  </w:r>
                  <w:r>
                    <w:rPr>
                      <w:rFonts w:ascii="Times New Roman" w:hAnsi="Times New Roman" w:eastAsia="宋体" w:cs="Times New Roman"/>
                      <w:color w:val="auto"/>
                      <w:kern w:val="2"/>
                      <w:sz w:val="21"/>
                      <w:szCs w:val="21"/>
                      <w:vertAlign w:val="superscript"/>
                      <w:lang w:val="en-US" w:eastAsia="zh-CN" w:bidi="ar-SA"/>
                    </w:rPr>
                    <w:t>2</w:t>
                  </w:r>
                </w:p>
              </w:tc>
              <w:tc>
                <w:tcPr>
                  <w:tcW w:w="1760"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kern w:val="2"/>
                      <w:sz w:val="21"/>
                      <w:szCs w:val="21"/>
                      <w:lang w:val="en-US" w:eastAsia="zh-CN" w:bidi="ar-SA"/>
                    </w:rPr>
                    <w:t>工程设电缆分接箱6台，各方阵电能逆变并升压至35kV后，通过35kV电缆分接箱并联至35kV集电线路。</w:t>
                  </w:r>
                </w:p>
                <w:p>
                  <w:pPr>
                    <w:keepNext w:val="0"/>
                    <w:keepLines w:val="0"/>
                    <w:pageBreakBefore w:val="0"/>
                    <w:kinsoku/>
                    <w:wordWrap w:val="0"/>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kern w:val="2"/>
                      <w:sz w:val="21"/>
                      <w:szCs w:val="21"/>
                      <w:lang w:val="en-US" w:eastAsia="zh-CN" w:bidi="ar-SA"/>
                    </w:rPr>
                    <w:t>2、各电缆分接箱采用</w:t>
                  </w:r>
                  <w:r>
                    <w:rPr>
                      <w:rFonts w:hint="eastAsia" w:ascii="Times New Roman" w:hAnsi="Times New Roman" w:eastAsia="宋体" w:cs="Times New Roman"/>
                      <w:color w:val="auto"/>
                      <w:kern w:val="2"/>
                      <w:sz w:val="21"/>
                      <w:szCs w:val="21"/>
                      <w:lang w:val="en-US" w:eastAsia="zh-CN" w:bidi="ar-SA"/>
                    </w:rPr>
                    <w:t>钢筋混凝土箱形结构，占地面积约27</w:t>
                  </w:r>
                  <w:r>
                    <w:rPr>
                      <w:rFonts w:ascii="Times New Roman" w:hAnsi="Times New Roman" w:eastAsia="宋体" w:cs="Times New Roman"/>
                      <w:color w:val="auto"/>
                      <w:kern w:val="2"/>
                      <w:sz w:val="21"/>
                      <w:szCs w:val="21"/>
                      <w:lang w:val="en-US" w:eastAsia="zh-CN" w:bidi="ar-SA"/>
                    </w:rPr>
                    <w:t>m</w:t>
                  </w:r>
                  <w:r>
                    <w:rPr>
                      <w:rFonts w:ascii="Times New Roman" w:hAnsi="Times New Roman" w:eastAsia="宋体" w:cs="Times New Roman"/>
                      <w:color w:val="auto"/>
                      <w:kern w:val="2"/>
                      <w:sz w:val="21"/>
                      <w:szCs w:val="21"/>
                      <w:vertAlign w:val="superscript"/>
                      <w:lang w:val="en-US" w:eastAsia="zh-CN" w:bidi="ar-SA"/>
                    </w:rPr>
                    <w:t>2</w:t>
                  </w:r>
                </w:p>
              </w:tc>
              <w:tc>
                <w:tcPr>
                  <w:tcW w:w="557"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项目地块增加，占地面积增大，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316"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273"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集电线路</w:t>
                  </w:r>
                </w:p>
              </w:tc>
              <w:tc>
                <w:tcPr>
                  <w:tcW w:w="1839"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1、项目共设7回3</w:t>
                  </w:r>
                  <w:r>
                    <w:rPr>
                      <w:rFonts w:ascii="Times New Roman" w:hAnsi="Times New Roman" w:eastAsia="宋体" w:cs="Times New Roman"/>
                      <w:color w:val="auto"/>
                      <w:sz w:val="21"/>
                      <w:szCs w:val="21"/>
                    </w:rPr>
                    <w:t>5kV</w:t>
                  </w:r>
                  <w:r>
                    <w:rPr>
                      <w:rFonts w:hint="eastAsia" w:ascii="Times New Roman" w:hAnsi="Times New Roman" w:eastAsia="宋体" w:cs="Times New Roman"/>
                      <w:color w:val="auto"/>
                      <w:sz w:val="21"/>
                      <w:szCs w:val="21"/>
                    </w:rPr>
                    <w:t>集电线路</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汇集电能送入2</w:t>
                  </w:r>
                  <w:r>
                    <w:rPr>
                      <w:rFonts w:ascii="Times New Roman" w:hAnsi="Times New Roman" w:eastAsia="宋体" w:cs="Times New Roman"/>
                      <w:color w:val="auto"/>
                      <w:sz w:val="21"/>
                      <w:szCs w:val="21"/>
                    </w:rPr>
                    <w:t>20kV</w:t>
                  </w:r>
                  <w:r>
                    <w:rPr>
                      <w:rFonts w:hint="eastAsia" w:ascii="Times New Roman" w:hAnsi="Times New Roman" w:eastAsia="宋体" w:cs="Times New Roman"/>
                      <w:color w:val="auto"/>
                      <w:sz w:val="21"/>
                      <w:szCs w:val="21"/>
                    </w:rPr>
                    <w:t>升压站。</w:t>
                  </w:r>
                </w:p>
                <w:p>
                  <w:pPr>
                    <w:keepNext w:val="0"/>
                    <w:keepLines w:val="0"/>
                    <w:pageBreakBefore w:val="0"/>
                    <w:kinsoku/>
                    <w:wordWrap w:val="0"/>
                    <w:overflowPunct/>
                    <w:topLinePunct w:val="0"/>
                    <w:autoSpaceDE w:val="0"/>
                    <w:autoSpaceDN w:val="0"/>
                    <w:bidi w:val="0"/>
                    <w:adjustRightInd w:val="0"/>
                    <w:snapToGrid w:val="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2、集电线路采取地埋电缆和架空线路混合布置。光伏场区内通过地埋电缆方式汇集电能；光伏场区外至升压站采用缆架结合方式，其中地埋电缆总长5.446</w:t>
                  </w:r>
                  <w:r>
                    <w:rPr>
                      <w:rFonts w:ascii="Times New Roman" w:hAnsi="Times New Roman" w:eastAsia="宋体" w:cs="Times New Roman"/>
                      <w:color w:val="auto"/>
                      <w:sz w:val="21"/>
                      <w:szCs w:val="21"/>
                    </w:rPr>
                    <w:t>km</w:t>
                  </w: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占地</w:t>
                  </w:r>
                  <w:r>
                    <w:rPr>
                      <w:rFonts w:hint="eastAsia" w:ascii="Times New Roman" w:hAnsi="Times New Roman" w:eastAsia="宋体" w:cs="Times New Roman"/>
                      <w:color w:val="auto"/>
                      <w:sz w:val="21"/>
                      <w:szCs w:val="21"/>
                    </w:rPr>
                    <w:t>0.82h</w:t>
                  </w:r>
                  <w:r>
                    <w:rPr>
                      <w:rFonts w:ascii="Times New Roman" w:hAnsi="Times New Roman" w:eastAsia="宋体" w:cs="Times New Roman"/>
                      <w:color w:val="auto"/>
                      <w:sz w:val="21"/>
                      <w:szCs w:val="21"/>
                    </w:rPr>
                    <w:t>m</w:t>
                  </w:r>
                  <w:r>
                    <w:rPr>
                      <w:rFonts w:ascii="Times New Roman" w:hAnsi="Times New Roman" w:eastAsia="宋体" w:cs="Times New Roman"/>
                      <w:color w:val="auto"/>
                      <w:sz w:val="21"/>
                      <w:szCs w:val="21"/>
                      <w:vertAlign w:val="superscript"/>
                    </w:rPr>
                    <w:t>2</w:t>
                  </w:r>
                  <w:r>
                    <w:rPr>
                      <w:rFonts w:hint="eastAsia" w:ascii="Times New Roman" w:hAnsi="Times New Roman" w:eastAsia="宋体" w:cs="Times New Roman"/>
                      <w:color w:val="auto"/>
                      <w:sz w:val="21"/>
                      <w:szCs w:val="21"/>
                    </w:rPr>
                    <w:t>；架空线路总长26.70</w:t>
                  </w:r>
                  <w:r>
                    <w:rPr>
                      <w:rFonts w:ascii="Times New Roman" w:hAnsi="Times New Roman" w:eastAsia="宋体" w:cs="Times New Roman"/>
                      <w:color w:val="auto"/>
                      <w:sz w:val="21"/>
                      <w:szCs w:val="21"/>
                    </w:rPr>
                    <w:t>km</w:t>
                  </w:r>
                  <w:r>
                    <w:rPr>
                      <w:rFonts w:hint="eastAsia" w:ascii="Times New Roman" w:hAnsi="Times New Roman" w:eastAsia="宋体" w:cs="Times New Roman"/>
                      <w:color w:val="auto"/>
                      <w:sz w:val="21"/>
                      <w:szCs w:val="21"/>
                    </w:rPr>
                    <w:t>，共设107座杆塔，塔基占地面积0.62h</w:t>
                  </w:r>
                  <w:r>
                    <w:rPr>
                      <w:rFonts w:ascii="Times New Roman" w:hAnsi="Times New Roman" w:eastAsia="宋体" w:cs="Times New Roman"/>
                      <w:color w:val="auto"/>
                      <w:sz w:val="21"/>
                      <w:szCs w:val="21"/>
                    </w:rPr>
                    <w:t>m</w:t>
                  </w:r>
                  <w:r>
                    <w:rPr>
                      <w:rFonts w:ascii="Times New Roman" w:hAnsi="Times New Roman" w:eastAsia="宋体" w:cs="Times New Roman"/>
                      <w:color w:val="auto"/>
                      <w:sz w:val="21"/>
                      <w:szCs w:val="21"/>
                      <w:vertAlign w:val="superscript"/>
                    </w:rPr>
                    <w:t>2</w:t>
                  </w:r>
                  <w:r>
                    <w:rPr>
                      <w:rFonts w:hint="eastAsia" w:ascii="Times New Roman" w:hAnsi="Times New Roman" w:eastAsia="宋体" w:cs="Times New Roman"/>
                      <w:color w:val="auto"/>
                      <w:sz w:val="21"/>
                      <w:szCs w:val="21"/>
                    </w:rPr>
                    <w:t>。</w:t>
                  </w:r>
                </w:p>
              </w:tc>
              <w:tc>
                <w:tcPr>
                  <w:tcW w:w="1760"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1、项目共设</w:t>
                  </w: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rPr>
                    <w:t>回35kV集电线路，汇集电能送入</w:t>
                  </w:r>
                  <w:r>
                    <w:rPr>
                      <w:rFonts w:hint="eastAsia" w:ascii="Times New Roman" w:hAnsi="Times New Roman" w:eastAsia="宋体" w:cs="Times New Roman"/>
                      <w:color w:val="auto"/>
                      <w:sz w:val="21"/>
                      <w:szCs w:val="21"/>
                      <w:lang w:val="en-US" w:eastAsia="zh-CN"/>
                    </w:rPr>
                    <w:t>11</w:t>
                  </w:r>
                  <w:r>
                    <w:rPr>
                      <w:rFonts w:hint="eastAsia" w:ascii="Times New Roman" w:hAnsi="Times New Roman" w:eastAsia="宋体" w:cs="Times New Roman"/>
                      <w:color w:val="auto"/>
                      <w:sz w:val="21"/>
                      <w:szCs w:val="21"/>
                    </w:rPr>
                    <w:t>0kV升压站。</w:t>
                  </w:r>
                </w:p>
                <w:p>
                  <w:pPr>
                    <w:keepNext w:val="0"/>
                    <w:keepLines w:val="0"/>
                    <w:pageBreakBefore w:val="0"/>
                    <w:kinsoku/>
                    <w:wordWrap w:val="0"/>
                    <w:overflowPunct/>
                    <w:topLinePunct w:val="0"/>
                    <w:autoSpaceDE w:val="0"/>
                    <w:autoSpaceDN w:val="0"/>
                    <w:bidi w:val="0"/>
                    <w:adjustRightInd w:val="0"/>
                    <w:snapToGrid w:val="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szCs w:val="21"/>
                      <w:lang w:val="en-US" w:eastAsia="zh-CN"/>
                    </w:rPr>
                    <w:t xml:space="preserve">2、集电线路采取地埋电缆和架空线路混合布置。光伏场区内通过地埋电缆方式汇集电能；光伏场区外至升压站采用缆架结合方式，电缆集电线路总长32.72km，其中架空线路总长5.63km，共设21座杆塔，，塔基基础占地面积共计 </w:t>
                  </w:r>
                  <w:r>
                    <w:rPr>
                      <w:rFonts w:hint="default" w:ascii="Times New Roman" w:hAnsi="Times New Roman" w:eastAsia="宋体" w:cs="Times New Roman"/>
                      <w:color w:val="auto"/>
                      <w:sz w:val="21"/>
                      <w:szCs w:val="21"/>
                      <w:lang w:val="en-US" w:eastAsia="zh-CN"/>
                    </w:rPr>
                    <w:t>0.01hm</w:t>
                  </w:r>
                  <w:r>
                    <w:rPr>
                      <w:rFonts w:hint="default"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w:t>
                  </w:r>
                </w:p>
              </w:tc>
              <w:tc>
                <w:tcPr>
                  <w:tcW w:w="557"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架空线路长度减少，塔基数量减少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590" w:type="pct"/>
                  <w:gridSpan w:val="2"/>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升压站</w:t>
                  </w:r>
                </w:p>
              </w:tc>
              <w:tc>
                <w:tcPr>
                  <w:tcW w:w="1839"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项目拟在马头地片区新建一座220kV升压站，</w:t>
                  </w:r>
                  <w:r>
                    <w:rPr>
                      <w:rFonts w:hint="eastAsia" w:ascii="Times New Roman" w:hAnsi="Times New Roman" w:eastAsia="宋体" w:cs="Times New Roman"/>
                      <w:color w:val="auto"/>
                      <w:sz w:val="21"/>
                      <w:szCs w:val="21"/>
                    </w:rPr>
                    <w:t>升压站考虑兼顾企业后续拟建光伏项目建设，总占地面积2.28hm</w:t>
                  </w:r>
                  <w:r>
                    <w:rPr>
                      <w:rFonts w:ascii="Times New Roman" w:hAnsi="Times New Roman" w:eastAsia="宋体" w:cs="Times New Roman"/>
                      <w:color w:val="auto"/>
                      <w:sz w:val="21"/>
                      <w:szCs w:val="21"/>
                      <w:vertAlign w:val="superscript"/>
                    </w:rPr>
                    <w:t>2</w:t>
                  </w:r>
                  <w:r>
                    <w:rPr>
                      <w:rFonts w:hint="eastAsia" w:ascii="Times New Roman" w:hAnsi="Times New Roman" w:eastAsia="宋体" w:cs="Times New Roman"/>
                      <w:color w:val="auto"/>
                      <w:sz w:val="21"/>
                      <w:szCs w:val="21"/>
                    </w:rPr>
                    <w:t>。本期建设1台17</w:t>
                  </w: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MVA主变，预留一台主变安装位置。</w:t>
                  </w:r>
                  <w:r>
                    <w:rPr>
                      <w:rFonts w:ascii="Times New Roman" w:hAnsi="Times New Roman" w:eastAsia="宋体" w:cs="Times New Roman"/>
                      <w:color w:val="auto"/>
                      <w:kern w:val="0"/>
                      <w:sz w:val="21"/>
                      <w:szCs w:val="21"/>
                    </w:rPr>
                    <w:t>220kV GIS配电装置采用预制舱布置于升压站</w:t>
                  </w:r>
                  <w:r>
                    <w:rPr>
                      <w:rFonts w:hint="eastAsia" w:ascii="Times New Roman" w:hAnsi="Times New Roman" w:eastAsia="宋体" w:cs="Times New Roman"/>
                      <w:color w:val="auto"/>
                      <w:kern w:val="0"/>
                      <w:sz w:val="21"/>
                      <w:szCs w:val="21"/>
                    </w:rPr>
                    <w:t>西</w:t>
                  </w:r>
                  <w:r>
                    <w:rPr>
                      <w:rFonts w:ascii="Times New Roman" w:hAnsi="Times New Roman" w:eastAsia="宋体" w:cs="Times New Roman"/>
                      <w:color w:val="auto"/>
                      <w:kern w:val="0"/>
                      <w:sz w:val="21"/>
                      <w:szCs w:val="21"/>
                    </w:rPr>
                    <w:t>侧</w:t>
                  </w:r>
                  <w:r>
                    <w:rPr>
                      <w:rFonts w:hint="eastAsia" w:ascii="Times New Roman" w:hAnsi="Times New Roman" w:eastAsia="宋体" w:cs="Times New Roman"/>
                      <w:color w:val="auto"/>
                      <w:kern w:val="0"/>
                      <w:sz w:val="21"/>
                      <w:szCs w:val="21"/>
                    </w:rPr>
                    <w:t>，东北</w:t>
                  </w:r>
                  <w:r>
                    <w:rPr>
                      <w:rFonts w:ascii="Times New Roman" w:hAnsi="Times New Roman" w:eastAsia="宋体" w:cs="Times New Roman"/>
                      <w:color w:val="auto"/>
                      <w:kern w:val="0"/>
                      <w:sz w:val="21"/>
                      <w:szCs w:val="21"/>
                    </w:rPr>
                    <w:t>侧</w:t>
                  </w:r>
                  <w:r>
                    <w:rPr>
                      <w:rFonts w:hint="eastAsia" w:ascii="Times New Roman" w:hAnsi="Times New Roman" w:eastAsia="宋体" w:cs="Times New Roman"/>
                      <w:color w:val="auto"/>
                      <w:kern w:val="0"/>
                      <w:sz w:val="21"/>
                      <w:szCs w:val="21"/>
                    </w:rPr>
                    <w:t>为</w:t>
                  </w:r>
                  <w:r>
                    <w:rPr>
                      <w:rFonts w:ascii="Times New Roman" w:hAnsi="Times New Roman" w:eastAsia="宋体" w:cs="Times New Roman"/>
                      <w:color w:val="auto"/>
                      <w:kern w:val="0"/>
                      <w:sz w:val="21"/>
                      <w:szCs w:val="21"/>
                    </w:rPr>
                    <w:t>生活区</w:t>
                  </w:r>
                  <w:r>
                    <w:rPr>
                      <w:rFonts w:hint="eastAsia" w:ascii="Times New Roman" w:hAnsi="Times New Roman" w:eastAsia="宋体" w:cs="Times New Roman"/>
                      <w:color w:val="auto"/>
                      <w:kern w:val="0"/>
                      <w:sz w:val="21"/>
                      <w:szCs w:val="21"/>
                    </w:rPr>
                    <w:t>，</w:t>
                  </w:r>
                  <w:r>
                    <w:rPr>
                      <w:rFonts w:ascii="Times New Roman" w:hAnsi="Times New Roman" w:eastAsia="宋体" w:cs="Times New Roman"/>
                      <w:color w:val="auto"/>
                      <w:kern w:val="0"/>
                      <w:sz w:val="21"/>
                      <w:szCs w:val="21"/>
                    </w:rPr>
                    <w:t>生活区南侧是水泵房油品库和危废暂存间</w:t>
                  </w:r>
                  <w:r>
                    <w:rPr>
                      <w:rFonts w:hint="eastAsia" w:ascii="Times New Roman" w:hAnsi="Times New Roman" w:eastAsia="宋体" w:cs="Times New Roman"/>
                      <w:color w:val="auto"/>
                      <w:kern w:val="0"/>
                      <w:sz w:val="21"/>
                      <w:szCs w:val="21"/>
                    </w:rPr>
                    <w:t>，升压站</w:t>
                  </w:r>
                  <w:r>
                    <w:rPr>
                      <w:rFonts w:ascii="Times New Roman" w:hAnsi="Times New Roman" w:eastAsia="宋体" w:cs="Times New Roman"/>
                      <w:color w:val="auto"/>
                      <w:kern w:val="0"/>
                      <w:sz w:val="21"/>
                      <w:szCs w:val="21"/>
                    </w:rPr>
                    <w:t>中部升压站控制室</w:t>
                  </w:r>
                  <w:r>
                    <w:rPr>
                      <w:rFonts w:hint="eastAsia" w:ascii="Times New Roman" w:hAnsi="Times New Roman" w:eastAsia="宋体" w:cs="Times New Roman"/>
                      <w:color w:val="auto"/>
                      <w:kern w:val="0"/>
                      <w:sz w:val="21"/>
                      <w:szCs w:val="21"/>
                    </w:rPr>
                    <w:t>，</w:t>
                  </w:r>
                  <w:r>
                    <w:rPr>
                      <w:rFonts w:ascii="Times New Roman" w:hAnsi="Times New Roman" w:eastAsia="宋体" w:cs="Times New Roman"/>
                      <w:color w:val="auto"/>
                      <w:kern w:val="0"/>
                      <w:sz w:val="21"/>
                      <w:szCs w:val="21"/>
                    </w:rPr>
                    <w:t>生活区东侧为预留储能场地。主变压器露天布置于升压站中部</w:t>
                  </w:r>
                  <w:r>
                    <w:rPr>
                      <w:rFonts w:hint="eastAsia" w:ascii="Times New Roman" w:hAnsi="Times New Roman" w:eastAsia="宋体" w:cs="Times New Roman"/>
                      <w:color w:val="auto"/>
                      <w:sz w:val="21"/>
                      <w:szCs w:val="21"/>
                    </w:rPr>
                    <w:t>。生产区</w:t>
                  </w:r>
                  <w:r>
                    <w:rPr>
                      <w:rFonts w:ascii="Times New Roman" w:hAnsi="Times New Roman" w:eastAsia="宋体" w:cs="Times New Roman"/>
                      <w:color w:val="auto"/>
                      <w:sz w:val="21"/>
                      <w:szCs w:val="21"/>
                    </w:rPr>
                    <w:t>主要布置</w:t>
                  </w:r>
                  <w:r>
                    <w:rPr>
                      <w:rFonts w:hint="eastAsia" w:ascii="Times New Roman" w:hAnsi="Times New Roman" w:eastAsia="宋体" w:cs="Times New Roman"/>
                      <w:color w:val="auto"/>
                      <w:sz w:val="21"/>
                      <w:szCs w:val="21"/>
                    </w:rPr>
                    <w:t>2</w:t>
                  </w:r>
                  <w:r>
                    <w:rPr>
                      <w:rFonts w:ascii="Times New Roman" w:hAnsi="Times New Roman" w:eastAsia="宋体" w:cs="Times New Roman"/>
                      <w:color w:val="auto"/>
                      <w:sz w:val="21"/>
                      <w:szCs w:val="21"/>
                    </w:rPr>
                    <w:t>20kV GIS</w:t>
                  </w:r>
                  <w:r>
                    <w:rPr>
                      <w:rFonts w:hint="eastAsia" w:ascii="Times New Roman" w:hAnsi="Times New Roman" w:eastAsia="宋体" w:cs="Times New Roman"/>
                      <w:color w:val="auto"/>
                      <w:sz w:val="21"/>
                      <w:szCs w:val="21"/>
                    </w:rPr>
                    <w:t>室</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主变压器、3</w:t>
                  </w:r>
                  <w:r>
                    <w:rPr>
                      <w:rFonts w:ascii="Times New Roman" w:hAnsi="Times New Roman" w:eastAsia="宋体" w:cs="Times New Roman"/>
                      <w:color w:val="auto"/>
                      <w:sz w:val="21"/>
                      <w:szCs w:val="21"/>
                    </w:rPr>
                    <w:t>5kV配电预制舱及二次设备舱、SVG成套装置、接地变、</w:t>
                  </w:r>
                  <w:r>
                    <w:rPr>
                      <w:rFonts w:hint="eastAsia" w:ascii="Times New Roman" w:hAnsi="Times New Roman" w:eastAsia="宋体" w:cs="Times New Roman"/>
                      <w:color w:val="auto"/>
                      <w:sz w:val="21"/>
                      <w:szCs w:val="21"/>
                    </w:rPr>
                    <w:t>站用变、</w:t>
                  </w:r>
                  <w:r>
                    <w:rPr>
                      <w:rFonts w:ascii="Times New Roman" w:hAnsi="Times New Roman" w:eastAsia="宋体" w:cs="Times New Roman"/>
                      <w:color w:val="auto"/>
                      <w:sz w:val="21"/>
                      <w:szCs w:val="21"/>
                    </w:rPr>
                    <w:t>小电阻成套装置、事故油池</w:t>
                  </w:r>
                  <w:r>
                    <w:rPr>
                      <w:rFonts w:hint="eastAsia" w:ascii="Times New Roman" w:hAnsi="Times New Roman" w:eastAsia="宋体" w:cs="Times New Roman"/>
                      <w:color w:val="auto"/>
                      <w:sz w:val="21"/>
                      <w:szCs w:val="21"/>
                    </w:rPr>
                    <w:t>及避雷针</w:t>
                  </w:r>
                  <w:r>
                    <w:rPr>
                      <w:rFonts w:ascii="Times New Roman" w:hAnsi="Times New Roman" w:eastAsia="宋体" w:cs="Times New Roman"/>
                      <w:color w:val="auto"/>
                      <w:sz w:val="21"/>
                      <w:szCs w:val="21"/>
                    </w:rPr>
                    <w:t>等；生活区主要布置</w:t>
                  </w:r>
                  <w:r>
                    <w:rPr>
                      <w:rFonts w:hint="eastAsia" w:ascii="Times New Roman" w:hAnsi="Times New Roman" w:eastAsia="宋体" w:cs="Times New Roman"/>
                      <w:color w:val="auto"/>
                      <w:sz w:val="21"/>
                      <w:szCs w:val="21"/>
                    </w:rPr>
                    <w:t>综合楼</w:t>
                  </w:r>
                  <w:r>
                    <w:rPr>
                      <w:rFonts w:ascii="Times New Roman" w:hAnsi="Times New Roman" w:eastAsia="宋体" w:cs="Times New Roman"/>
                      <w:color w:val="auto"/>
                      <w:sz w:val="21"/>
                      <w:szCs w:val="21"/>
                    </w:rPr>
                    <w:t>、仓库</w:t>
                  </w:r>
                  <w:r>
                    <w:rPr>
                      <w:rFonts w:hint="eastAsia" w:ascii="Times New Roman" w:hAnsi="Times New Roman" w:eastAsia="宋体" w:cs="Times New Roman"/>
                      <w:color w:val="auto"/>
                      <w:sz w:val="21"/>
                      <w:szCs w:val="21"/>
                    </w:rPr>
                    <w:t>和油品</w:t>
                  </w:r>
                  <w:r>
                    <w:rPr>
                      <w:rFonts w:ascii="Times New Roman" w:hAnsi="Times New Roman" w:eastAsia="宋体" w:cs="Times New Roman"/>
                      <w:color w:val="auto"/>
                      <w:sz w:val="21"/>
                      <w:szCs w:val="21"/>
                    </w:rPr>
                    <w:t>库、水池水泵房</w:t>
                  </w:r>
                  <w:r>
                    <w:rPr>
                      <w:rFonts w:hint="eastAsia" w:ascii="Times New Roman" w:hAnsi="Times New Roman" w:eastAsia="宋体" w:cs="Times New Roman"/>
                      <w:color w:val="auto"/>
                      <w:sz w:val="21"/>
                      <w:szCs w:val="21"/>
                    </w:rPr>
                    <w:t>、警卫室</w:t>
                  </w:r>
                  <w:r>
                    <w:rPr>
                      <w:rFonts w:ascii="Times New Roman" w:hAnsi="Times New Roman" w:eastAsia="宋体" w:cs="Times New Roman"/>
                      <w:color w:val="auto"/>
                      <w:sz w:val="21"/>
                      <w:szCs w:val="21"/>
                    </w:rPr>
                    <w:t>等。</w:t>
                  </w:r>
                </w:p>
              </w:tc>
              <w:tc>
                <w:tcPr>
                  <w:tcW w:w="1760" w:type="pct"/>
                  <w:noWrap w:val="0"/>
                  <w:vAlign w:val="center"/>
                </w:tcPr>
                <w:p>
                  <w:pPr>
                    <w:keepNext w:val="0"/>
                    <w:keepLines w:val="0"/>
                    <w:pageBreakBefore w:val="0"/>
                    <w:widowControl/>
                    <w:suppressLineNumbers w:val="0"/>
                    <w:kinsoku/>
                    <w:wordWrap w:val="0"/>
                    <w:overflowPunct/>
                    <w:topLinePunct w:val="0"/>
                    <w:bidi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项目拟在沙沟片区新建一座110kV升压站，升压站容量按1*170MW规划（不再扩建），总占地面积1.18hm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kern w:val="0"/>
                      <w:sz w:val="21"/>
                      <w:szCs w:val="21"/>
                      <w:lang w:val="en-US" w:eastAsia="zh-CN"/>
                    </w:rPr>
                    <w:t>11</w:t>
                  </w:r>
                  <w:r>
                    <w:rPr>
                      <w:rFonts w:ascii="Times New Roman" w:hAnsi="Times New Roman" w:eastAsia="宋体" w:cs="Times New Roman"/>
                      <w:color w:val="auto"/>
                      <w:kern w:val="0"/>
                      <w:sz w:val="21"/>
                      <w:szCs w:val="21"/>
                    </w:rPr>
                    <w:t>0kVGIS配电装置采用预制舱布置于升压站</w:t>
                  </w:r>
                  <w:r>
                    <w:rPr>
                      <w:rFonts w:hint="eastAsia" w:cs="Times New Roman"/>
                      <w:color w:val="auto"/>
                      <w:kern w:val="0"/>
                      <w:sz w:val="21"/>
                      <w:szCs w:val="21"/>
                      <w:lang w:val="en-US" w:eastAsia="zh-CN"/>
                    </w:rPr>
                    <w:t>中心区域</w:t>
                  </w:r>
                  <w:r>
                    <w:rPr>
                      <w:rFonts w:hint="eastAsia" w:ascii="Times New Roman" w:hAnsi="Times New Roman" w:eastAsia="宋体" w:cs="Times New Roman"/>
                      <w:color w:val="auto"/>
                      <w:kern w:val="0"/>
                      <w:sz w:val="21"/>
                      <w:szCs w:val="21"/>
                    </w:rPr>
                    <w:t>，</w:t>
                  </w:r>
                  <w:r>
                    <w:rPr>
                      <w:rFonts w:hint="eastAsia" w:cs="Times New Roman"/>
                      <w:color w:val="auto"/>
                      <w:kern w:val="0"/>
                      <w:sz w:val="21"/>
                      <w:szCs w:val="21"/>
                      <w:lang w:val="en-US" w:eastAsia="zh-CN"/>
                    </w:rPr>
                    <w:t>西北侧为生活区，配套设置污水处理设施，主变旁设置事故油池，位于主变北侧；</w:t>
                  </w:r>
                  <w:r>
                    <w:rPr>
                      <w:rFonts w:hint="eastAsia" w:ascii="Times New Roman" w:hAnsi="Times New Roman" w:eastAsia="宋体" w:cs="Times New Roman"/>
                      <w:color w:val="auto"/>
                      <w:sz w:val="21"/>
                      <w:szCs w:val="21"/>
                    </w:rPr>
                    <w:t>生产区</w:t>
                  </w:r>
                  <w:r>
                    <w:rPr>
                      <w:rFonts w:ascii="Times New Roman" w:hAnsi="Times New Roman" w:eastAsia="宋体" w:cs="Times New Roman"/>
                      <w:color w:val="auto"/>
                      <w:sz w:val="21"/>
                      <w:szCs w:val="21"/>
                    </w:rPr>
                    <w:t>主要布置</w:t>
                  </w:r>
                  <w:r>
                    <w:rPr>
                      <w:rFonts w:hint="eastAsia" w:ascii="Times New Roman" w:hAnsi="Times New Roman" w:eastAsia="宋体" w:cs="Times New Roman"/>
                      <w:color w:val="auto"/>
                      <w:sz w:val="21"/>
                      <w:szCs w:val="21"/>
                      <w:lang w:val="en-US" w:eastAsia="zh-CN"/>
                    </w:rPr>
                    <w:t>11</w:t>
                  </w:r>
                  <w:r>
                    <w:rPr>
                      <w:rFonts w:ascii="Times New Roman" w:hAnsi="Times New Roman" w:eastAsia="宋体" w:cs="Times New Roman"/>
                      <w:color w:val="auto"/>
                      <w:sz w:val="21"/>
                      <w:szCs w:val="21"/>
                    </w:rPr>
                    <w:t>0kV GIS</w:t>
                  </w:r>
                  <w:r>
                    <w:rPr>
                      <w:rFonts w:hint="eastAsia" w:ascii="Times New Roman" w:hAnsi="Times New Roman" w:eastAsia="宋体" w:cs="Times New Roman"/>
                      <w:color w:val="auto"/>
                      <w:sz w:val="21"/>
                      <w:szCs w:val="21"/>
                    </w:rPr>
                    <w:t>室</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主变压器、3</w:t>
                  </w:r>
                  <w:r>
                    <w:rPr>
                      <w:rFonts w:ascii="Times New Roman" w:hAnsi="Times New Roman" w:eastAsia="宋体" w:cs="Times New Roman"/>
                      <w:color w:val="auto"/>
                      <w:sz w:val="21"/>
                      <w:szCs w:val="21"/>
                    </w:rPr>
                    <w:t>5kV配电预制舱及二次设备舱、SVG成套装置、接地变、</w:t>
                  </w:r>
                  <w:r>
                    <w:rPr>
                      <w:rFonts w:hint="eastAsia" w:ascii="Times New Roman" w:hAnsi="Times New Roman" w:eastAsia="宋体" w:cs="Times New Roman"/>
                      <w:color w:val="auto"/>
                      <w:sz w:val="21"/>
                      <w:szCs w:val="21"/>
                    </w:rPr>
                    <w:t>站用变、</w:t>
                  </w:r>
                  <w:r>
                    <w:rPr>
                      <w:rFonts w:ascii="Times New Roman" w:hAnsi="Times New Roman" w:eastAsia="宋体" w:cs="Times New Roman"/>
                      <w:color w:val="auto"/>
                      <w:sz w:val="21"/>
                      <w:szCs w:val="21"/>
                    </w:rPr>
                    <w:t>小电阻成套装置、事故油池</w:t>
                  </w:r>
                  <w:r>
                    <w:rPr>
                      <w:rFonts w:hint="eastAsia" w:ascii="Times New Roman" w:hAnsi="Times New Roman" w:eastAsia="宋体" w:cs="Times New Roman"/>
                      <w:color w:val="auto"/>
                      <w:sz w:val="21"/>
                      <w:szCs w:val="21"/>
                    </w:rPr>
                    <w:t>及避雷针</w:t>
                  </w:r>
                  <w:r>
                    <w:rPr>
                      <w:rFonts w:ascii="Times New Roman" w:hAnsi="Times New Roman" w:eastAsia="宋体" w:cs="Times New Roman"/>
                      <w:color w:val="auto"/>
                      <w:sz w:val="21"/>
                      <w:szCs w:val="21"/>
                    </w:rPr>
                    <w:t>等；生活区主要布置</w:t>
                  </w:r>
                  <w:r>
                    <w:rPr>
                      <w:rFonts w:hint="eastAsia" w:ascii="Times New Roman" w:hAnsi="Times New Roman" w:eastAsia="宋体" w:cs="Times New Roman"/>
                      <w:color w:val="auto"/>
                      <w:sz w:val="21"/>
                      <w:szCs w:val="21"/>
                    </w:rPr>
                    <w:t>综合楼</w:t>
                  </w:r>
                  <w:r>
                    <w:rPr>
                      <w:rFonts w:ascii="Times New Roman" w:hAnsi="Times New Roman" w:eastAsia="宋体" w:cs="Times New Roman"/>
                      <w:color w:val="auto"/>
                      <w:sz w:val="21"/>
                      <w:szCs w:val="21"/>
                    </w:rPr>
                    <w:t>、仓库</w:t>
                  </w:r>
                  <w:r>
                    <w:rPr>
                      <w:rFonts w:hint="eastAsia" w:ascii="Times New Roman" w:hAnsi="Times New Roman" w:eastAsia="宋体" w:cs="Times New Roman"/>
                      <w:color w:val="auto"/>
                      <w:sz w:val="21"/>
                      <w:szCs w:val="21"/>
                    </w:rPr>
                    <w:t>和油品</w:t>
                  </w:r>
                  <w:r>
                    <w:rPr>
                      <w:rFonts w:ascii="Times New Roman" w:hAnsi="Times New Roman" w:eastAsia="宋体" w:cs="Times New Roman"/>
                      <w:color w:val="auto"/>
                      <w:sz w:val="21"/>
                      <w:szCs w:val="21"/>
                    </w:rPr>
                    <w:t>库、水池水泵房</w:t>
                  </w:r>
                  <w:r>
                    <w:rPr>
                      <w:rFonts w:hint="eastAsia" w:ascii="Times New Roman" w:hAnsi="Times New Roman" w:eastAsia="宋体" w:cs="Times New Roman"/>
                      <w:color w:val="auto"/>
                      <w:sz w:val="21"/>
                      <w:szCs w:val="21"/>
                    </w:rPr>
                    <w:t>、警卫室</w:t>
                  </w:r>
                  <w:r>
                    <w:rPr>
                      <w:rFonts w:ascii="Times New Roman" w:hAnsi="Times New Roman" w:eastAsia="宋体" w:cs="Times New Roman"/>
                      <w:color w:val="auto"/>
                      <w:sz w:val="21"/>
                      <w:szCs w:val="21"/>
                    </w:rPr>
                    <w:t>等。</w:t>
                  </w:r>
                </w:p>
              </w:tc>
              <w:tc>
                <w:tcPr>
                  <w:tcW w:w="557"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项目电压等级发生变化，位置改变，升压站布局发生变化</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restar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辅助</w:t>
                  </w:r>
                </w:p>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工程</w:t>
                  </w:r>
                </w:p>
              </w:tc>
              <w:tc>
                <w:tcPr>
                  <w:tcW w:w="590" w:type="pct"/>
                  <w:gridSpan w:val="2"/>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综合楼</w:t>
                  </w:r>
                </w:p>
              </w:tc>
              <w:tc>
                <w:tcPr>
                  <w:tcW w:w="1839"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框架结构，地上一层建筑，</w:t>
                  </w:r>
                  <w:r>
                    <w:rPr>
                      <w:rFonts w:hint="eastAsia" w:ascii="Times New Roman" w:hAnsi="Times New Roman" w:eastAsia="宋体" w:cs="Times New Roman"/>
                      <w:color w:val="auto"/>
                      <w:kern w:val="0"/>
                      <w:sz w:val="21"/>
                      <w:szCs w:val="21"/>
                    </w:rPr>
                    <w:t>建筑</w:t>
                  </w:r>
                  <w:r>
                    <w:rPr>
                      <w:rFonts w:ascii="Times New Roman" w:hAnsi="Times New Roman" w:eastAsia="宋体" w:cs="Times New Roman"/>
                      <w:color w:val="auto"/>
                      <w:kern w:val="0"/>
                      <w:sz w:val="21"/>
                      <w:szCs w:val="21"/>
                    </w:rPr>
                    <w:t>面积</w:t>
                  </w:r>
                  <w:r>
                    <w:rPr>
                      <w:rFonts w:hint="eastAsia" w:ascii="Times New Roman" w:hAnsi="Times New Roman" w:eastAsia="宋体" w:cs="Times New Roman"/>
                      <w:color w:val="auto"/>
                      <w:kern w:val="0"/>
                      <w:sz w:val="21"/>
                      <w:szCs w:val="21"/>
                    </w:rPr>
                    <w:t>1176</w:t>
                  </w:r>
                  <w:r>
                    <w:rPr>
                      <w:rFonts w:ascii="Times New Roman" w:hAnsi="Times New Roman" w:eastAsia="宋体" w:cs="Times New Roman"/>
                      <w:color w:val="auto"/>
                      <w:kern w:val="0"/>
                      <w:sz w:val="21"/>
                      <w:szCs w:val="21"/>
                    </w:rPr>
                    <w:t>m</w:t>
                  </w:r>
                  <w:r>
                    <w:rPr>
                      <w:rFonts w:ascii="Times New Roman" w:hAnsi="Times New Roman" w:eastAsia="宋体" w:cs="Times New Roman"/>
                      <w:color w:val="auto"/>
                      <w:kern w:val="0"/>
                      <w:sz w:val="21"/>
                      <w:szCs w:val="21"/>
                      <w:vertAlign w:val="superscript"/>
                    </w:rPr>
                    <w:t>2</w:t>
                  </w:r>
                  <w:r>
                    <w:rPr>
                      <w:rFonts w:ascii="Times New Roman" w:hAnsi="Times New Roman" w:eastAsia="宋体" w:cs="Times New Roman"/>
                      <w:color w:val="auto"/>
                      <w:kern w:val="0"/>
                      <w:sz w:val="21"/>
                      <w:szCs w:val="21"/>
                    </w:rPr>
                    <w:t>，高度3.5m</w:t>
                  </w:r>
                  <w:r>
                    <w:rPr>
                      <w:rFonts w:hint="eastAsia" w:ascii="Times New Roman" w:hAnsi="Times New Roman" w:eastAsia="宋体" w:cs="Times New Roman"/>
                      <w:color w:val="auto"/>
                      <w:kern w:val="0"/>
                      <w:sz w:val="21"/>
                      <w:szCs w:val="21"/>
                    </w:rPr>
                    <w:t>。以</w:t>
                  </w:r>
                  <w:r>
                    <w:rPr>
                      <w:rFonts w:ascii="Times New Roman" w:hAnsi="Times New Roman" w:eastAsia="宋体" w:cs="Times New Roman"/>
                      <w:color w:val="auto"/>
                      <w:kern w:val="0"/>
                      <w:sz w:val="21"/>
                      <w:szCs w:val="21"/>
                    </w:rPr>
                    <w:t>生活功能</w:t>
                  </w:r>
                  <w:r>
                    <w:rPr>
                      <w:rFonts w:hint="eastAsia" w:ascii="Times New Roman" w:hAnsi="Times New Roman" w:eastAsia="宋体" w:cs="Times New Roman"/>
                      <w:color w:val="auto"/>
                      <w:kern w:val="0"/>
                      <w:sz w:val="21"/>
                      <w:szCs w:val="21"/>
                    </w:rPr>
                    <w:t>为主</w:t>
                  </w:r>
                  <w:r>
                    <w:rPr>
                      <w:rFonts w:ascii="Times New Roman" w:hAnsi="Times New Roman" w:eastAsia="宋体" w:cs="Times New Roman"/>
                      <w:color w:val="auto"/>
                      <w:kern w:val="0"/>
                      <w:sz w:val="21"/>
                      <w:szCs w:val="21"/>
                    </w:rPr>
                    <w:t>。含宿舍、</w:t>
                  </w:r>
                  <w:r>
                    <w:rPr>
                      <w:rFonts w:hint="eastAsia" w:ascii="Times New Roman" w:hAnsi="Times New Roman" w:eastAsia="宋体" w:cs="Times New Roman"/>
                      <w:color w:val="auto"/>
                      <w:kern w:val="0"/>
                      <w:sz w:val="21"/>
                      <w:szCs w:val="21"/>
                    </w:rPr>
                    <w:t>餐厅、厨房、会议室</w:t>
                  </w:r>
                  <w:r>
                    <w:rPr>
                      <w:rFonts w:ascii="Times New Roman" w:hAnsi="Times New Roman" w:eastAsia="宋体" w:cs="Times New Roman"/>
                      <w:color w:val="auto"/>
                      <w:kern w:val="0"/>
                      <w:sz w:val="21"/>
                      <w:szCs w:val="21"/>
                    </w:rPr>
                    <w:t>等。</w:t>
                  </w:r>
                </w:p>
              </w:tc>
              <w:tc>
                <w:tcPr>
                  <w:tcW w:w="1760"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框架结构，地上一层建筑，建筑面积1176m</w:t>
                  </w:r>
                  <w:r>
                    <w:rPr>
                      <w:rFonts w:hint="eastAsia" w:ascii="Times New Roman" w:hAnsi="Times New Roman" w:eastAsia="宋体" w:cs="Times New Roman"/>
                      <w:color w:val="auto"/>
                      <w:sz w:val="21"/>
                      <w:szCs w:val="21"/>
                      <w:vertAlign w:val="superscript"/>
                    </w:rPr>
                    <w:t>2</w:t>
                  </w:r>
                  <w:r>
                    <w:rPr>
                      <w:rFonts w:hint="eastAsia" w:ascii="Times New Roman" w:hAnsi="Times New Roman" w:eastAsia="宋体" w:cs="Times New Roman"/>
                      <w:color w:val="auto"/>
                      <w:sz w:val="21"/>
                      <w:szCs w:val="21"/>
                    </w:rPr>
                    <w:t>，高度3.5m。以生活功能为主。含宿舍、餐厅、厨房、会议室等。</w:t>
                  </w:r>
                </w:p>
              </w:tc>
              <w:tc>
                <w:tcPr>
                  <w:tcW w:w="557"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spacing w:val="-9"/>
                      <w:sz w:val="21"/>
                      <w:szCs w:val="21"/>
                      <w:highlight w:val="none"/>
                      <w:lang w:val="en-US" w:eastAsia="zh-CN"/>
                    </w:rPr>
                    <w:t>与原环评阶段一致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590" w:type="pct"/>
                  <w:gridSpan w:val="2"/>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仓库</w:t>
                  </w:r>
                  <w:r>
                    <w:rPr>
                      <w:rFonts w:hint="eastAsia" w:ascii="Times New Roman" w:hAnsi="Times New Roman" w:eastAsia="宋体" w:cs="Times New Roman"/>
                      <w:color w:val="auto"/>
                      <w:kern w:val="0"/>
                      <w:sz w:val="21"/>
                      <w:szCs w:val="21"/>
                      <w:lang w:val="en-US" w:eastAsia="zh-CN" w:bidi="ar-SA"/>
                    </w:rPr>
                    <w:t>和油品库</w:t>
                  </w:r>
                </w:p>
              </w:tc>
              <w:tc>
                <w:tcPr>
                  <w:tcW w:w="1839"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框架结构，地上一层建筑，</w:t>
                  </w:r>
                  <w:r>
                    <w:rPr>
                      <w:rFonts w:hint="eastAsia" w:ascii="Times New Roman" w:hAnsi="Times New Roman" w:eastAsia="宋体" w:cs="Times New Roman"/>
                      <w:color w:val="auto"/>
                      <w:kern w:val="0"/>
                      <w:sz w:val="21"/>
                      <w:szCs w:val="21"/>
                    </w:rPr>
                    <w:t>建筑</w:t>
                  </w:r>
                  <w:r>
                    <w:rPr>
                      <w:rFonts w:ascii="Times New Roman" w:hAnsi="Times New Roman" w:eastAsia="宋体" w:cs="Times New Roman"/>
                      <w:color w:val="auto"/>
                      <w:kern w:val="0"/>
                      <w:sz w:val="21"/>
                      <w:szCs w:val="21"/>
                    </w:rPr>
                    <w:t>面积</w:t>
                  </w:r>
                  <w:r>
                    <w:rPr>
                      <w:rFonts w:hint="eastAsia" w:ascii="Times New Roman" w:hAnsi="Times New Roman" w:eastAsia="宋体" w:cs="Times New Roman"/>
                      <w:color w:val="auto"/>
                      <w:kern w:val="0"/>
                      <w:sz w:val="21"/>
                      <w:szCs w:val="21"/>
                    </w:rPr>
                    <w:t>128</w:t>
                  </w:r>
                  <w:r>
                    <w:rPr>
                      <w:rFonts w:ascii="Times New Roman" w:hAnsi="Times New Roman" w:eastAsia="宋体" w:cs="Times New Roman"/>
                      <w:color w:val="auto"/>
                      <w:kern w:val="0"/>
                      <w:sz w:val="21"/>
                      <w:szCs w:val="21"/>
                    </w:rPr>
                    <w:t>m</w:t>
                  </w:r>
                  <w:r>
                    <w:rPr>
                      <w:rFonts w:ascii="Times New Roman" w:hAnsi="Times New Roman" w:eastAsia="宋体" w:cs="Times New Roman"/>
                      <w:color w:val="auto"/>
                      <w:kern w:val="0"/>
                      <w:sz w:val="21"/>
                      <w:szCs w:val="21"/>
                      <w:vertAlign w:val="superscript"/>
                    </w:rPr>
                    <w:t>2</w:t>
                  </w:r>
                  <w:r>
                    <w:rPr>
                      <w:rFonts w:ascii="Times New Roman" w:hAnsi="Times New Roman" w:eastAsia="宋体" w:cs="Times New Roman"/>
                      <w:color w:val="auto"/>
                      <w:kern w:val="0"/>
                      <w:sz w:val="21"/>
                      <w:szCs w:val="21"/>
                    </w:rPr>
                    <w:t>，高度3.5m</w:t>
                  </w:r>
                  <w:r>
                    <w:rPr>
                      <w:rFonts w:hint="eastAsia" w:ascii="Times New Roman" w:hAnsi="Times New Roman" w:eastAsia="宋体" w:cs="Times New Roman"/>
                      <w:color w:val="auto"/>
                      <w:kern w:val="0"/>
                      <w:sz w:val="21"/>
                      <w:szCs w:val="21"/>
                    </w:rPr>
                    <w:t>。含仓库、1个</w:t>
                  </w:r>
                  <w:r>
                    <w:rPr>
                      <w:rFonts w:hint="eastAsia" w:ascii="Times New Roman" w:hAnsi="Times New Roman" w:eastAsia="宋体" w:cs="Times New Roman"/>
                      <w:color w:val="auto"/>
                      <w:sz w:val="21"/>
                      <w:szCs w:val="21"/>
                    </w:rPr>
                    <w:t>油品</w:t>
                  </w:r>
                  <w:r>
                    <w:rPr>
                      <w:rFonts w:hint="eastAsia" w:ascii="Times New Roman" w:hAnsi="Times New Roman" w:eastAsia="宋体" w:cs="Times New Roman"/>
                      <w:color w:val="auto"/>
                      <w:kern w:val="0"/>
                      <w:sz w:val="21"/>
                      <w:szCs w:val="21"/>
                    </w:rPr>
                    <w:t>库（3</w:t>
                  </w:r>
                  <w:r>
                    <w:rPr>
                      <w:rFonts w:ascii="Times New Roman" w:hAnsi="Times New Roman" w:eastAsia="宋体" w:cs="Times New Roman"/>
                      <w:color w:val="auto"/>
                      <w:kern w:val="0"/>
                      <w:sz w:val="21"/>
                      <w:szCs w:val="21"/>
                    </w:rPr>
                    <w:t>0</w:t>
                  </w:r>
                  <w:r>
                    <w:rPr>
                      <w:rFonts w:hint="eastAsia" w:ascii="Times New Roman" w:hAnsi="Times New Roman" w:eastAsia="宋体" w:cs="Times New Roman"/>
                      <w:color w:val="auto"/>
                      <w:kern w:val="0"/>
                      <w:sz w:val="21"/>
                      <w:szCs w:val="21"/>
                    </w:rPr>
                    <w:t>m</w:t>
                  </w:r>
                  <w:r>
                    <w:rPr>
                      <w:rFonts w:ascii="Times New Roman" w:hAnsi="Times New Roman" w:eastAsia="宋体" w:cs="Times New Roman"/>
                      <w:color w:val="auto"/>
                      <w:kern w:val="0"/>
                      <w:sz w:val="21"/>
                      <w:szCs w:val="21"/>
                      <w:vertAlign w:val="superscript"/>
                    </w:rPr>
                    <w:t>2</w:t>
                  </w:r>
                  <w:r>
                    <w:rPr>
                      <w:rFonts w:hint="eastAsia" w:ascii="Times New Roman" w:hAnsi="Times New Roman" w:eastAsia="宋体" w:cs="Times New Roman"/>
                      <w:color w:val="auto"/>
                      <w:kern w:val="0"/>
                      <w:sz w:val="21"/>
                      <w:szCs w:val="21"/>
                    </w:rPr>
                    <w:t>）、1间备品备件库。</w:t>
                  </w:r>
                </w:p>
              </w:tc>
              <w:tc>
                <w:tcPr>
                  <w:tcW w:w="1760"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hint="eastAsia" w:ascii="Times New Roman" w:hAnsi="Times New Roman" w:eastAsia="宋体" w:cs="Times New Roman"/>
                      <w:color w:val="auto"/>
                      <w:sz w:val="21"/>
                      <w:szCs w:val="21"/>
                    </w:rPr>
                  </w:pPr>
                  <w:r>
                    <w:rPr>
                      <w:rFonts w:ascii="Times New Roman" w:hAnsi="Times New Roman" w:eastAsia="宋体" w:cs="Times New Roman"/>
                      <w:color w:val="auto"/>
                      <w:kern w:val="0"/>
                      <w:sz w:val="21"/>
                      <w:szCs w:val="21"/>
                    </w:rPr>
                    <w:t>框架结构，地上一层建筑，</w:t>
                  </w:r>
                  <w:r>
                    <w:rPr>
                      <w:rFonts w:hint="eastAsia" w:ascii="Times New Roman" w:hAnsi="Times New Roman" w:eastAsia="宋体" w:cs="Times New Roman"/>
                      <w:color w:val="auto"/>
                      <w:kern w:val="0"/>
                      <w:sz w:val="21"/>
                      <w:szCs w:val="21"/>
                    </w:rPr>
                    <w:t>建筑</w:t>
                  </w:r>
                  <w:r>
                    <w:rPr>
                      <w:rFonts w:ascii="Times New Roman" w:hAnsi="Times New Roman" w:eastAsia="宋体" w:cs="Times New Roman"/>
                      <w:color w:val="auto"/>
                      <w:kern w:val="0"/>
                      <w:sz w:val="21"/>
                      <w:szCs w:val="21"/>
                    </w:rPr>
                    <w:t>面积</w:t>
                  </w:r>
                  <w:r>
                    <w:rPr>
                      <w:rFonts w:hint="eastAsia" w:ascii="Times New Roman" w:hAnsi="Times New Roman" w:eastAsia="宋体" w:cs="Times New Roman"/>
                      <w:color w:val="auto"/>
                      <w:kern w:val="0"/>
                      <w:sz w:val="21"/>
                      <w:szCs w:val="21"/>
                    </w:rPr>
                    <w:t>128</w:t>
                  </w:r>
                  <w:r>
                    <w:rPr>
                      <w:rFonts w:ascii="Times New Roman" w:hAnsi="Times New Roman" w:eastAsia="宋体" w:cs="Times New Roman"/>
                      <w:color w:val="auto"/>
                      <w:kern w:val="0"/>
                      <w:sz w:val="21"/>
                      <w:szCs w:val="21"/>
                    </w:rPr>
                    <w:t>m</w:t>
                  </w:r>
                  <w:r>
                    <w:rPr>
                      <w:rFonts w:ascii="Times New Roman" w:hAnsi="Times New Roman" w:eastAsia="宋体" w:cs="Times New Roman"/>
                      <w:color w:val="auto"/>
                      <w:kern w:val="0"/>
                      <w:sz w:val="21"/>
                      <w:szCs w:val="21"/>
                      <w:vertAlign w:val="superscript"/>
                    </w:rPr>
                    <w:t>2</w:t>
                  </w:r>
                  <w:r>
                    <w:rPr>
                      <w:rFonts w:ascii="Times New Roman" w:hAnsi="Times New Roman" w:eastAsia="宋体" w:cs="Times New Roman"/>
                      <w:color w:val="auto"/>
                      <w:kern w:val="0"/>
                      <w:sz w:val="21"/>
                      <w:szCs w:val="21"/>
                    </w:rPr>
                    <w:t>，高度3.5m</w:t>
                  </w:r>
                  <w:r>
                    <w:rPr>
                      <w:rFonts w:hint="eastAsia" w:ascii="Times New Roman" w:hAnsi="Times New Roman" w:eastAsia="宋体" w:cs="Times New Roman"/>
                      <w:color w:val="auto"/>
                      <w:kern w:val="0"/>
                      <w:sz w:val="21"/>
                      <w:szCs w:val="21"/>
                    </w:rPr>
                    <w:t>。含仓库、1个油品库（3</w:t>
                  </w:r>
                  <w:r>
                    <w:rPr>
                      <w:rFonts w:ascii="Times New Roman" w:hAnsi="Times New Roman" w:eastAsia="宋体" w:cs="Times New Roman"/>
                      <w:color w:val="auto"/>
                      <w:kern w:val="0"/>
                      <w:sz w:val="21"/>
                      <w:szCs w:val="21"/>
                    </w:rPr>
                    <w:t>0</w:t>
                  </w:r>
                  <w:r>
                    <w:rPr>
                      <w:rFonts w:hint="eastAsia" w:ascii="Times New Roman" w:hAnsi="Times New Roman" w:eastAsia="宋体" w:cs="Times New Roman"/>
                      <w:color w:val="auto"/>
                      <w:kern w:val="0"/>
                      <w:sz w:val="21"/>
                      <w:szCs w:val="21"/>
                    </w:rPr>
                    <w:t>m</w:t>
                  </w:r>
                  <w:r>
                    <w:rPr>
                      <w:rFonts w:ascii="Times New Roman" w:hAnsi="Times New Roman" w:eastAsia="宋体" w:cs="Times New Roman"/>
                      <w:color w:val="auto"/>
                      <w:kern w:val="0"/>
                      <w:sz w:val="21"/>
                      <w:szCs w:val="21"/>
                      <w:vertAlign w:val="superscript"/>
                    </w:rPr>
                    <w:t>2</w:t>
                  </w:r>
                  <w:r>
                    <w:rPr>
                      <w:rFonts w:hint="eastAsia" w:ascii="Times New Roman" w:hAnsi="Times New Roman" w:eastAsia="宋体" w:cs="Times New Roman"/>
                      <w:color w:val="auto"/>
                      <w:kern w:val="0"/>
                      <w:sz w:val="21"/>
                      <w:szCs w:val="21"/>
                    </w:rPr>
                    <w:t>）、1间备品备件库。</w:t>
                  </w:r>
                </w:p>
              </w:tc>
              <w:tc>
                <w:tcPr>
                  <w:tcW w:w="557"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spacing w:val="-9"/>
                      <w:sz w:val="21"/>
                      <w:szCs w:val="21"/>
                      <w:highlight w:val="none"/>
                      <w:lang w:val="en-US" w:eastAsia="zh-CN"/>
                    </w:rPr>
                    <w:t>与原环评阶段一致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590" w:type="pct"/>
                  <w:gridSpan w:val="2"/>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水池水泵房</w:t>
                  </w:r>
                </w:p>
              </w:tc>
              <w:tc>
                <w:tcPr>
                  <w:tcW w:w="1839"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占地面积138</w:t>
                  </w:r>
                  <w:r>
                    <w:rPr>
                      <w:rFonts w:ascii="Times New Roman" w:hAnsi="Times New Roman" w:eastAsia="宋体" w:cs="Times New Roman"/>
                      <w:color w:val="auto"/>
                      <w:kern w:val="0"/>
                      <w:sz w:val="21"/>
                      <w:szCs w:val="21"/>
                    </w:rPr>
                    <w:t>m</w:t>
                  </w:r>
                  <w:r>
                    <w:rPr>
                      <w:rFonts w:ascii="Times New Roman" w:hAnsi="Times New Roman" w:eastAsia="宋体" w:cs="Times New Roman"/>
                      <w:color w:val="auto"/>
                      <w:kern w:val="0"/>
                      <w:sz w:val="21"/>
                      <w:szCs w:val="21"/>
                      <w:vertAlign w:val="superscript"/>
                    </w:rPr>
                    <w:t>2</w:t>
                  </w:r>
                  <w:r>
                    <w:rPr>
                      <w:rFonts w:hint="eastAsia" w:ascii="Times New Roman" w:hAnsi="Times New Roman" w:eastAsia="宋体" w:cs="Times New Roman"/>
                      <w:color w:val="auto"/>
                      <w:kern w:val="0"/>
                      <w:sz w:val="21"/>
                      <w:szCs w:val="21"/>
                    </w:rPr>
                    <w:t>，生产、生活及消防共用。水池容积2</w:t>
                  </w:r>
                  <w:r>
                    <w:rPr>
                      <w:rFonts w:ascii="Times New Roman" w:hAnsi="Times New Roman" w:eastAsia="宋体" w:cs="Times New Roman"/>
                      <w:color w:val="auto"/>
                      <w:kern w:val="0"/>
                      <w:sz w:val="21"/>
                      <w:szCs w:val="21"/>
                    </w:rPr>
                    <w:t>50m</w:t>
                  </w:r>
                  <w:r>
                    <w:rPr>
                      <w:rFonts w:ascii="Times New Roman" w:hAnsi="Times New Roman" w:eastAsia="宋体" w:cs="Times New Roman"/>
                      <w:color w:val="auto"/>
                      <w:kern w:val="0"/>
                      <w:sz w:val="21"/>
                      <w:szCs w:val="21"/>
                      <w:vertAlign w:val="superscript"/>
                    </w:rPr>
                    <w:t>3</w:t>
                  </w:r>
                  <w:r>
                    <w:rPr>
                      <w:rFonts w:hint="eastAsia" w:ascii="Times New Roman" w:hAnsi="Times New Roman" w:eastAsia="宋体" w:cs="Times New Roman"/>
                      <w:color w:val="auto"/>
                      <w:kern w:val="0"/>
                      <w:sz w:val="21"/>
                      <w:szCs w:val="21"/>
                    </w:rPr>
                    <w:t>。水泵房为</w:t>
                  </w:r>
                  <w:r>
                    <w:rPr>
                      <w:rFonts w:ascii="Times New Roman" w:hAnsi="Times New Roman" w:eastAsia="宋体" w:cs="Times New Roman"/>
                      <w:color w:val="auto"/>
                      <w:kern w:val="0"/>
                      <w:sz w:val="21"/>
                      <w:szCs w:val="21"/>
                    </w:rPr>
                    <w:t>框架结构，地上一层建筑，面积</w:t>
                  </w:r>
                  <w:r>
                    <w:rPr>
                      <w:rFonts w:hint="eastAsia" w:ascii="Times New Roman" w:hAnsi="Times New Roman" w:eastAsia="宋体" w:cs="Times New Roman"/>
                      <w:color w:val="auto"/>
                      <w:kern w:val="0"/>
                      <w:sz w:val="21"/>
                      <w:szCs w:val="21"/>
                    </w:rPr>
                    <w:t>138</w:t>
                  </w:r>
                  <w:r>
                    <w:rPr>
                      <w:rFonts w:ascii="Times New Roman" w:hAnsi="Times New Roman" w:eastAsia="宋体" w:cs="Times New Roman"/>
                      <w:color w:val="auto"/>
                      <w:kern w:val="0"/>
                      <w:sz w:val="21"/>
                      <w:szCs w:val="21"/>
                    </w:rPr>
                    <w:t>m</w:t>
                  </w:r>
                  <w:r>
                    <w:rPr>
                      <w:rFonts w:ascii="Times New Roman" w:hAnsi="Times New Roman" w:eastAsia="宋体" w:cs="Times New Roman"/>
                      <w:color w:val="auto"/>
                      <w:kern w:val="0"/>
                      <w:sz w:val="21"/>
                      <w:szCs w:val="21"/>
                      <w:vertAlign w:val="superscript"/>
                    </w:rPr>
                    <w:t>2</w:t>
                  </w:r>
                  <w:r>
                    <w:rPr>
                      <w:rFonts w:ascii="Times New Roman" w:hAnsi="Times New Roman" w:eastAsia="宋体" w:cs="Times New Roman"/>
                      <w:color w:val="auto"/>
                      <w:kern w:val="0"/>
                      <w:sz w:val="21"/>
                      <w:szCs w:val="21"/>
                    </w:rPr>
                    <w:t>，建筑高度</w:t>
                  </w:r>
                  <w:r>
                    <w:rPr>
                      <w:rFonts w:hint="eastAsia" w:ascii="Times New Roman" w:hAnsi="Times New Roman" w:eastAsia="宋体" w:cs="Times New Roman"/>
                      <w:color w:val="auto"/>
                      <w:kern w:val="0"/>
                      <w:sz w:val="21"/>
                      <w:szCs w:val="21"/>
                    </w:rPr>
                    <w:t>4</w:t>
                  </w:r>
                  <w:r>
                    <w:rPr>
                      <w:rFonts w:ascii="Times New Roman" w:hAnsi="Times New Roman" w:eastAsia="宋体" w:cs="Times New Roman"/>
                      <w:color w:val="auto"/>
                      <w:kern w:val="0"/>
                      <w:sz w:val="21"/>
                      <w:szCs w:val="21"/>
                    </w:rPr>
                    <w:t>.5m</w:t>
                  </w:r>
                  <w:r>
                    <w:rPr>
                      <w:rFonts w:hint="eastAsia" w:ascii="Times New Roman" w:hAnsi="Times New Roman" w:eastAsia="宋体" w:cs="Times New Roman"/>
                      <w:color w:val="auto"/>
                      <w:kern w:val="0"/>
                      <w:sz w:val="21"/>
                      <w:szCs w:val="21"/>
                    </w:rPr>
                    <w:t>；布置生活给水水泵、消防水泵等。</w:t>
                  </w:r>
                </w:p>
              </w:tc>
              <w:tc>
                <w:tcPr>
                  <w:tcW w:w="1760"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本工程水源采用深井取水，站内采用相互独立的生活、消防给水管网，生活用水采用打井取水，辅助用房屋顶设置1.5立方米生活水箱及变频供水泵，可以向站内的各用水点提供可靠稳定的水量和水压，水泵2台。</w:t>
                  </w:r>
                </w:p>
              </w:tc>
              <w:tc>
                <w:tcPr>
                  <w:tcW w:w="557"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spacing w:val="-9"/>
                      <w:sz w:val="21"/>
                      <w:szCs w:val="21"/>
                      <w:highlight w:val="none"/>
                      <w:lang w:val="en-US" w:eastAsia="zh-CN"/>
                    </w:rPr>
                    <w:t>据其他类似项目经验，改为打井取水。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590" w:type="pct"/>
                  <w:gridSpan w:val="2"/>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检修道路</w:t>
                  </w:r>
                </w:p>
              </w:tc>
              <w:tc>
                <w:tcPr>
                  <w:tcW w:w="1839"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sz w:val="21"/>
                    </w:rPr>
                    <w:t>总长19.3</w:t>
                  </w:r>
                  <w:r>
                    <w:rPr>
                      <w:rFonts w:ascii="Times New Roman" w:hAnsi="Times New Roman" w:eastAsia="宋体" w:cs="Times New Roman"/>
                      <w:color w:val="auto"/>
                      <w:sz w:val="21"/>
                    </w:rPr>
                    <w:t>km</w:t>
                  </w:r>
                  <w:r>
                    <w:rPr>
                      <w:rFonts w:hint="eastAsia" w:ascii="Times New Roman" w:hAnsi="Times New Roman" w:eastAsia="宋体" w:cs="Times New Roman"/>
                      <w:color w:val="auto"/>
                      <w:sz w:val="21"/>
                    </w:rPr>
                    <w:t>，包括新建18.0</w:t>
                  </w:r>
                  <w:r>
                    <w:rPr>
                      <w:rFonts w:ascii="Times New Roman" w:hAnsi="Times New Roman" w:eastAsia="宋体" w:cs="Times New Roman"/>
                      <w:color w:val="auto"/>
                      <w:sz w:val="21"/>
                    </w:rPr>
                    <w:t>km</w:t>
                  </w:r>
                  <w:r>
                    <w:rPr>
                      <w:rFonts w:hint="eastAsia" w:ascii="Times New Roman" w:hAnsi="Times New Roman" w:eastAsia="宋体" w:cs="Times New Roman"/>
                      <w:color w:val="auto"/>
                      <w:sz w:val="21"/>
                    </w:rPr>
                    <w:t>、改造1.3</w:t>
                  </w:r>
                  <w:r>
                    <w:rPr>
                      <w:rFonts w:ascii="Times New Roman" w:hAnsi="Times New Roman" w:eastAsia="宋体" w:cs="Times New Roman"/>
                      <w:color w:val="auto"/>
                      <w:sz w:val="21"/>
                    </w:rPr>
                    <w:t>km</w:t>
                  </w:r>
                  <w:r>
                    <w:rPr>
                      <w:rFonts w:hint="eastAsia" w:ascii="Times New Roman" w:hAnsi="Times New Roman" w:eastAsia="宋体" w:cs="Times New Roman"/>
                      <w:color w:val="auto"/>
                      <w:sz w:val="21"/>
                    </w:rPr>
                    <w:t>。路基宽度：4.0m，路面宽度：3.5m，最小转弯半径为9m，路面为1层15～20cm石渣路面。路面横坡：3%，路面最大纵坡：12%，路基压实度：≥94%。设计速度：20km／h</w:t>
                  </w:r>
                  <w:r>
                    <w:rPr>
                      <w:rFonts w:ascii="Times New Roman" w:hAnsi="Times New Roman" w:eastAsia="宋体" w:cs="Times New Roman"/>
                      <w:color w:val="auto"/>
                      <w:sz w:val="21"/>
                    </w:rPr>
                    <w:t>。</w:t>
                  </w:r>
                </w:p>
              </w:tc>
              <w:tc>
                <w:tcPr>
                  <w:tcW w:w="1760"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lang w:val="en-US" w:eastAsia="zh-CN"/>
                    </w:rPr>
                    <w:t>三个光伏片区新建道路</w:t>
                  </w:r>
                  <w:r>
                    <w:rPr>
                      <w:rFonts w:hint="eastAsia" w:ascii="Times New Roman" w:hAnsi="Times New Roman" w:eastAsia="宋体" w:cs="Times New Roman"/>
                      <w:color w:val="auto"/>
                      <w:sz w:val="21"/>
                    </w:rPr>
                    <w:t>总长19.3</w:t>
                  </w:r>
                  <w:r>
                    <w:rPr>
                      <w:rFonts w:hint="eastAsia" w:ascii="Times New Roman" w:hAnsi="Times New Roman" w:eastAsia="宋体" w:cs="Times New Roman"/>
                      <w:color w:val="auto"/>
                      <w:sz w:val="21"/>
                      <w:lang w:val="en-US" w:eastAsia="zh-CN"/>
                    </w:rPr>
                    <w:t>2</w:t>
                  </w:r>
                  <w:r>
                    <w:rPr>
                      <w:rFonts w:ascii="Times New Roman" w:hAnsi="Times New Roman" w:eastAsia="宋体" w:cs="Times New Roman"/>
                      <w:color w:val="auto"/>
                      <w:sz w:val="21"/>
                    </w:rPr>
                    <w:t>km</w:t>
                  </w:r>
                  <w:r>
                    <w:rPr>
                      <w:rFonts w:hint="eastAsia" w:ascii="Times New Roman" w:hAnsi="Times New Roman" w:eastAsia="宋体" w:cs="Times New Roman"/>
                      <w:color w:val="auto"/>
                      <w:sz w:val="21"/>
                    </w:rPr>
                    <w:t>，</w:t>
                  </w:r>
                  <w:r>
                    <w:rPr>
                      <w:rFonts w:hint="eastAsia" w:ascii="Times New Roman" w:hAnsi="Times New Roman" w:eastAsia="宋体" w:cs="Times New Roman"/>
                      <w:color w:val="auto"/>
                      <w:sz w:val="21"/>
                      <w:lang w:val="en-US" w:eastAsia="zh-CN"/>
                    </w:rPr>
                    <w:t>拓宽道路4.74km，</w:t>
                  </w:r>
                  <w:r>
                    <w:rPr>
                      <w:rFonts w:hint="eastAsia" w:ascii="Times New Roman" w:hAnsi="Times New Roman" w:eastAsia="宋体" w:cs="Times New Roman"/>
                      <w:color w:val="auto"/>
                      <w:sz w:val="21"/>
                    </w:rPr>
                    <w:t>路基宽度：4.0m，路面宽度：3.5m，最小转弯半径为9m，路面为1层15～20cm石渣路面。路面横坡：3%，路面最大纵坡：12%，路基压实度：≥94%。设计速度：20km／h</w:t>
                  </w:r>
                  <w:r>
                    <w:rPr>
                      <w:rFonts w:ascii="Times New Roman" w:hAnsi="Times New Roman" w:eastAsia="宋体" w:cs="Times New Roman"/>
                      <w:color w:val="auto"/>
                      <w:sz w:val="21"/>
                    </w:rPr>
                    <w:t>。</w:t>
                  </w:r>
                </w:p>
              </w:tc>
              <w:tc>
                <w:tcPr>
                  <w:tcW w:w="557"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地块发生变动，面积增加，但相对更加集中，检修道路变化</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590" w:type="pct"/>
                  <w:gridSpan w:val="2"/>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围栏</w:t>
                  </w:r>
                </w:p>
              </w:tc>
              <w:tc>
                <w:tcPr>
                  <w:tcW w:w="1839"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0"/>
                      <w:sz w:val="21"/>
                      <w:szCs w:val="21"/>
                      <w:lang w:val="en-US" w:eastAsia="zh-CN" w:bidi="ar-SA"/>
                    </w:rPr>
                    <w:t>沿各光伏场区阵列外侧设置钢丝网围栏，高度2.0</w:t>
                  </w:r>
                  <w:r>
                    <w:rPr>
                      <w:rFonts w:ascii="Times New Roman" w:hAnsi="Times New Roman" w:eastAsia="宋体" w:cs="Times New Roman"/>
                      <w:color w:val="auto"/>
                      <w:kern w:val="0"/>
                      <w:sz w:val="21"/>
                      <w:szCs w:val="21"/>
                      <w:lang w:val="en-US" w:eastAsia="zh-CN" w:bidi="ar-SA"/>
                    </w:rPr>
                    <w:t>m</w:t>
                  </w:r>
                  <w:r>
                    <w:rPr>
                      <w:rFonts w:hint="eastAsia" w:ascii="Times New Roman" w:hAnsi="Times New Roman" w:eastAsia="宋体" w:cs="Times New Roman"/>
                      <w:color w:val="auto"/>
                      <w:kern w:val="0"/>
                      <w:sz w:val="21"/>
                      <w:szCs w:val="21"/>
                      <w:lang w:val="en-US" w:eastAsia="zh-CN" w:bidi="ar-SA"/>
                    </w:rPr>
                    <w:t>，总长62.94</w:t>
                  </w:r>
                  <w:r>
                    <w:rPr>
                      <w:rFonts w:ascii="Times New Roman" w:hAnsi="Times New Roman" w:eastAsia="宋体" w:cs="Times New Roman"/>
                      <w:color w:val="auto"/>
                      <w:kern w:val="0"/>
                      <w:sz w:val="21"/>
                      <w:szCs w:val="21"/>
                      <w:lang w:val="en-US" w:eastAsia="zh-CN" w:bidi="ar-SA"/>
                    </w:rPr>
                    <w:t>km</w:t>
                  </w:r>
                  <w:r>
                    <w:rPr>
                      <w:rFonts w:hint="eastAsia" w:ascii="Times New Roman" w:hAnsi="Times New Roman" w:eastAsia="宋体" w:cs="Times New Roman"/>
                      <w:color w:val="auto"/>
                      <w:kern w:val="0"/>
                      <w:sz w:val="21"/>
                      <w:szCs w:val="21"/>
                      <w:lang w:val="en-US" w:eastAsia="zh-CN" w:bidi="ar-SA"/>
                    </w:rPr>
                    <w:t>，</w:t>
                  </w:r>
                  <w:r>
                    <w:rPr>
                      <w:rFonts w:ascii="Times New Roman" w:hAnsi="Times New Roman" w:eastAsia="宋体" w:cs="Times New Roman"/>
                      <w:color w:val="auto"/>
                      <w:spacing w:val="-7"/>
                      <w:kern w:val="2"/>
                      <w:sz w:val="21"/>
                      <w:szCs w:val="24"/>
                      <w:lang w:val="en-US" w:eastAsia="zh-CN" w:bidi="ar-SA"/>
                    </w:rPr>
                    <w:t>升</w:t>
                  </w:r>
                  <w:r>
                    <w:rPr>
                      <w:rFonts w:ascii="Times New Roman" w:hAnsi="Times New Roman" w:eastAsia="宋体" w:cs="Times New Roman"/>
                      <w:color w:val="auto"/>
                      <w:spacing w:val="-7"/>
                      <w:kern w:val="2"/>
                      <w:sz w:val="21"/>
                      <w:szCs w:val="21"/>
                      <w:lang w:val="en-US" w:eastAsia="zh-CN" w:bidi="ar-SA"/>
                    </w:rPr>
                    <w:t>压站围栏采用砖围墙，高度</w:t>
                  </w:r>
                  <w:r>
                    <w:rPr>
                      <w:rFonts w:ascii="Times New Roman" w:hAnsi="Times New Roman" w:eastAsia="宋体" w:cs="Times New Roman"/>
                      <w:color w:val="auto"/>
                      <w:kern w:val="2"/>
                      <w:sz w:val="21"/>
                      <w:szCs w:val="21"/>
                      <w:lang w:val="en-US" w:eastAsia="zh-CN" w:bidi="ar-SA"/>
                    </w:rPr>
                    <w:t>2.2m</w:t>
                  </w:r>
                  <w:r>
                    <w:rPr>
                      <w:rFonts w:hint="eastAsia" w:ascii="Times New Roman" w:hAnsi="Times New Roman" w:eastAsia="宋体" w:cs="Times New Roman"/>
                      <w:color w:val="auto"/>
                      <w:kern w:val="0"/>
                      <w:sz w:val="21"/>
                      <w:szCs w:val="21"/>
                      <w:lang w:val="en-US" w:eastAsia="zh-CN" w:bidi="ar-SA"/>
                    </w:rPr>
                    <w:t>。</w:t>
                  </w:r>
                </w:p>
              </w:tc>
              <w:tc>
                <w:tcPr>
                  <w:tcW w:w="1760"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沿各光伏场区阵列外侧设置钢丝网围栏，高度1.8</w:t>
                  </w:r>
                  <w:r>
                    <w:rPr>
                      <w:rFonts w:ascii="Times New Roman" w:hAnsi="Times New Roman" w:eastAsia="宋体" w:cs="Times New Roman"/>
                      <w:color w:val="auto"/>
                      <w:kern w:val="0"/>
                      <w:sz w:val="21"/>
                      <w:szCs w:val="21"/>
                      <w:lang w:val="en-US" w:eastAsia="zh-CN" w:bidi="ar-SA"/>
                    </w:rPr>
                    <w:t>m</w:t>
                  </w:r>
                  <w:r>
                    <w:rPr>
                      <w:rFonts w:hint="eastAsia" w:ascii="Times New Roman" w:hAnsi="Times New Roman" w:eastAsia="宋体" w:cs="Times New Roman"/>
                      <w:color w:val="auto"/>
                      <w:kern w:val="0"/>
                      <w:sz w:val="21"/>
                      <w:szCs w:val="21"/>
                      <w:lang w:val="en-US" w:eastAsia="zh-CN" w:bidi="ar-SA"/>
                    </w:rPr>
                    <w:t>，总长37820</w:t>
                  </w:r>
                  <w:r>
                    <w:rPr>
                      <w:rFonts w:ascii="Times New Roman" w:hAnsi="Times New Roman" w:eastAsia="宋体" w:cs="Times New Roman"/>
                      <w:color w:val="auto"/>
                      <w:kern w:val="0"/>
                      <w:sz w:val="21"/>
                      <w:szCs w:val="21"/>
                      <w:lang w:val="en-US" w:eastAsia="zh-CN" w:bidi="ar-SA"/>
                    </w:rPr>
                    <w:t>m</w:t>
                  </w:r>
                  <w:r>
                    <w:rPr>
                      <w:rFonts w:hint="eastAsia" w:ascii="Times New Roman" w:hAnsi="Times New Roman" w:eastAsia="宋体" w:cs="Times New Roman"/>
                      <w:color w:val="auto"/>
                      <w:kern w:val="0"/>
                      <w:sz w:val="21"/>
                      <w:szCs w:val="21"/>
                      <w:lang w:val="en-US" w:eastAsia="zh-CN" w:bidi="ar-SA"/>
                    </w:rPr>
                    <w:t>，</w:t>
                  </w:r>
                  <w:r>
                    <w:rPr>
                      <w:rFonts w:ascii="Times New Roman" w:hAnsi="Times New Roman" w:eastAsia="宋体" w:cs="Times New Roman"/>
                      <w:color w:val="auto"/>
                      <w:spacing w:val="-7"/>
                      <w:kern w:val="2"/>
                      <w:sz w:val="21"/>
                      <w:szCs w:val="24"/>
                      <w:lang w:val="en-US" w:eastAsia="zh-CN" w:bidi="ar-SA"/>
                    </w:rPr>
                    <w:t>升</w:t>
                  </w:r>
                  <w:r>
                    <w:rPr>
                      <w:rFonts w:ascii="Times New Roman" w:hAnsi="Times New Roman" w:eastAsia="宋体" w:cs="Times New Roman"/>
                      <w:color w:val="auto"/>
                      <w:spacing w:val="-7"/>
                      <w:kern w:val="2"/>
                      <w:sz w:val="21"/>
                      <w:szCs w:val="21"/>
                      <w:lang w:val="en-US" w:eastAsia="zh-CN" w:bidi="ar-SA"/>
                    </w:rPr>
                    <w:t xml:space="preserve">压站围栏采用砖围墙，高度 </w:t>
                  </w:r>
                  <w:r>
                    <w:rPr>
                      <w:rFonts w:hint="eastAsia" w:cs="Times New Roman"/>
                      <w:color w:val="auto"/>
                      <w:kern w:val="2"/>
                      <w:sz w:val="21"/>
                      <w:szCs w:val="21"/>
                      <w:lang w:val="en-US" w:eastAsia="zh-CN" w:bidi="ar-SA"/>
                    </w:rPr>
                    <w:t>1.8</w:t>
                  </w:r>
                  <w:r>
                    <w:rPr>
                      <w:rFonts w:ascii="Times New Roman" w:hAnsi="Times New Roman" w:eastAsia="宋体" w:cs="Times New Roman"/>
                      <w:color w:val="auto"/>
                      <w:kern w:val="2"/>
                      <w:sz w:val="21"/>
                      <w:szCs w:val="21"/>
                      <w:lang w:val="en-US" w:eastAsia="zh-CN" w:bidi="ar-SA"/>
                    </w:rPr>
                    <w:t>m</w:t>
                  </w:r>
                  <w:r>
                    <w:rPr>
                      <w:rFonts w:hint="eastAsia" w:ascii="Times New Roman" w:hAnsi="Times New Roman" w:eastAsia="宋体" w:cs="Times New Roman"/>
                      <w:color w:val="auto"/>
                      <w:kern w:val="0"/>
                      <w:sz w:val="21"/>
                      <w:szCs w:val="21"/>
                      <w:lang w:val="en-US" w:eastAsia="zh-CN" w:bidi="ar-SA"/>
                    </w:rPr>
                    <w:t>。</w:t>
                  </w:r>
                </w:p>
              </w:tc>
              <w:tc>
                <w:tcPr>
                  <w:tcW w:w="557"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光伏厂区面积增加，但相对更加集中，更易围挡</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restar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公用工</w:t>
                  </w:r>
                  <w:r>
                    <w:rPr>
                      <w:rFonts w:ascii="Times New Roman" w:hAnsi="Times New Roman" w:eastAsia="宋体" w:cs="Times New Roman"/>
                      <w:color w:val="auto"/>
                      <w:kern w:val="2"/>
                      <w:sz w:val="21"/>
                      <w:szCs w:val="21"/>
                      <w:lang w:val="en-US" w:eastAsia="zh-CN" w:bidi="ar-SA"/>
                    </w:rPr>
                    <w:cr/>
                  </w:r>
                </w:p>
              </w:tc>
              <w:tc>
                <w:tcPr>
                  <w:tcW w:w="590" w:type="pct"/>
                  <w:gridSpan w:val="2"/>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供水</w:t>
                  </w:r>
                </w:p>
              </w:tc>
              <w:tc>
                <w:tcPr>
                  <w:tcW w:w="1839"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项目用水在升压站内新建一个2</w:t>
                  </w:r>
                  <w:r>
                    <w:rPr>
                      <w:rFonts w:ascii="Times New Roman" w:hAnsi="Times New Roman" w:eastAsia="宋体" w:cs="Times New Roman"/>
                      <w:color w:val="auto"/>
                      <w:kern w:val="0"/>
                      <w:sz w:val="21"/>
                      <w:szCs w:val="21"/>
                      <w:lang w:val="en-US" w:eastAsia="zh-CN" w:bidi="ar-SA"/>
                    </w:rPr>
                    <w:t>50m</w:t>
                  </w:r>
                  <w:r>
                    <w:rPr>
                      <w:rFonts w:ascii="Times New Roman" w:hAnsi="Times New Roman" w:eastAsia="宋体" w:cs="Times New Roman"/>
                      <w:color w:val="auto"/>
                      <w:kern w:val="0"/>
                      <w:sz w:val="21"/>
                      <w:szCs w:val="21"/>
                      <w:vertAlign w:val="superscript"/>
                      <w:lang w:val="en-US" w:eastAsia="zh-CN" w:bidi="ar-SA"/>
                    </w:rPr>
                    <w:t>3</w:t>
                  </w:r>
                  <w:r>
                    <w:rPr>
                      <w:rFonts w:hint="eastAsia" w:ascii="Times New Roman" w:hAnsi="Times New Roman" w:eastAsia="宋体" w:cs="Times New Roman"/>
                      <w:color w:val="auto"/>
                      <w:kern w:val="0"/>
                      <w:sz w:val="21"/>
                      <w:szCs w:val="21"/>
                      <w:lang w:val="en-US" w:eastAsia="zh-CN" w:bidi="ar-SA"/>
                    </w:rPr>
                    <w:t>生产、生活、消防共用水池，自附近村镇引接自来水为水源。站内生活、消防用水经管道供给；光伏场区组件清洗采用移动水车自升压站水池抽水后运至场区各用水点。</w:t>
                  </w:r>
                </w:p>
              </w:tc>
              <w:tc>
                <w:tcPr>
                  <w:tcW w:w="1760"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项目用水拟采用打井取水。站内生活、消防用水经管道供给；光伏场区组件清洗采用移动水车自升压站水池抽水后运至场区各用水点。</w:t>
                  </w:r>
                </w:p>
              </w:tc>
              <w:tc>
                <w:tcPr>
                  <w:tcW w:w="557"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pacing w:val="-9"/>
                      <w:sz w:val="21"/>
                      <w:szCs w:val="21"/>
                      <w:highlight w:val="none"/>
                      <w:lang w:val="en-US" w:eastAsia="zh-CN"/>
                    </w:rPr>
                    <w:t>根据其他类似项目经验，改为打井取水。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590" w:type="pct"/>
                  <w:gridSpan w:val="2"/>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排水</w:t>
                  </w:r>
                </w:p>
              </w:tc>
              <w:tc>
                <w:tcPr>
                  <w:tcW w:w="1839"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1、升压站实行雨污分流，雨水排入场外雨水沟；生活污水经隔油池、化粪池预处理后，进入一体化污水处理设备处理达回用标准，全部回用于场地绿化。</w:t>
                  </w:r>
                </w:p>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2</w:t>
                  </w:r>
                  <w:r>
                    <w:rPr>
                      <w:rFonts w:hint="eastAsia"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光伏组件清洗废水用于板下植物浇洒。</w:t>
                  </w:r>
                </w:p>
              </w:tc>
              <w:tc>
                <w:tcPr>
                  <w:tcW w:w="1760"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1、升压站实行雨污分流，雨水排入场外雨水沟；生活污水经隔油池、化粪池预处理后，进入一体化污水处理设备处理达回用标准，全部回用于场地绿化。</w:t>
                  </w:r>
                </w:p>
                <w:p>
                  <w:pPr>
                    <w:keepNext w:val="0"/>
                    <w:keepLines w:val="0"/>
                    <w:pageBreakBefore w:val="0"/>
                    <w:kinsoku/>
                    <w:wordWrap w:val="0"/>
                    <w:overflowPunct/>
                    <w:topLinePunct w:val="0"/>
                    <w:autoSpaceDE w:val="0"/>
                    <w:autoSpaceDN w:val="0"/>
                    <w:bidi w:val="0"/>
                    <w:adjustRightInd w:val="0"/>
                    <w:snapToGrid w:val="0"/>
                    <w:jc w:val="center"/>
                    <w:textAlignment w:val="auto"/>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kern w:val="0"/>
                      <w:sz w:val="21"/>
                      <w:szCs w:val="21"/>
                      <w:lang w:val="en-US" w:eastAsia="zh-CN" w:bidi="ar-SA"/>
                    </w:rPr>
                    <w:t>2</w:t>
                  </w:r>
                  <w:r>
                    <w:rPr>
                      <w:rFonts w:hint="eastAsia"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光伏组件清洗废水用于板下植物浇洒。</w:t>
                  </w:r>
                </w:p>
              </w:tc>
              <w:tc>
                <w:tcPr>
                  <w:tcW w:w="557"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pacing w:val="-9"/>
                      <w:sz w:val="21"/>
                      <w:szCs w:val="21"/>
                      <w:highlight w:val="none"/>
                      <w:lang w:val="en-US" w:eastAsia="zh-CN"/>
                    </w:rPr>
                    <w:t>与原环评阶段一致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316" w:type="pct"/>
                  <w:vMerge w:val="restar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供电</w:t>
                  </w:r>
                </w:p>
              </w:tc>
              <w:tc>
                <w:tcPr>
                  <w:tcW w:w="273"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施工期</w:t>
                  </w:r>
                </w:p>
              </w:tc>
              <w:tc>
                <w:tcPr>
                  <w:tcW w:w="1839"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升压站考虑从场址附近</w:t>
                  </w:r>
                  <w:r>
                    <w:rPr>
                      <w:rFonts w:ascii="Times New Roman" w:hAnsi="Times New Roman" w:eastAsia="宋体" w:cs="Times New Roman"/>
                      <w:color w:val="auto"/>
                      <w:kern w:val="0"/>
                      <w:sz w:val="21"/>
                      <w:szCs w:val="21"/>
                      <w:lang w:val="en-US" w:eastAsia="zh-CN" w:bidi="ar-SA"/>
                    </w:rPr>
                    <w:t xml:space="preserve">10kV </w:t>
                  </w:r>
                  <w:r>
                    <w:rPr>
                      <w:rFonts w:hint="eastAsia" w:ascii="Times New Roman" w:hAnsi="Times New Roman" w:eastAsia="宋体" w:cs="Times New Roman"/>
                      <w:color w:val="auto"/>
                      <w:kern w:val="0"/>
                      <w:sz w:val="21"/>
                      <w:szCs w:val="21"/>
                      <w:lang w:val="en-US" w:eastAsia="zh-CN" w:bidi="ar-SA"/>
                    </w:rPr>
                    <w:t>农网引接，光伏场区考虑配置</w:t>
                  </w:r>
                  <w:r>
                    <w:rPr>
                      <w:rFonts w:ascii="Times New Roman" w:hAnsi="Times New Roman" w:eastAsia="宋体" w:cs="Times New Roman"/>
                      <w:color w:val="auto"/>
                      <w:kern w:val="0"/>
                      <w:sz w:val="21"/>
                      <w:szCs w:val="21"/>
                      <w:lang w:val="en-US" w:eastAsia="zh-CN" w:bidi="ar-SA"/>
                    </w:rPr>
                    <w:t xml:space="preserve">5 </w:t>
                  </w:r>
                  <w:r>
                    <w:rPr>
                      <w:rFonts w:hint="eastAsia" w:ascii="Times New Roman" w:hAnsi="Times New Roman" w:eastAsia="宋体" w:cs="Times New Roman"/>
                      <w:color w:val="auto"/>
                      <w:kern w:val="0"/>
                      <w:sz w:val="21"/>
                      <w:szCs w:val="21"/>
                      <w:lang w:val="en-US" w:eastAsia="zh-CN" w:bidi="ar-SA"/>
                    </w:rPr>
                    <w:t>台柴油发电机作为施工电源。其中，沙沟片区引接线路约为</w:t>
                  </w:r>
                  <w:r>
                    <w:rPr>
                      <w:rFonts w:ascii="Times New Roman" w:hAnsi="Times New Roman" w:eastAsia="宋体" w:cs="Times New Roman"/>
                      <w:color w:val="auto"/>
                      <w:kern w:val="0"/>
                      <w:sz w:val="21"/>
                      <w:szCs w:val="21"/>
                      <w:lang w:val="en-US" w:eastAsia="zh-CN" w:bidi="ar-SA"/>
                    </w:rPr>
                    <w:t>0.5km</w:t>
                  </w:r>
                  <w:r>
                    <w:rPr>
                      <w:rFonts w:hint="eastAsia" w:ascii="Times New Roman" w:hAnsi="Times New Roman" w:eastAsia="宋体" w:cs="Times New Roman"/>
                      <w:color w:val="auto"/>
                      <w:kern w:val="0"/>
                      <w:sz w:val="21"/>
                      <w:szCs w:val="21"/>
                      <w:lang w:val="en-US" w:eastAsia="zh-CN" w:bidi="ar-SA"/>
                    </w:rPr>
                    <w:t>，M24、M25区引接线路长度约为</w:t>
                  </w:r>
                  <w:r>
                    <w:rPr>
                      <w:rFonts w:ascii="Times New Roman" w:hAnsi="Times New Roman" w:eastAsia="宋体" w:cs="Times New Roman"/>
                      <w:color w:val="auto"/>
                      <w:kern w:val="0"/>
                      <w:sz w:val="21"/>
                      <w:szCs w:val="21"/>
                      <w:lang w:val="en-US" w:eastAsia="zh-CN" w:bidi="ar-SA"/>
                    </w:rPr>
                    <w:t>2km</w:t>
                  </w:r>
                  <w:r>
                    <w:rPr>
                      <w:rFonts w:hint="eastAsia" w:ascii="Times New Roman" w:hAnsi="Times New Roman" w:eastAsia="宋体" w:cs="Times New Roman"/>
                      <w:color w:val="auto"/>
                      <w:kern w:val="0"/>
                      <w:sz w:val="21"/>
                      <w:szCs w:val="21"/>
                      <w:lang w:val="en-US" w:eastAsia="zh-CN" w:bidi="ar-SA"/>
                    </w:rPr>
                    <w:t>，松树湾地片区引接线路长度约为</w:t>
                  </w:r>
                  <w:r>
                    <w:rPr>
                      <w:rFonts w:ascii="Times New Roman" w:hAnsi="Times New Roman" w:eastAsia="宋体" w:cs="Times New Roman"/>
                      <w:color w:val="auto"/>
                      <w:kern w:val="0"/>
                      <w:sz w:val="21"/>
                      <w:szCs w:val="21"/>
                      <w:lang w:val="en-US" w:eastAsia="zh-CN" w:bidi="ar-SA"/>
                    </w:rPr>
                    <w:t>2km</w:t>
                  </w:r>
                  <w:r>
                    <w:rPr>
                      <w:rFonts w:hint="eastAsia" w:ascii="Times New Roman" w:hAnsi="Times New Roman" w:eastAsia="宋体" w:cs="Times New Roman"/>
                      <w:color w:val="auto"/>
                      <w:kern w:val="0"/>
                      <w:sz w:val="21"/>
                      <w:szCs w:val="21"/>
                      <w:lang w:val="en-US" w:eastAsia="zh-CN" w:bidi="ar-SA"/>
                    </w:rPr>
                    <w:t>，马头地区引接线路长度约为</w:t>
                  </w:r>
                  <w:r>
                    <w:rPr>
                      <w:rFonts w:ascii="Times New Roman" w:hAnsi="Times New Roman" w:eastAsia="宋体" w:cs="Times New Roman"/>
                      <w:color w:val="auto"/>
                      <w:kern w:val="0"/>
                      <w:sz w:val="21"/>
                      <w:szCs w:val="21"/>
                      <w:lang w:val="en-US" w:eastAsia="zh-CN" w:bidi="ar-SA"/>
                    </w:rPr>
                    <w:t>2km</w:t>
                  </w:r>
                  <w:r>
                    <w:rPr>
                      <w:rFonts w:hint="eastAsia" w:ascii="Times New Roman" w:hAnsi="Times New Roman" w:eastAsia="宋体" w:cs="Times New Roman"/>
                      <w:color w:val="auto"/>
                      <w:kern w:val="0"/>
                      <w:sz w:val="21"/>
                      <w:szCs w:val="21"/>
                      <w:lang w:val="en-US" w:eastAsia="zh-CN" w:bidi="ar-SA"/>
                    </w:rPr>
                    <w:t>。</w:t>
                  </w:r>
                </w:p>
              </w:tc>
              <w:tc>
                <w:tcPr>
                  <w:tcW w:w="1760"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升压站考虑从场址附近</w:t>
                  </w:r>
                  <w:r>
                    <w:rPr>
                      <w:rFonts w:ascii="Times New Roman" w:hAnsi="Times New Roman" w:eastAsia="宋体" w:cs="Times New Roman"/>
                      <w:color w:val="auto"/>
                      <w:kern w:val="0"/>
                      <w:sz w:val="21"/>
                      <w:szCs w:val="21"/>
                      <w:lang w:val="en-US" w:eastAsia="zh-CN" w:bidi="ar-SA"/>
                    </w:rPr>
                    <w:t xml:space="preserve">10kV </w:t>
                  </w:r>
                  <w:r>
                    <w:rPr>
                      <w:rFonts w:hint="eastAsia" w:ascii="Times New Roman" w:hAnsi="Times New Roman" w:eastAsia="宋体" w:cs="Times New Roman"/>
                      <w:color w:val="auto"/>
                      <w:kern w:val="0"/>
                      <w:sz w:val="21"/>
                      <w:szCs w:val="21"/>
                      <w:lang w:val="en-US" w:eastAsia="zh-CN" w:bidi="ar-SA"/>
                    </w:rPr>
                    <w:t>农网引接，光伏场区考虑配置</w:t>
                  </w:r>
                  <w:r>
                    <w:rPr>
                      <w:rFonts w:ascii="Times New Roman" w:hAnsi="Times New Roman" w:eastAsia="宋体" w:cs="Times New Roman"/>
                      <w:color w:val="auto"/>
                      <w:kern w:val="0"/>
                      <w:sz w:val="21"/>
                      <w:szCs w:val="21"/>
                      <w:lang w:val="en-US" w:eastAsia="zh-CN" w:bidi="ar-SA"/>
                    </w:rPr>
                    <w:t xml:space="preserve">5 </w:t>
                  </w:r>
                  <w:r>
                    <w:rPr>
                      <w:rFonts w:hint="eastAsia" w:ascii="Times New Roman" w:hAnsi="Times New Roman" w:eastAsia="宋体" w:cs="Times New Roman"/>
                      <w:color w:val="auto"/>
                      <w:kern w:val="0"/>
                      <w:sz w:val="21"/>
                      <w:szCs w:val="21"/>
                      <w:lang w:val="en-US" w:eastAsia="zh-CN" w:bidi="ar-SA"/>
                    </w:rPr>
                    <w:t>台柴油发电机作为施工电源。其中，沙沟片区引接线路约为</w:t>
                  </w:r>
                  <w:r>
                    <w:rPr>
                      <w:rFonts w:ascii="Times New Roman" w:hAnsi="Times New Roman" w:eastAsia="宋体" w:cs="Times New Roman"/>
                      <w:color w:val="auto"/>
                      <w:kern w:val="0"/>
                      <w:sz w:val="21"/>
                      <w:szCs w:val="21"/>
                      <w:lang w:val="en-US" w:eastAsia="zh-CN" w:bidi="ar-SA"/>
                    </w:rPr>
                    <w:t>0.5km</w:t>
                  </w:r>
                  <w:r>
                    <w:rPr>
                      <w:rFonts w:hint="eastAsia" w:ascii="Times New Roman" w:hAnsi="Times New Roman" w:eastAsia="宋体" w:cs="Times New Roman"/>
                      <w:color w:val="auto"/>
                      <w:kern w:val="0"/>
                      <w:sz w:val="21"/>
                      <w:szCs w:val="21"/>
                      <w:lang w:val="en-US" w:eastAsia="zh-CN" w:bidi="ar-SA"/>
                    </w:rPr>
                    <w:t>，阿郎区引接线路长度约为1</w:t>
                  </w:r>
                  <w:r>
                    <w:rPr>
                      <w:rFonts w:ascii="Times New Roman" w:hAnsi="Times New Roman" w:eastAsia="宋体" w:cs="Times New Roman"/>
                      <w:color w:val="auto"/>
                      <w:kern w:val="0"/>
                      <w:sz w:val="21"/>
                      <w:szCs w:val="21"/>
                      <w:lang w:val="en-US" w:eastAsia="zh-CN" w:bidi="ar-SA"/>
                    </w:rPr>
                    <w:t>km</w:t>
                  </w:r>
                  <w:r>
                    <w:rPr>
                      <w:rFonts w:hint="eastAsia" w:ascii="Times New Roman" w:hAnsi="Times New Roman" w:eastAsia="宋体" w:cs="Times New Roman"/>
                      <w:color w:val="auto"/>
                      <w:kern w:val="0"/>
                      <w:sz w:val="21"/>
                      <w:szCs w:val="21"/>
                      <w:lang w:val="en-US" w:eastAsia="zh-CN" w:bidi="ar-SA"/>
                    </w:rPr>
                    <w:t>，松树湾地片区引接线路长度约为</w:t>
                  </w:r>
                  <w:r>
                    <w:rPr>
                      <w:rFonts w:ascii="Times New Roman" w:hAnsi="Times New Roman" w:eastAsia="宋体" w:cs="Times New Roman"/>
                      <w:color w:val="auto"/>
                      <w:kern w:val="0"/>
                      <w:sz w:val="21"/>
                      <w:szCs w:val="21"/>
                      <w:lang w:val="en-US" w:eastAsia="zh-CN" w:bidi="ar-SA"/>
                    </w:rPr>
                    <w:t>2km</w:t>
                  </w:r>
                  <w:r>
                    <w:rPr>
                      <w:rFonts w:hint="eastAsia" w:ascii="Times New Roman" w:hAnsi="Times New Roman" w:eastAsia="宋体" w:cs="Times New Roman"/>
                      <w:color w:val="auto"/>
                      <w:kern w:val="0"/>
                      <w:sz w:val="21"/>
                      <w:szCs w:val="21"/>
                      <w:lang w:val="en-US" w:eastAsia="zh-CN" w:bidi="ar-SA"/>
                    </w:rPr>
                    <w:t>。</w:t>
                  </w:r>
                </w:p>
              </w:tc>
              <w:tc>
                <w:tcPr>
                  <w:tcW w:w="557"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pacing w:val="-9"/>
                      <w:sz w:val="21"/>
                      <w:szCs w:val="21"/>
                      <w:highlight w:val="none"/>
                      <w:lang w:val="en-US" w:eastAsia="zh-CN"/>
                    </w:rPr>
                    <w:t>与原环评阶段一致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316"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lang w:val="en-US" w:eastAsia="zh-CN" w:bidi="ar-SA"/>
                    </w:rPr>
                  </w:pPr>
                </w:p>
              </w:tc>
              <w:tc>
                <w:tcPr>
                  <w:tcW w:w="273"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运营期</w:t>
                  </w:r>
                </w:p>
              </w:tc>
              <w:tc>
                <w:tcPr>
                  <w:tcW w:w="1839"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升压站</w:t>
                  </w:r>
                  <w:r>
                    <w:rPr>
                      <w:rFonts w:hint="eastAsia" w:ascii="Times New Roman" w:hAnsi="Times New Roman" w:eastAsia="宋体" w:cs="Times New Roman"/>
                      <w:color w:val="auto"/>
                      <w:kern w:val="0"/>
                      <w:sz w:val="21"/>
                      <w:szCs w:val="21"/>
                      <w:lang w:val="en-US" w:eastAsia="zh-CN" w:bidi="ar-SA"/>
                    </w:rPr>
                    <w:t>0</w:t>
                  </w:r>
                  <w:r>
                    <w:rPr>
                      <w:rFonts w:ascii="Times New Roman" w:hAnsi="Times New Roman" w:eastAsia="宋体" w:cs="Times New Roman"/>
                      <w:color w:val="auto"/>
                      <w:kern w:val="0"/>
                      <w:sz w:val="21"/>
                      <w:szCs w:val="21"/>
                      <w:lang w:val="en-US" w:eastAsia="zh-CN" w:bidi="ar-SA"/>
                    </w:rPr>
                    <w:t>.4kV站用电在站内</w:t>
                  </w:r>
                  <w:r>
                    <w:rPr>
                      <w:rFonts w:hint="eastAsia" w:ascii="Times New Roman" w:hAnsi="Times New Roman" w:eastAsia="宋体" w:cs="Times New Roman"/>
                      <w:color w:val="auto"/>
                      <w:kern w:val="0"/>
                      <w:sz w:val="21"/>
                      <w:szCs w:val="21"/>
                      <w:lang w:val="en-US" w:eastAsia="zh-CN" w:bidi="ar-SA"/>
                    </w:rPr>
                    <w:t>设置1台3</w:t>
                  </w:r>
                  <w:r>
                    <w:rPr>
                      <w:rFonts w:ascii="Times New Roman" w:hAnsi="Times New Roman" w:eastAsia="宋体" w:cs="Times New Roman"/>
                      <w:color w:val="auto"/>
                      <w:kern w:val="0"/>
                      <w:sz w:val="21"/>
                      <w:szCs w:val="21"/>
                      <w:lang w:val="en-US" w:eastAsia="zh-CN" w:bidi="ar-SA"/>
                    </w:rPr>
                    <w:t>5/0.4</w:t>
                  </w:r>
                  <w:r>
                    <w:rPr>
                      <w:rFonts w:hint="eastAsia" w:ascii="Times New Roman" w:hAnsi="Times New Roman" w:eastAsia="宋体" w:cs="Times New Roman"/>
                      <w:color w:val="auto"/>
                      <w:kern w:val="0"/>
                      <w:sz w:val="21"/>
                      <w:szCs w:val="21"/>
                      <w:lang w:val="en-US" w:eastAsia="zh-CN" w:bidi="ar-SA"/>
                    </w:rPr>
                    <w:t>k</w:t>
                  </w:r>
                  <w:r>
                    <w:rPr>
                      <w:rFonts w:ascii="Times New Roman" w:hAnsi="Times New Roman" w:eastAsia="宋体" w:cs="Times New Roman"/>
                      <w:color w:val="auto"/>
                      <w:kern w:val="0"/>
                      <w:sz w:val="21"/>
                      <w:szCs w:val="21"/>
                      <w:lang w:val="en-US" w:eastAsia="zh-CN" w:bidi="ar-SA"/>
                    </w:rPr>
                    <w:t>V</w:t>
                  </w:r>
                  <w:r>
                    <w:rPr>
                      <w:rFonts w:hint="eastAsia" w:ascii="Times New Roman" w:hAnsi="Times New Roman" w:eastAsia="宋体" w:cs="Times New Roman"/>
                      <w:color w:val="auto"/>
                      <w:kern w:val="0"/>
                      <w:sz w:val="21"/>
                      <w:szCs w:val="21"/>
                      <w:lang w:val="en-US" w:eastAsia="zh-CN" w:bidi="ar-SA"/>
                    </w:rPr>
                    <w:t>站用变压器，电源自3</w:t>
                  </w:r>
                  <w:r>
                    <w:rPr>
                      <w:rFonts w:ascii="Times New Roman" w:hAnsi="Times New Roman" w:eastAsia="宋体" w:cs="Times New Roman"/>
                      <w:color w:val="auto"/>
                      <w:kern w:val="0"/>
                      <w:sz w:val="21"/>
                      <w:szCs w:val="21"/>
                      <w:lang w:val="en-US" w:eastAsia="zh-CN" w:bidi="ar-SA"/>
                    </w:rPr>
                    <w:t>5kV</w:t>
                  </w:r>
                  <w:r>
                    <w:rPr>
                      <w:rFonts w:hint="eastAsia" w:ascii="Times New Roman" w:hAnsi="Times New Roman" w:eastAsia="宋体" w:cs="Times New Roman"/>
                      <w:color w:val="auto"/>
                      <w:kern w:val="0"/>
                      <w:sz w:val="21"/>
                      <w:szCs w:val="21"/>
                      <w:lang w:val="en-US" w:eastAsia="zh-CN" w:bidi="ar-SA"/>
                    </w:rPr>
                    <w:t>配电段母线引接。同时保留施工变作为站用备用变。</w:t>
                  </w:r>
                </w:p>
              </w:tc>
              <w:tc>
                <w:tcPr>
                  <w:tcW w:w="1760"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kern w:val="0"/>
                      <w:sz w:val="21"/>
                      <w:szCs w:val="21"/>
                      <w:lang w:val="en-US" w:eastAsia="zh-CN" w:bidi="ar-SA"/>
                    </w:rPr>
                    <w:t>升压站</w:t>
                  </w:r>
                  <w:r>
                    <w:rPr>
                      <w:rFonts w:hint="eastAsia" w:ascii="Times New Roman" w:hAnsi="Times New Roman" w:eastAsia="宋体" w:cs="Times New Roman"/>
                      <w:color w:val="auto"/>
                      <w:kern w:val="0"/>
                      <w:sz w:val="21"/>
                      <w:szCs w:val="21"/>
                      <w:lang w:val="en-US" w:eastAsia="zh-CN" w:bidi="ar-SA"/>
                    </w:rPr>
                    <w:t>0</w:t>
                  </w:r>
                  <w:r>
                    <w:rPr>
                      <w:rFonts w:ascii="Times New Roman" w:hAnsi="Times New Roman" w:eastAsia="宋体" w:cs="Times New Roman"/>
                      <w:color w:val="auto"/>
                      <w:kern w:val="0"/>
                      <w:sz w:val="21"/>
                      <w:szCs w:val="21"/>
                      <w:lang w:val="en-US" w:eastAsia="zh-CN" w:bidi="ar-SA"/>
                    </w:rPr>
                    <w:t>.4kV站用电在站内</w:t>
                  </w:r>
                  <w:r>
                    <w:rPr>
                      <w:rFonts w:hint="eastAsia" w:ascii="Times New Roman" w:hAnsi="Times New Roman" w:eastAsia="宋体" w:cs="Times New Roman"/>
                      <w:color w:val="auto"/>
                      <w:kern w:val="0"/>
                      <w:sz w:val="21"/>
                      <w:szCs w:val="21"/>
                      <w:lang w:val="en-US" w:eastAsia="zh-CN" w:bidi="ar-SA"/>
                    </w:rPr>
                    <w:t>设置1台3</w:t>
                  </w:r>
                  <w:r>
                    <w:rPr>
                      <w:rFonts w:ascii="Times New Roman" w:hAnsi="Times New Roman" w:eastAsia="宋体" w:cs="Times New Roman"/>
                      <w:color w:val="auto"/>
                      <w:kern w:val="0"/>
                      <w:sz w:val="21"/>
                      <w:szCs w:val="21"/>
                      <w:lang w:val="en-US" w:eastAsia="zh-CN" w:bidi="ar-SA"/>
                    </w:rPr>
                    <w:t>5/0.4</w:t>
                  </w:r>
                  <w:r>
                    <w:rPr>
                      <w:rFonts w:hint="eastAsia" w:ascii="Times New Roman" w:hAnsi="Times New Roman" w:eastAsia="宋体" w:cs="Times New Roman"/>
                      <w:color w:val="auto"/>
                      <w:kern w:val="0"/>
                      <w:sz w:val="21"/>
                      <w:szCs w:val="21"/>
                      <w:lang w:val="en-US" w:eastAsia="zh-CN" w:bidi="ar-SA"/>
                    </w:rPr>
                    <w:t>k</w:t>
                  </w:r>
                  <w:r>
                    <w:rPr>
                      <w:rFonts w:ascii="Times New Roman" w:hAnsi="Times New Roman" w:eastAsia="宋体" w:cs="Times New Roman"/>
                      <w:color w:val="auto"/>
                      <w:kern w:val="0"/>
                      <w:sz w:val="21"/>
                      <w:szCs w:val="21"/>
                      <w:lang w:val="en-US" w:eastAsia="zh-CN" w:bidi="ar-SA"/>
                    </w:rPr>
                    <w:t>V</w:t>
                  </w:r>
                  <w:r>
                    <w:rPr>
                      <w:rFonts w:hint="eastAsia" w:ascii="Times New Roman" w:hAnsi="Times New Roman" w:eastAsia="宋体" w:cs="Times New Roman"/>
                      <w:color w:val="auto"/>
                      <w:kern w:val="0"/>
                      <w:sz w:val="21"/>
                      <w:szCs w:val="21"/>
                      <w:lang w:val="en-US" w:eastAsia="zh-CN" w:bidi="ar-SA"/>
                    </w:rPr>
                    <w:t>站用变压器，电源自3</w:t>
                  </w:r>
                  <w:r>
                    <w:rPr>
                      <w:rFonts w:ascii="Times New Roman" w:hAnsi="Times New Roman" w:eastAsia="宋体" w:cs="Times New Roman"/>
                      <w:color w:val="auto"/>
                      <w:kern w:val="0"/>
                      <w:sz w:val="21"/>
                      <w:szCs w:val="21"/>
                      <w:lang w:val="en-US" w:eastAsia="zh-CN" w:bidi="ar-SA"/>
                    </w:rPr>
                    <w:t>5kV</w:t>
                  </w:r>
                  <w:r>
                    <w:rPr>
                      <w:rFonts w:hint="eastAsia" w:ascii="Times New Roman" w:hAnsi="Times New Roman" w:eastAsia="宋体" w:cs="Times New Roman"/>
                      <w:color w:val="auto"/>
                      <w:kern w:val="0"/>
                      <w:sz w:val="21"/>
                      <w:szCs w:val="21"/>
                      <w:lang w:val="en-US" w:eastAsia="zh-CN" w:bidi="ar-SA"/>
                    </w:rPr>
                    <w:t>配电段母线引接。同时保留施工变作为站用备用变。</w:t>
                  </w:r>
                </w:p>
              </w:tc>
              <w:tc>
                <w:tcPr>
                  <w:tcW w:w="557"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pacing w:val="-9"/>
                      <w:sz w:val="21"/>
                      <w:szCs w:val="21"/>
                      <w:highlight w:val="none"/>
                      <w:lang w:val="en-US" w:eastAsia="zh-CN"/>
                    </w:rPr>
                    <w:t>与原环评阶段一致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590" w:type="pct"/>
                  <w:gridSpan w:val="2"/>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消防</w:t>
                  </w:r>
                </w:p>
              </w:tc>
              <w:tc>
                <w:tcPr>
                  <w:tcW w:w="1839"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全站配备火灾自动探测报警及消防控制系统。升压站内设室内、外消火栓、主变配套水喷雾灭火系统，站内铺设环状消防给水管网，由2</w:t>
                  </w:r>
                  <w:r>
                    <w:rPr>
                      <w:rFonts w:ascii="Times New Roman" w:hAnsi="Times New Roman" w:eastAsia="宋体" w:cs="Times New Roman"/>
                      <w:color w:val="auto"/>
                      <w:kern w:val="0"/>
                      <w:sz w:val="21"/>
                      <w:szCs w:val="21"/>
                      <w:lang w:val="en-US" w:eastAsia="zh-CN" w:bidi="ar-SA"/>
                    </w:rPr>
                    <w:t>50m</w:t>
                  </w:r>
                  <w:r>
                    <w:rPr>
                      <w:rFonts w:ascii="Times New Roman" w:hAnsi="Times New Roman" w:eastAsia="宋体" w:cs="Times New Roman"/>
                      <w:color w:val="auto"/>
                      <w:kern w:val="0"/>
                      <w:sz w:val="21"/>
                      <w:szCs w:val="21"/>
                      <w:vertAlign w:val="superscript"/>
                      <w:lang w:val="en-US" w:eastAsia="zh-CN" w:bidi="ar-SA"/>
                    </w:rPr>
                    <w:t>3</w:t>
                  </w:r>
                  <w:r>
                    <w:rPr>
                      <w:rFonts w:ascii="Times New Roman" w:hAnsi="Times New Roman" w:eastAsia="宋体" w:cs="Times New Roman"/>
                      <w:color w:val="auto"/>
                      <w:kern w:val="0"/>
                      <w:sz w:val="21"/>
                      <w:szCs w:val="21"/>
                      <w:lang w:val="en-US" w:eastAsia="zh-CN" w:bidi="ar-SA"/>
                    </w:rPr>
                    <w:t>生活、消防共用水池供水。站内</w:t>
                  </w:r>
                  <w:r>
                    <w:rPr>
                      <w:rFonts w:hint="eastAsia" w:ascii="Times New Roman" w:hAnsi="Times New Roman" w:eastAsia="宋体" w:cs="Times New Roman"/>
                      <w:color w:val="auto"/>
                      <w:kern w:val="0"/>
                      <w:sz w:val="21"/>
                      <w:szCs w:val="21"/>
                      <w:lang w:val="en-US" w:eastAsia="zh-CN" w:bidi="ar-SA"/>
                    </w:rPr>
                    <w:t>各建筑物、光伏场区箱变旁按规范配备磷酸铵盐干粉灭火器。主变进一步配备消防砂箱。</w:t>
                  </w:r>
                </w:p>
              </w:tc>
              <w:tc>
                <w:tcPr>
                  <w:tcW w:w="1760"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全站配备火灾自动探测报警及消防控制系统。升压站内设室内、外消火栓、主变配套水喷雾灭火系统，站内铺设环状消防给水管网，由</w:t>
                  </w:r>
                  <w:r>
                    <w:rPr>
                      <w:rFonts w:hint="eastAsia" w:cs="Times New Roman"/>
                      <w:color w:val="auto"/>
                      <w:kern w:val="0"/>
                      <w:sz w:val="21"/>
                      <w:szCs w:val="21"/>
                      <w:lang w:val="en-US" w:eastAsia="zh-CN" w:bidi="ar-SA"/>
                    </w:rPr>
                    <w:t>项目打井</w:t>
                  </w:r>
                  <w:r>
                    <w:rPr>
                      <w:rFonts w:ascii="Times New Roman" w:hAnsi="Times New Roman" w:eastAsia="宋体" w:cs="Times New Roman"/>
                      <w:color w:val="auto"/>
                      <w:kern w:val="0"/>
                      <w:sz w:val="21"/>
                      <w:szCs w:val="21"/>
                      <w:lang w:val="en-US" w:eastAsia="zh-CN" w:bidi="ar-SA"/>
                    </w:rPr>
                    <w:t>供水。站内</w:t>
                  </w:r>
                  <w:r>
                    <w:rPr>
                      <w:rFonts w:hint="eastAsia" w:ascii="Times New Roman" w:hAnsi="Times New Roman" w:eastAsia="宋体" w:cs="Times New Roman"/>
                      <w:color w:val="auto"/>
                      <w:kern w:val="0"/>
                      <w:sz w:val="21"/>
                      <w:szCs w:val="21"/>
                      <w:lang w:val="en-US" w:eastAsia="zh-CN" w:bidi="ar-SA"/>
                    </w:rPr>
                    <w:t>各建筑物、光伏场区箱变旁按规范配备磷酸铵盐干粉灭火器。主变进一步配备消防砂箱。</w:t>
                  </w:r>
                </w:p>
              </w:tc>
              <w:tc>
                <w:tcPr>
                  <w:tcW w:w="557"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pacing w:val="-9"/>
                      <w:sz w:val="21"/>
                      <w:szCs w:val="21"/>
                      <w:highlight w:val="none"/>
                      <w:lang w:val="en-US" w:eastAsia="zh-CN"/>
                    </w:rPr>
                    <w:t>根据其他类似项目经验，改为打井取水。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restar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环保工程</w:t>
                  </w:r>
                </w:p>
              </w:tc>
              <w:tc>
                <w:tcPr>
                  <w:tcW w:w="590" w:type="pct"/>
                  <w:gridSpan w:val="2"/>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废气</w:t>
                  </w:r>
                </w:p>
              </w:tc>
              <w:tc>
                <w:tcPr>
                  <w:tcW w:w="1839" w:type="pct"/>
                  <w:noWrap w:val="0"/>
                  <w:vAlign w:val="top"/>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升压站</w:t>
                  </w:r>
                  <w:r>
                    <w:rPr>
                      <w:rFonts w:ascii="Times New Roman" w:hAnsi="Times New Roman" w:eastAsia="宋体" w:cs="Times New Roman"/>
                      <w:color w:val="auto"/>
                      <w:kern w:val="0"/>
                      <w:sz w:val="21"/>
                      <w:szCs w:val="21"/>
                    </w:rPr>
                    <w:t>综合楼厨房内</w:t>
                  </w:r>
                  <w:r>
                    <w:rPr>
                      <w:rFonts w:hint="eastAsia" w:ascii="Times New Roman" w:hAnsi="Times New Roman" w:eastAsia="宋体" w:cs="Times New Roman"/>
                      <w:color w:val="auto"/>
                      <w:kern w:val="0"/>
                      <w:sz w:val="21"/>
                      <w:szCs w:val="21"/>
                    </w:rPr>
                    <w:t>设置1套油烟抽排及净化器，净化效率不低于60%，厨房油烟经净化处理后引至屋顶专用排气口排放。</w:t>
                  </w:r>
                </w:p>
              </w:tc>
              <w:tc>
                <w:tcPr>
                  <w:tcW w:w="1760" w:type="pct"/>
                  <w:noWrap w:val="0"/>
                  <w:vAlign w:val="center"/>
                </w:tcPr>
                <w:p>
                  <w:pPr>
                    <w:keepNext w:val="0"/>
                    <w:keepLines w:val="0"/>
                    <w:pageBreakBefore w:val="0"/>
                    <w:kinsoku/>
                    <w:wordWrap w:val="0"/>
                    <w:overflowPunct/>
                    <w:topLinePunct w:val="0"/>
                    <w:autoSpaceDE w:val="0"/>
                    <w:autoSpaceDN w:val="0"/>
                    <w:bidi w:val="0"/>
                    <w:adjustRightInd w:val="0"/>
                    <w:snapToGrid w:val="0"/>
                    <w:ind w:left="0" w:leftChars="0" w:right="0" w:rightChars="0"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rPr>
                    <w:t>升压站</w:t>
                  </w:r>
                  <w:r>
                    <w:rPr>
                      <w:rFonts w:ascii="Times New Roman" w:hAnsi="Times New Roman" w:eastAsia="宋体" w:cs="Times New Roman"/>
                      <w:color w:val="auto"/>
                      <w:kern w:val="0"/>
                      <w:sz w:val="21"/>
                      <w:szCs w:val="21"/>
                    </w:rPr>
                    <w:t>综合楼厨房内</w:t>
                  </w:r>
                  <w:r>
                    <w:rPr>
                      <w:rFonts w:hint="eastAsia" w:ascii="Times New Roman" w:hAnsi="Times New Roman" w:eastAsia="宋体" w:cs="Times New Roman"/>
                      <w:color w:val="auto"/>
                      <w:kern w:val="0"/>
                      <w:sz w:val="21"/>
                      <w:szCs w:val="21"/>
                    </w:rPr>
                    <w:t>设置1套油烟抽排及净化器，净化效率不低于60%，厨房油烟经净化处理后引至屋顶专用排气口排放。</w:t>
                  </w:r>
                </w:p>
              </w:tc>
              <w:tc>
                <w:tcPr>
                  <w:tcW w:w="557" w:type="pct"/>
                  <w:noWrap w:val="0"/>
                  <w:vAlign w:val="center"/>
                </w:tcPr>
                <w:p>
                  <w:pPr>
                    <w:keepNext w:val="0"/>
                    <w:keepLines w:val="0"/>
                    <w:pageBreakBefore w:val="0"/>
                    <w:kinsoku/>
                    <w:wordWrap w:val="0"/>
                    <w:overflowPunct/>
                    <w:topLinePunct w:val="0"/>
                    <w:bidi w:val="0"/>
                    <w:adjustRightInd w:val="0"/>
                    <w:snapToGrid w:val="0"/>
                    <w:ind w:left="0" w:leftChars="0" w:right="0" w:rightChars="0" w:firstLine="0" w:firstLineChars="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spacing w:val="-9"/>
                      <w:sz w:val="21"/>
                      <w:szCs w:val="21"/>
                      <w:highlight w:val="none"/>
                      <w:lang w:val="en-US" w:eastAsia="zh-CN"/>
                    </w:rPr>
                    <w:t>与原环评阶段一致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316" w:type="pct"/>
                  <w:vMerge w:val="restar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废水</w:t>
                  </w:r>
                </w:p>
              </w:tc>
              <w:tc>
                <w:tcPr>
                  <w:tcW w:w="273" w:type="pc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隔油池</w:t>
                  </w:r>
                </w:p>
              </w:tc>
              <w:tc>
                <w:tcPr>
                  <w:tcW w:w="1839" w:type="pc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厨房排水口设置</w:t>
                  </w:r>
                  <w:r>
                    <w:rPr>
                      <w:rFonts w:ascii="Times New Roman" w:hAnsi="Times New Roman" w:eastAsia="宋体" w:cs="Times New Roman"/>
                      <w:color w:val="auto"/>
                      <w:kern w:val="0"/>
                      <w:sz w:val="21"/>
                      <w:szCs w:val="21"/>
                    </w:rPr>
                    <w:t>1个</w:t>
                  </w:r>
                  <w:r>
                    <w:rPr>
                      <w:rFonts w:hint="eastAsia" w:ascii="Times New Roman" w:hAnsi="Times New Roman" w:eastAsia="宋体" w:cs="Times New Roman"/>
                      <w:color w:val="auto"/>
                      <w:kern w:val="0"/>
                      <w:sz w:val="21"/>
                      <w:szCs w:val="21"/>
                    </w:rPr>
                    <w:t>不锈钢成品隔油池，有效容积</w:t>
                  </w:r>
                  <w:r>
                    <w:rPr>
                      <w:rFonts w:ascii="Times New Roman" w:hAnsi="Times New Roman" w:eastAsia="宋体" w:cs="Times New Roman"/>
                      <w:color w:val="auto"/>
                      <w:kern w:val="0"/>
                      <w:sz w:val="21"/>
                      <w:szCs w:val="21"/>
                    </w:rPr>
                    <w:t>1m</w:t>
                  </w:r>
                  <w:r>
                    <w:rPr>
                      <w:rFonts w:ascii="Times New Roman" w:hAnsi="Times New Roman" w:eastAsia="宋体" w:cs="Times New Roman"/>
                      <w:color w:val="auto"/>
                      <w:kern w:val="0"/>
                      <w:sz w:val="21"/>
                      <w:szCs w:val="21"/>
                      <w:vertAlign w:val="superscript"/>
                    </w:rPr>
                    <w:t>3</w:t>
                  </w:r>
                  <w:r>
                    <w:rPr>
                      <w:rFonts w:ascii="Times New Roman" w:hAnsi="Times New Roman" w:eastAsia="宋体" w:cs="Times New Roman"/>
                      <w:color w:val="auto"/>
                      <w:kern w:val="0"/>
                      <w:sz w:val="21"/>
                      <w:szCs w:val="21"/>
                    </w:rPr>
                    <w:t>。</w:t>
                  </w:r>
                </w:p>
              </w:tc>
              <w:tc>
                <w:tcPr>
                  <w:tcW w:w="1760"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rPr>
                    <w:t>厨房排水口设置</w:t>
                  </w:r>
                  <w:r>
                    <w:rPr>
                      <w:rFonts w:ascii="Times New Roman" w:hAnsi="Times New Roman" w:eastAsia="宋体" w:cs="Times New Roman"/>
                      <w:color w:val="auto"/>
                      <w:kern w:val="0"/>
                      <w:sz w:val="21"/>
                      <w:szCs w:val="21"/>
                    </w:rPr>
                    <w:t>1个</w:t>
                  </w:r>
                  <w:r>
                    <w:rPr>
                      <w:rFonts w:hint="eastAsia" w:ascii="Times New Roman" w:hAnsi="Times New Roman" w:eastAsia="宋体" w:cs="Times New Roman"/>
                      <w:color w:val="auto"/>
                      <w:kern w:val="0"/>
                      <w:sz w:val="21"/>
                      <w:szCs w:val="21"/>
                    </w:rPr>
                    <w:t>不锈钢成品隔油池，有效容积</w:t>
                  </w:r>
                  <w:r>
                    <w:rPr>
                      <w:rFonts w:ascii="Times New Roman" w:hAnsi="Times New Roman" w:eastAsia="宋体" w:cs="Times New Roman"/>
                      <w:color w:val="auto"/>
                      <w:kern w:val="0"/>
                      <w:sz w:val="21"/>
                      <w:szCs w:val="21"/>
                    </w:rPr>
                    <w:t>1m</w:t>
                  </w:r>
                  <w:r>
                    <w:rPr>
                      <w:rFonts w:ascii="Times New Roman" w:hAnsi="Times New Roman" w:eastAsia="宋体" w:cs="Times New Roman"/>
                      <w:color w:val="auto"/>
                      <w:kern w:val="0"/>
                      <w:sz w:val="21"/>
                      <w:szCs w:val="21"/>
                      <w:vertAlign w:val="superscript"/>
                    </w:rPr>
                    <w:t>3</w:t>
                  </w:r>
                  <w:r>
                    <w:rPr>
                      <w:rFonts w:ascii="Times New Roman" w:hAnsi="Times New Roman" w:eastAsia="宋体" w:cs="Times New Roman"/>
                      <w:color w:val="auto"/>
                      <w:kern w:val="0"/>
                      <w:sz w:val="21"/>
                      <w:szCs w:val="21"/>
                    </w:rPr>
                    <w:t>。</w:t>
                  </w:r>
                </w:p>
              </w:tc>
              <w:tc>
                <w:tcPr>
                  <w:tcW w:w="557" w:type="pct"/>
                  <w:noWrap w:val="0"/>
                  <w:vAlign w:val="center"/>
                </w:tcPr>
                <w:p>
                  <w:pPr>
                    <w:keepNext w:val="0"/>
                    <w:keepLines w:val="0"/>
                    <w:pageBreakBefore w:val="0"/>
                    <w:kinsoku/>
                    <w:wordWrap w:val="0"/>
                    <w:overflowPunct/>
                    <w:topLinePunct w:val="0"/>
                    <w:bidi w:val="0"/>
                    <w:adjustRightInd w:val="0"/>
                    <w:snapToGrid w:val="0"/>
                    <w:jc w:val="center"/>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spacing w:val="-9"/>
                      <w:sz w:val="21"/>
                      <w:szCs w:val="21"/>
                      <w:highlight w:val="none"/>
                      <w:lang w:val="en-US" w:eastAsia="zh-CN"/>
                    </w:rPr>
                    <w:t>与原环评阶段一致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316" w:type="pct"/>
                  <w:vMerge w:val="continue"/>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p>
              </w:tc>
              <w:tc>
                <w:tcPr>
                  <w:tcW w:w="273" w:type="pc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化粪池</w:t>
                  </w:r>
                </w:p>
              </w:tc>
              <w:tc>
                <w:tcPr>
                  <w:tcW w:w="1839" w:type="pc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综合楼旁地埋式设置1个</w:t>
                  </w:r>
                  <w:r>
                    <w:rPr>
                      <w:rFonts w:hint="eastAsia" w:ascii="Times New Roman" w:hAnsi="Times New Roman" w:eastAsia="宋体" w:cs="Times New Roman"/>
                      <w:color w:val="auto"/>
                      <w:kern w:val="0"/>
                      <w:sz w:val="21"/>
                      <w:szCs w:val="21"/>
                    </w:rPr>
                    <w:t>玻璃钢成品化粪池，有效</w:t>
                  </w:r>
                  <w:r>
                    <w:rPr>
                      <w:rFonts w:ascii="Times New Roman" w:hAnsi="Times New Roman" w:eastAsia="宋体" w:cs="Times New Roman"/>
                      <w:color w:val="auto"/>
                      <w:kern w:val="0"/>
                      <w:sz w:val="21"/>
                      <w:szCs w:val="21"/>
                    </w:rPr>
                    <w:t>容积6m</w:t>
                  </w:r>
                  <w:r>
                    <w:rPr>
                      <w:rFonts w:ascii="Times New Roman" w:hAnsi="Times New Roman" w:eastAsia="宋体" w:cs="Times New Roman"/>
                      <w:color w:val="auto"/>
                      <w:kern w:val="0"/>
                      <w:sz w:val="21"/>
                      <w:szCs w:val="21"/>
                      <w:vertAlign w:val="superscript"/>
                    </w:rPr>
                    <w:t>3</w:t>
                  </w:r>
                  <w:r>
                    <w:rPr>
                      <w:rFonts w:ascii="Times New Roman" w:hAnsi="Times New Roman" w:eastAsia="宋体" w:cs="Times New Roman"/>
                      <w:color w:val="auto"/>
                      <w:kern w:val="0"/>
                      <w:sz w:val="21"/>
                      <w:szCs w:val="21"/>
                    </w:rPr>
                    <w:t>。</w:t>
                  </w:r>
                </w:p>
              </w:tc>
              <w:tc>
                <w:tcPr>
                  <w:tcW w:w="1760"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hint="eastAsia" w:ascii="Times New Roman" w:hAnsi="Times New Roman" w:eastAsia="宋体" w:cs="Times New Roman"/>
                      <w:color w:val="auto"/>
                      <w:sz w:val="21"/>
                      <w:szCs w:val="21"/>
                    </w:rPr>
                  </w:pPr>
                  <w:r>
                    <w:rPr>
                      <w:rFonts w:ascii="Times New Roman" w:hAnsi="Times New Roman" w:eastAsia="宋体" w:cs="Times New Roman"/>
                      <w:color w:val="auto"/>
                      <w:kern w:val="0"/>
                      <w:sz w:val="21"/>
                      <w:szCs w:val="21"/>
                    </w:rPr>
                    <w:t>综合楼旁地埋式设置1个</w:t>
                  </w:r>
                  <w:r>
                    <w:rPr>
                      <w:rFonts w:hint="eastAsia" w:ascii="Times New Roman" w:hAnsi="Times New Roman" w:eastAsia="宋体" w:cs="Times New Roman"/>
                      <w:color w:val="auto"/>
                      <w:kern w:val="0"/>
                      <w:sz w:val="21"/>
                      <w:szCs w:val="21"/>
                    </w:rPr>
                    <w:t>玻璃钢成品化粪池，有效</w:t>
                  </w:r>
                  <w:r>
                    <w:rPr>
                      <w:rFonts w:ascii="Times New Roman" w:hAnsi="Times New Roman" w:eastAsia="宋体" w:cs="Times New Roman"/>
                      <w:color w:val="auto"/>
                      <w:kern w:val="0"/>
                      <w:sz w:val="21"/>
                      <w:szCs w:val="21"/>
                    </w:rPr>
                    <w:t>容积6m</w:t>
                  </w:r>
                  <w:r>
                    <w:rPr>
                      <w:rFonts w:ascii="Times New Roman" w:hAnsi="Times New Roman" w:eastAsia="宋体" w:cs="Times New Roman"/>
                      <w:color w:val="auto"/>
                      <w:kern w:val="0"/>
                      <w:sz w:val="21"/>
                      <w:szCs w:val="21"/>
                      <w:vertAlign w:val="superscript"/>
                    </w:rPr>
                    <w:t>3</w:t>
                  </w:r>
                  <w:r>
                    <w:rPr>
                      <w:rFonts w:ascii="Times New Roman" w:hAnsi="Times New Roman" w:eastAsia="宋体" w:cs="Times New Roman"/>
                      <w:color w:val="auto"/>
                      <w:kern w:val="0"/>
                      <w:sz w:val="21"/>
                      <w:szCs w:val="21"/>
                    </w:rPr>
                    <w:t>。</w:t>
                  </w:r>
                </w:p>
              </w:tc>
              <w:tc>
                <w:tcPr>
                  <w:tcW w:w="557" w:type="pc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spacing w:val="-9"/>
                      <w:sz w:val="21"/>
                      <w:szCs w:val="21"/>
                      <w:highlight w:val="none"/>
                      <w:lang w:val="en-US" w:eastAsia="zh-CN"/>
                    </w:rPr>
                    <w:t>与原环评阶段一致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316" w:type="pct"/>
                  <w:vMerge w:val="continue"/>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p>
              </w:tc>
              <w:tc>
                <w:tcPr>
                  <w:tcW w:w="273" w:type="pc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污水处理系统</w:t>
                  </w:r>
                </w:p>
              </w:tc>
              <w:tc>
                <w:tcPr>
                  <w:tcW w:w="1839" w:type="pc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升压站内地埋式设置1套一体化污水处理系统，处理能力5m</w:t>
                  </w:r>
                  <w:r>
                    <w:rPr>
                      <w:rFonts w:ascii="Times New Roman" w:hAnsi="Times New Roman" w:eastAsia="宋体" w:cs="Times New Roman"/>
                      <w:color w:val="auto"/>
                      <w:kern w:val="0"/>
                      <w:sz w:val="21"/>
                      <w:szCs w:val="21"/>
                      <w:vertAlign w:val="superscript"/>
                    </w:rPr>
                    <w:t>3</w:t>
                  </w:r>
                  <w:r>
                    <w:rPr>
                      <w:rFonts w:ascii="Times New Roman" w:hAnsi="Times New Roman" w:eastAsia="宋体" w:cs="Times New Roman"/>
                      <w:color w:val="auto"/>
                      <w:kern w:val="0"/>
                      <w:sz w:val="21"/>
                      <w:szCs w:val="21"/>
                    </w:rPr>
                    <w:t>/d，采用</w:t>
                  </w:r>
                  <w:r>
                    <w:rPr>
                      <w:rFonts w:hint="eastAsia" w:ascii="Times New Roman" w:hAnsi="Times New Roman" w:eastAsia="宋体" w:cs="Times New Roman"/>
                      <w:color w:val="auto"/>
                      <w:kern w:val="0"/>
                      <w:sz w:val="21"/>
                      <w:szCs w:val="21"/>
                    </w:rPr>
                    <w:t>“接触氧化+MBR”处理</w:t>
                  </w:r>
                  <w:r>
                    <w:rPr>
                      <w:rFonts w:ascii="Times New Roman" w:hAnsi="Times New Roman" w:eastAsia="宋体" w:cs="Times New Roman"/>
                      <w:color w:val="auto"/>
                      <w:kern w:val="0"/>
                      <w:sz w:val="21"/>
                      <w:szCs w:val="21"/>
                    </w:rPr>
                    <w:t>工艺。</w:t>
                  </w:r>
                </w:p>
              </w:tc>
              <w:tc>
                <w:tcPr>
                  <w:tcW w:w="1760" w:type="pct"/>
                  <w:noWrap w:val="0"/>
                  <w:vAlign w:val="center"/>
                </w:tcPr>
                <w:p>
                  <w:pPr>
                    <w:keepNext w:val="0"/>
                    <w:keepLines w:val="0"/>
                    <w:pageBreakBefore w:val="0"/>
                    <w:kinsoku/>
                    <w:wordWrap w:val="0"/>
                    <w:overflowPunct/>
                    <w:topLinePunct w:val="0"/>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rPr>
                    <w:t>升压站内地埋式设置1套一体化污水处理系统，处理能力5m</w:t>
                  </w:r>
                  <w:r>
                    <w:rPr>
                      <w:rFonts w:ascii="Times New Roman" w:hAnsi="Times New Roman" w:eastAsia="宋体" w:cs="Times New Roman"/>
                      <w:color w:val="auto"/>
                      <w:kern w:val="0"/>
                      <w:sz w:val="21"/>
                      <w:szCs w:val="21"/>
                      <w:vertAlign w:val="superscript"/>
                    </w:rPr>
                    <w:t>3</w:t>
                  </w:r>
                  <w:r>
                    <w:rPr>
                      <w:rFonts w:ascii="Times New Roman" w:hAnsi="Times New Roman" w:eastAsia="宋体" w:cs="Times New Roman"/>
                      <w:color w:val="auto"/>
                      <w:kern w:val="0"/>
                      <w:sz w:val="21"/>
                      <w:szCs w:val="21"/>
                    </w:rPr>
                    <w:t>/d，采用</w:t>
                  </w:r>
                  <w:r>
                    <w:rPr>
                      <w:rFonts w:hint="eastAsia" w:ascii="Times New Roman" w:hAnsi="Times New Roman" w:eastAsia="宋体" w:cs="Times New Roman"/>
                      <w:color w:val="auto"/>
                      <w:kern w:val="0"/>
                      <w:sz w:val="21"/>
                      <w:szCs w:val="21"/>
                    </w:rPr>
                    <w:t>“接触氧化+MBR”处理</w:t>
                  </w:r>
                  <w:r>
                    <w:rPr>
                      <w:rFonts w:ascii="Times New Roman" w:hAnsi="Times New Roman" w:eastAsia="宋体" w:cs="Times New Roman"/>
                      <w:color w:val="auto"/>
                      <w:kern w:val="0"/>
                      <w:sz w:val="21"/>
                      <w:szCs w:val="21"/>
                    </w:rPr>
                    <w:t>工艺。</w:t>
                  </w:r>
                </w:p>
              </w:tc>
              <w:tc>
                <w:tcPr>
                  <w:tcW w:w="557" w:type="pc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spacing w:val="-9"/>
                      <w:sz w:val="21"/>
                      <w:szCs w:val="21"/>
                      <w:highlight w:val="none"/>
                      <w:lang w:val="en-US" w:eastAsia="zh-CN"/>
                    </w:rPr>
                    <w:t>与原环评阶段一致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316" w:type="pct"/>
                  <w:vMerge w:val="continue"/>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p>
              </w:tc>
              <w:tc>
                <w:tcPr>
                  <w:tcW w:w="273" w:type="pc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回用水池</w:t>
                  </w:r>
                </w:p>
              </w:tc>
              <w:tc>
                <w:tcPr>
                  <w:tcW w:w="1839" w:type="pc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站内设置</w:t>
                  </w:r>
                  <w:r>
                    <w:rPr>
                      <w:rFonts w:hint="eastAsia" w:ascii="Times New Roman" w:hAnsi="Times New Roman" w:eastAsia="宋体" w:cs="Times New Roman"/>
                      <w:color w:val="auto"/>
                      <w:kern w:val="0"/>
                      <w:sz w:val="21"/>
                      <w:szCs w:val="21"/>
                    </w:rPr>
                    <w:t>1个中水回用水池，容积应不小于8m</w:t>
                  </w:r>
                  <w:r>
                    <w:rPr>
                      <w:rFonts w:ascii="Times New Roman" w:hAnsi="Times New Roman" w:eastAsia="宋体" w:cs="Times New Roman"/>
                      <w:color w:val="auto"/>
                      <w:kern w:val="0"/>
                      <w:sz w:val="21"/>
                      <w:szCs w:val="21"/>
                      <w:vertAlign w:val="superscript"/>
                    </w:rPr>
                    <w:t>3</w:t>
                  </w:r>
                  <w:r>
                    <w:rPr>
                      <w:rFonts w:ascii="Times New Roman" w:hAnsi="Times New Roman" w:eastAsia="宋体" w:cs="Times New Roman"/>
                      <w:color w:val="auto"/>
                      <w:kern w:val="0"/>
                      <w:sz w:val="21"/>
                      <w:szCs w:val="21"/>
                    </w:rPr>
                    <w:t>，雨天污水处理系统出水经回</w:t>
                  </w:r>
                  <w:r>
                    <w:rPr>
                      <w:rFonts w:ascii="Times New Roman" w:hAnsi="Times New Roman" w:eastAsia="宋体" w:cs="Times New Roman"/>
                      <w:color w:val="auto"/>
                      <w:kern w:val="0"/>
                      <w:sz w:val="21"/>
                      <w:szCs w:val="21"/>
                    </w:rPr>
                    <w:cr/>
                  </w:r>
                  <w:r>
                    <w:rPr>
                      <w:rFonts w:ascii="Times New Roman" w:hAnsi="Times New Roman" w:eastAsia="宋体" w:cs="Times New Roman"/>
                      <w:color w:val="auto"/>
                      <w:kern w:val="0"/>
                      <w:sz w:val="21"/>
                      <w:szCs w:val="21"/>
                    </w:rPr>
                    <w:t>水池收集暂存后，待非雨天回</w:t>
                  </w:r>
                  <w:r>
                    <w:rPr>
                      <w:rFonts w:hint="eastAsia" w:ascii="Times New Roman" w:hAnsi="Times New Roman" w:eastAsia="宋体" w:cs="Times New Roman"/>
                      <w:color w:val="auto"/>
                      <w:kern w:val="0"/>
                      <w:sz w:val="21"/>
                      <w:szCs w:val="21"/>
                      <w:lang w:val="en-US" w:eastAsia="zh-CN"/>
                    </w:rPr>
                    <w:t>用</w:t>
                  </w:r>
                  <w:r>
                    <w:rPr>
                      <w:rFonts w:ascii="Times New Roman" w:hAnsi="Times New Roman" w:eastAsia="宋体" w:cs="Times New Roman"/>
                      <w:color w:val="auto"/>
                      <w:kern w:val="0"/>
                      <w:sz w:val="21"/>
                      <w:szCs w:val="21"/>
                    </w:rPr>
                    <w:cr/>
                  </w:r>
                  <w:r>
                    <w:rPr>
                      <w:rFonts w:ascii="Times New Roman" w:hAnsi="Times New Roman" w:eastAsia="宋体" w:cs="Times New Roman"/>
                      <w:color w:val="auto"/>
                      <w:kern w:val="0"/>
                      <w:sz w:val="21"/>
                      <w:szCs w:val="21"/>
                    </w:rPr>
                    <w:t>。</w:t>
                  </w:r>
                </w:p>
              </w:tc>
              <w:tc>
                <w:tcPr>
                  <w:tcW w:w="1760" w:type="pct"/>
                  <w:noWrap w:val="0"/>
                  <w:vAlign w:val="center"/>
                </w:tcPr>
                <w:p>
                  <w:pPr>
                    <w:keepNext w:val="0"/>
                    <w:keepLines w:val="0"/>
                    <w:pageBreakBefore w:val="0"/>
                    <w:kinsoku/>
                    <w:wordWrap w:val="0"/>
                    <w:overflowPunct/>
                    <w:topLinePunct w:val="0"/>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rPr>
                    <w:t>站内设置</w:t>
                  </w:r>
                  <w:r>
                    <w:rPr>
                      <w:rFonts w:hint="eastAsia" w:ascii="Times New Roman" w:hAnsi="Times New Roman" w:eastAsia="宋体" w:cs="Times New Roman"/>
                      <w:color w:val="auto"/>
                      <w:kern w:val="0"/>
                      <w:sz w:val="21"/>
                      <w:szCs w:val="21"/>
                    </w:rPr>
                    <w:t>1个中水回用水池，容积应不小于8m</w:t>
                  </w:r>
                  <w:r>
                    <w:rPr>
                      <w:rFonts w:ascii="Times New Roman" w:hAnsi="Times New Roman" w:eastAsia="宋体" w:cs="Times New Roman"/>
                      <w:color w:val="auto"/>
                      <w:kern w:val="0"/>
                      <w:sz w:val="21"/>
                      <w:szCs w:val="21"/>
                      <w:vertAlign w:val="superscript"/>
                    </w:rPr>
                    <w:t>3</w:t>
                  </w:r>
                  <w:r>
                    <w:rPr>
                      <w:rFonts w:ascii="Times New Roman" w:hAnsi="Times New Roman" w:eastAsia="宋体" w:cs="Times New Roman"/>
                      <w:color w:val="auto"/>
                      <w:kern w:val="0"/>
                      <w:sz w:val="21"/>
                      <w:szCs w:val="21"/>
                    </w:rPr>
                    <w:t>，雨天污水处理系统出水经回</w:t>
                  </w:r>
                  <w:r>
                    <w:rPr>
                      <w:rFonts w:ascii="Times New Roman" w:hAnsi="Times New Roman" w:eastAsia="宋体" w:cs="Times New Roman"/>
                      <w:color w:val="auto"/>
                      <w:kern w:val="0"/>
                      <w:sz w:val="21"/>
                      <w:szCs w:val="21"/>
                    </w:rPr>
                    <w:cr/>
                  </w:r>
                  <w:r>
                    <w:rPr>
                      <w:rFonts w:ascii="Times New Roman" w:hAnsi="Times New Roman" w:eastAsia="宋体" w:cs="Times New Roman"/>
                      <w:color w:val="auto"/>
                      <w:kern w:val="0"/>
                      <w:sz w:val="21"/>
                      <w:szCs w:val="21"/>
                    </w:rPr>
                    <w:t>水池收集暂存后，待非雨天回</w:t>
                  </w:r>
                  <w:r>
                    <w:rPr>
                      <w:rFonts w:hint="eastAsia" w:ascii="Times New Roman" w:hAnsi="Times New Roman" w:eastAsia="宋体" w:cs="Times New Roman"/>
                      <w:color w:val="auto"/>
                      <w:kern w:val="0"/>
                      <w:sz w:val="21"/>
                      <w:szCs w:val="21"/>
                      <w:lang w:val="en-US" w:eastAsia="zh-CN"/>
                    </w:rPr>
                    <w:t>用</w:t>
                  </w:r>
                  <w:r>
                    <w:rPr>
                      <w:rFonts w:ascii="Times New Roman" w:hAnsi="Times New Roman" w:eastAsia="宋体" w:cs="Times New Roman"/>
                      <w:color w:val="auto"/>
                      <w:kern w:val="0"/>
                      <w:sz w:val="21"/>
                      <w:szCs w:val="21"/>
                    </w:rPr>
                    <w:cr/>
                  </w:r>
                  <w:r>
                    <w:rPr>
                      <w:rFonts w:ascii="Times New Roman" w:hAnsi="Times New Roman" w:eastAsia="宋体" w:cs="Times New Roman"/>
                      <w:color w:val="auto"/>
                      <w:kern w:val="0"/>
                      <w:sz w:val="21"/>
                      <w:szCs w:val="21"/>
                    </w:rPr>
                    <w:t>。</w:t>
                  </w:r>
                </w:p>
              </w:tc>
              <w:tc>
                <w:tcPr>
                  <w:tcW w:w="557" w:type="pc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spacing w:val="-9"/>
                      <w:sz w:val="21"/>
                      <w:szCs w:val="21"/>
                      <w:highlight w:val="none"/>
                      <w:lang w:val="en-US" w:eastAsia="zh-CN"/>
                    </w:rPr>
                    <w:t>与原环评阶段一致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316" w:type="pct"/>
                  <w:vMerge w:val="restar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固废</w:t>
                  </w:r>
                </w:p>
              </w:tc>
              <w:tc>
                <w:tcPr>
                  <w:tcW w:w="273" w:type="pc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垃圾桶</w:t>
                  </w:r>
                </w:p>
              </w:tc>
              <w:tc>
                <w:tcPr>
                  <w:tcW w:w="1839" w:type="pc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若干，</w:t>
                  </w:r>
                  <w:r>
                    <w:rPr>
                      <w:rFonts w:hint="eastAsia" w:ascii="Times New Roman" w:hAnsi="Times New Roman" w:eastAsia="宋体" w:cs="Times New Roman"/>
                      <w:color w:val="auto"/>
                      <w:kern w:val="0"/>
                      <w:sz w:val="21"/>
                      <w:szCs w:val="21"/>
                    </w:rPr>
                    <w:t>分类</w:t>
                  </w:r>
                  <w:r>
                    <w:rPr>
                      <w:rFonts w:ascii="Times New Roman" w:hAnsi="Times New Roman" w:eastAsia="宋体" w:cs="Times New Roman"/>
                      <w:color w:val="auto"/>
                      <w:kern w:val="0"/>
                      <w:sz w:val="21"/>
                      <w:szCs w:val="21"/>
                    </w:rPr>
                    <w:t>收集员工生活垃圾</w:t>
                  </w:r>
                  <w:r>
                    <w:rPr>
                      <w:rFonts w:hint="eastAsia" w:ascii="Times New Roman" w:hAnsi="Times New Roman" w:eastAsia="宋体" w:cs="Times New Roman"/>
                      <w:color w:val="auto"/>
                      <w:kern w:val="0"/>
                      <w:sz w:val="21"/>
                      <w:szCs w:val="21"/>
                    </w:rPr>
                    <w:t>，委托环卫部门定期清运处置</w:t>
                  </w:r>
                  <w:r>
                    <w:rPr>
                      <w:rFonts w:ascii="Times New Roman" w:hAnsi="Times New Roman" w:eastAsia="宋体" w:cs="Times New Roman"/>
                      <w:color w:val="auto"/>
                      <w:kern w:val="0"/>
                      <w:sz w:val="21"/>
                      <w:szCs w:val="21"/>
                    </w:rPr>
                    <w:t>。</w:t>
                  </w:r>
                </w:p>
              </w:tc>
              <w:tc>
                <w:tcPr>
                  <w:tcW w:w="1760" w:type="pct"/>
                  <w:noWrap w:val="0"/>
                  <w:vAlign w:val="center"/>
                </w:tcPr>
                <w:p>
                  <w:pPr>
                    <w:keepNext w:val="0"/>
                    <w:keepLines w:val="0"/>
                    <w:pageBreakBefore w:val="0"/>
                    <w:kinsoku/>
                    <w:wordWrap w:val="0"/>
                    <w:overflowPunct/>
                    <w:topLinePunct w:val="0"/>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rPr>
                    <w:t>若干，</w:t>
                  </w:r>
                  <w:r>
                    <w:rPr>
                      <w:rFonts w:hint="eastAsia" w:ascii="Times New Roman" w:hAnsi="Times New Roman" w:eastAsia="宋体" w:cs="Times New Roman"/>
                      <w:color w:val="auto"/>
                      <w:kern w:val="0"/>
                      <w:sz w:val="21"/>
                      <w:szCs w:val="21"/>
                    </w:rPr>
                    <w:t>分类</w:t>
                  </w:r>
                  <w:r>
                    <w:rPr>
                      <w:rFonts w:ascii="Times New Roman" w:hAnsi="Times New Roman" w:eastAsia="宋体" w:cs="Times New Roman"/>
                      <w:color w:val="auto"/>
                      <w:kern w:val="0"/>
                      <w:sz w:val="21"/>
                      <w:szCs w:val="21"/>
                    </w:rPr>
                    <w:t>收集员工生活垃圾</w:t>
                  </w:r>
                  <w:r>
                    <w:rPr>
                      <w:rFonts w:hint="eastAsia" w:ascii="Times New Roman" w:hAnsi="Times New Roman" w:eastAsia="宋体" w:cs="Times New Roman"/>
                      <w:color w:val="auto"/>
                      <w:kern w:val="0"/>
                      <w:sz w:val="21"/>
                      <w:szCs w:val="21"/>
                    </w:rPr>
                    <w:t>，委托环卫部门定期清运处置</w:t>
                  </w:r>
                  <w:r>
                    <w:rPr>
                      <w:rFonts w:ascii="Times New Roman" w:hAnsi="Times New Roman" w:eastAsia="宋体" w:cs="Times New Roman"/>
                      <w:color w:val="auto"/>
                      <w:kern w:val="0"/>
                      <w:sz w:val="21"/>
                      <w:szCs w:val="21"/>
                    </w:rPr>
                    <w:t>。</w:t>
                  </w:r>
                </w:p>
              </w:tc>
              <w:tc>
                <w:tcPr>
                  <w:tcW w:w="557" w:type="pc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spacing w:val="-9"/>
                      <w:sz w:val="21"/>
                      <w:szCs w:val="21"/>
                      <w:highlight w:val="none"/>
                      <w:lang w:val="en-US" w:eastAsia="zh-CN"/>
                    </w:rPr>
                    <w:t>与原环评阶段一致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316" w:type="pct"/>
                  <w:vMerge w:val="continue"/>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p>
              </w:tc>
              <w:tc>
                <w:tcPr>
                  <w:tcW w:w="273" w:type="pc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危废暂存间</w:t>
                  </w:r>
                </w:p>
              </w:tc>
              <w:tc>
                <w:tcPr>
                  <w:tcW w:w="1839" w:type="pc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仓库内设置一间危废暂存间，面积</w:t>
                  </w:r>
                  <w:r>
                    <w:rPr>
                      <w:rFonts w:hint="eastAsia" w:ascii="Times New Roman" w:hAnsi="Times New Roman" w:eastAsia="宋体" w:cs="Times New Roman"/>
                      <w:color w:val="auto"/>
                      <w:kern w:val="0"/>
                      <w:sz w:val="21"/>
                      <w:szCs w:val="21"/>
                    </w:rPr>
                    <w:t>2</w:t>
                  </w:r>
                  <w:r>
                    <w:rPr>
                      <w:rFonts w:ascii="Times New Roman" w:hAnsi="Times New Roman" w:eastAsia="宋体" w:cs="Times New Roman"/>
                      <w:color w:val="auto"/>
                      <w:kern w:val="0"/>
                      <w:sz w:val="21"/>
                      <w:szCs w:val="21"/>
                    </w:rPr>
                    <w:t>0m</w:t>
                  </w:r>
                  <w:r>
                    <w:rPr>
                      <w:rFonts w:ascii="Times New Roman" w:hAnsi="Times New Roman" w:eastAsia="宋体" w:cs="Times New Roman"/>
                      <w:color w:val="auto"/>
                      <w:kern w:val="0"/>
                      <w:sz w:val="21"/>
                      <w:szCs w:val="21"/>
                      <w:vertAlign w:val="superscript"/>
                    </w:rPr>
                    <w:t>2</w:t>
                  </w:r>
                  <w:r>
                    <w:rPr>
                      <w:rFonts w:hint="eastAsia" w:ascii="Times New Roman" w:hAnsi="Times New Roman" w:eastAsia="宋体" w:cs="Times New Roman"/>
                      <w:color w:val="auto"/>
                      <w:kern w:val="0"/>
                      <w:sz w:val="21"/>
                      <w:szCs w:val="21"/>
                    </w:rPr>
                    <w:t>。分区暂存废弃组件、</w:t>
                  </w:r>
                  <w:r>
                    <w:rPr>
                      <w:rFonts w:ascii="Times New Roman" w:hAnsi="Times New Roman" w:eastAsia="宋体" w:cs="Times New Roman"/>
                      <w:color w:val="auto"/>
                      <w:kern w:val="0"/>
                      <w:sz w:val="21"/>
                      <w:szCs w:val="21"/>
                    </w:rPr>
                    <w:t>废矿物油、</w:t>
                  </w:r>
                  <w:r>
                    <w:rPr>
                      <w:rFonts w:hint="eastAsia" w:ascii="Times New Roman" w:hAnsi="Times New Roman" w:eastAsia="宋体" w:cs="Times New Roman"/>
                      <w:color w:val="auto"/>
                      <w:kern w:val="0"/>
                      <w:sz w:val="21"/>
                      <w:szCs w:val="21"/>
                    </w:rPr>
                    <w:t>废铅蓄电池、废紫外灯管等危险固废，委托有资质的危废处置单位定期清运处置</w:t>
                  </w:r>
                  <w:r>
                    <w:rPr>
                      <w:rFonts w:ascii="Times New Roman" w:hAnsi="Times New Roman" w:eastAsia="宋体" w:cs="Times New Roman"/>
                      <w:color w:val="auto"/>
                      <w:kern w:val="0"/>
                      <w:sz w:val="21"/>
                      <w:szCs w:val="21"/>
                    </w:rPr>
                    <w:t>。</w:t>
                  </w:r>
                </w:p>
              </w:tc>
              <w:tc>
                <w:tcPr>
                  <w:tcW w:w="1760" w:type="pct"/>
                  <w:noWrap w:val="0"/>
                  <w:vAlign w:val="center"/>
                </w:tcPr>
                <w:p>
                  <w:pPr>
                    <w:keepNext w:val="0"/>
                    <w:keepLines w:val="0"/>
                    <w:pageBreakBefore w:val="0"/>
                    <w:kinsoku/>
                    <w:wordWrap w:val="0"/>
                    <w:overflowPunct/>
                    <w:topLinePunct w:val="0"/>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rPr>
                    <w:t>仓库内设置一间危废暂存间，面积</w:t>
                  </w:r>
                  <w:r>
                    <w:rPr>
                      <w:rFonts w:hint="eastAsia" w:ascii="Times New Roman" w:hAnsi="Times New Roman" w:eastAsia="宋体" w:cs="Times New Roman"/>
                      <w:color w:val="auto"/>
                      <w:kern w:val="0"/>
                      <w:sz w:val="21"/>
                      <w:szCs w:val="21"/>
                    </w:rPr>
                    <w:t>2</w:t>
                  </w:r>
                  <w:r>
                    <w:rPr>
                      <w:rFonts w:ascii="Times New Roman" w:hAnsi="Times New Roman" w:eastAsia="宋体" w:cs="Times New Roman"/>
                      <w:color w:val="auto"/>
                      <w:kern w:val="0"/>
                      <w:sz w:val="21"/>
                      <w:szCs w:val="21"/>
                    </w:rPr>
                    <w:t>0m</w:t>
                  </w:r>
                  <w:r>
                    <w:rPr>
                      <w:rFonts w:ascii="Times New Roman" w:hAnsi="Times New Roman" w:eastAsia="宋体" w:cs="Times New Roman"/>
                      <w:color w:val="auto"/>
                      <w:kern w:val="0"/>
                      <w:sz w:val="21"/>
                      <w:szCs w:val="21"/>
                      <w:vertAlign w:val="superscript"/>
                    </w:rPr>
                    <w:t>2</w:t>
                  </w:r>
                  <w:r>
                    <w:rPr>
                      <w:rFonts w:hint="eastAsia" w:ascii="Times New Roman" w:hAnsi="Times New Roman" w:eastAsia="宋体" w:cs="Times New Roman"/>
                      <w:color w:val="auto"/>
                      <w:kern w:val="0"/>
                      <w:sz w:val="21"/>
                      <w:szCs w:val="21"/>
                    </w:rPr>
                    <w:t>。分区暂存废弃组件、</w:t>
                  </w:r>
                  <w:r>
                    <w:rPr>
                      <w:rFonts w:ascii="Times New Roman" w:hAnsi="Times New Roman" w:eastAsia="宋体" w:cs="Times New Roman"/>
                      <w:color w:val="auto"/>
                      <w:kern w:val="0"/>
                      <w:sz w:val="21"/>
                      <w:szCs w:val="21"/>
                    </w:rPr>
                    <w:t>废矿物油、</w:t>
                  </w:r>
                  <w:r>
                    <w:rPr>
                      <w:rFonts w:hint="eastAsia" w:ascii="Times New Roman" w:hAnsi="Times New Roman" w:eastAsia="宋体" w:cs="Times New Roman"/>
                      <w:color w:val="auto"/>
                      <w:kern w:val="0"/>
                      <w:sz w:val="21"/>
                      <w:szCs w:val="21"/>
                    </w:rPr>
                    <w:t>废铅蓄电池、废紫外灯管等危险固废，委托有资质的危废处置单位定期清运处置</w:t>
                  </w:r>
                  <w:r>
                    <w:rPr>
                      <w:rFonts w:ascii="Times New Roman" w:hAnsi="Times New Roman" w:eastAsia="宋体" w:cs="Times New Roman"/>
                      <w:color w:val="auto"/>
                      <w:kern w:val="0"/>
                      <w:sz w:val="21"/>
                      <w:szCs w:val="21"/>
                    </w:rPr>
                    <w:t>。</w:t>
                  </w:r>
                </w:p>
              </w:tc>
              <w:tc>
                <w:tcPr>
                  <w:tcW w:w="557" w:type="pc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spacing w:val="-9"/>
                      <w:sz w:val="21"/>
                      <w:szCs w:val="21"/>
                      <w:highlight w:val="none"/>
                      <w:lang w:val="en-US" w:eastAsia="zh-CN"/>
                    </w:rPr>
                    <w:t>与原环评阶段一致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316" w:type="pct"/>
                  <w:vMerge w:val="restar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风险</w:t>
                  </w:r>
                </w:p>
              </w:tc>
              <w:tc>
                <w:tcPr>
                  <w:tcW w:w="273" w:type="pct"/>
                  <w:vMerge w:val="restar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事故油池</w:t>
                  </w:r>
                </w:p>
              </w:tc>
              <w:tc>
                <w:tcPr>
                  <w:tcW w:w="1839" w:type="pc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升压站生产区设1</w:t>
                  </w:r>
                  <w:r>
                    <w:rPr>
                      <w:rFonts w:hint="eastAsia" w:ascii="Times New Roman" w:hAnsi="Times New Roman" w:eastAsia="宋体" w:cs="Times New Roman"/>
                      <w:color w:val="auto"/>
                      <w:kern w:val="0"/>
                      <w:sz w:val="21"/>
                      <w:szCs w:val="21"/>
                    </w:rPr>
                    <w:t>个事故油池，容积为</w:t>
                  </w:r>
                  <w:r>
                    <w:rPr>
                      <w:rFonts w:ascii="Times New Roman" w:hAnsi="Times New Roman" w:eastAsia="宋体" w:cs="Times New Roman"/>
                      <w:color w:val="auto"/>
                      <w:kern w:val="0"/>
                      <w:sz w:val="21"/>
                      <w:szCs w:val="21"/>
                    </w:rPr>
                    <w:t>100m</w:t>
                  </w:r>
                  <w:r>
                    <w:rPr>
                      <w:rFonts w:ascii="Times New Roman" w:hAnsi="Times New Roman" w:eastAsia="宋体" w:cs="Times New Roman"/>
                      <w:color w:val="auto"/>
                      <w:kern w:val="0"/>
                      <w:sz w:val="21"/>
                      <w:szCs w:val="21"/>
                      <w:vertAlign w:val="superscript"/>
                    </w:rPr>
                    <w:t>3</w:t>
                  </w:r>
                  <w:r>
                    <w:rPr>
                      <w:rFonts w:hint="eastAsia" w:ascii="Times New Roman" w:hAnsi="Times New Roman" w:eastAsia="宋体" w:cs="Times New Roman"/>
                      <w:color w:val="auto"/>
                      <w:kern w:val="0"/>
                      <w:sz w:val="21"/>
                      <w:szCs w:val="21"/>
                    </w:rPr>
                    <w:t>，地埋式钢筋</w:t>
                  </w:r>
                  <w:r>
                    <w:rPr>
                      <w:rFonts w:ascii="Times New Roman" w:hAnsi="Times New Roman" w:eastAsia="宋体" w:cs="Times New Roman"/>
                      <w:color w:val="auto"/>
                      <w:kern w:val="0"/>
                      <w:sz w:val="21"/>
                      <w:szCs w:val="21"/>
                    </w:rPr>
                    <w:t>混凝土结构</w:t>
                  </w:r>
                  <w:r>
                    <w:rPr>
                      <w:rFonts w:hint="eastAsia" w:ascii="Times New Roman" w:hAnsi="Times New Roman" w:eastAsia="宋体" w:cs="Times New Roman"/>
                      <w:color w:val="auto"/>
                      <w:kern w:val="0"/>
                      <w:sz w:val="21"/>
                      <w:szCs w:val="21"/>
                    </w:rPr>
                    <w:t>，由排油管道与主变下集油坑连接。可收集事故状态下本期1台主变及预留</w:t>
                  </w:r>
                  <w:r>
                    <w:rPr>
                      <w:rFonts w:ascii="Times New Roman" w:hAnsi="Times New Roman" w:eastAsia="宋体" w:cs="Times New Roman"/>
                      <w:color w:val="auto"/>
                      <w:kern w:val="0"/>
                      <w:sz w:val="21"/>
                      <w:szCs w:val="21"/>
                    </w:rPr>
                    <w:t>1台主变的</w:t>
                  </w:r>
                  <w:r>
                    <w:rPr>
                      <w:rFonts w:hint="eastAsia" w:ascii="Times New Roman" w:hAnsi="Times New Roman" w:eastAsia="宋体" w:cs="Times New Roman"/>
                      <w:color w:val="auto"/>
                      <w:kern w:val="0"/>
                      <w:sz w:val="21"/>
                      <w:szCs w:val="21"/>
                    </w:rPr>
                    <w:t>1</w:t>
                  </w:r>
                  <w:r>
                    <w:rPr>
                      <w:rFonts w:ascii="Times New Roman" w:hAnsi="Times New Roman" w:eastAsia="宋体" w:cs="Times New Roman"/>
                      <w:color w:val="auto"/>
                      <w:kern w:val="0"/>
                      <w:sz w:val="21"/>
                      <w:szCs w:val="21"/>
                    </w:rPr>
                    <w:t>00%泄露油量。</w:t>
                  </w:r>
                </w:p>
              </w:tc>
              <w:tc>
                <w:tcPr>
                  <w:tcW w:w="1760" w:type="pct"/>
                  <w:noWrap w:val="0"/>
                  <w:vAlign w:val="center"/>
                </w:tcPr>
                <w:p>
                  <w:pPr>
                    <w:keepNext w:val="0"/>
                    <w:keepLines w:val="0"/>
                    <w:pageBreakBefore w:val="0"/>
                    <w:kinsoku/>
                    <w:wordWrap w:val="0"/>
                    <w:overflowPunct/>
                    <w:topLinePunct w:val="0"/>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rPr>
                    <w:t>升压站生产区设1</w:t>
                  </w:r>
                  <w:r>
                    <w:rPr>
                      <w:rFonts w:hint="eastAsia" w:ascii="Times New Roman" w:hAnsi="Times New Roman" w:eastAsia="宋体" w:cs="Times New Roman"/>
                      <w:color w:val="auto"/>
                      <w:kern w:val="0"/>
                      <w:sz w:val="21"/>
                      <w:szCs w:val="21"/>
                    </w:rPr>
                    <w:t>个事故油池，容积为</w:t>
                  </w:r>
                  <w:r>
                    <w:rPr>
                      <w:rFonts w:hint="eastAsia" w:cs="Times New Roman"/>
                      <w:color w:val="auto"/>
                      <w:kern w:val="0"/>
                      <w:sz w:val="21"/>
                      <w:szCs w:val="21"/>
                      <w:lang w:val="en-US" w:eastAsia="zh-CN"/>
                    </w:rPr>
                    <w:t>30</w:t>
                  </w:r>
                  <w:r>
                    <w:rPr>
                      <w:rFonts w:ascii="Times New Roman" w:hAnsi="Times New Roman" w:eastAsia="宋体" w:cs="Times New Roman"/>
                      <w:color w:val="auto"/>
                      <w:kern w:val="0"/>
                      <w:sz w:val="21"/>
                      <w:szCs w:val="21"/>
                    </w:rPr>
                    <w:t>m</w:t>
                  </w:r>
                  <w:r>
                    <w:rPr>
                      <w:rFonts w:ascii="Times New Roman" w:hAnsi="Times New Roman" w:eastAsia="宋体" w:cs="Times New Roman"/>
                      <w:color w:val="auto"/>
                      <w:kern w:val="0"/>
                      <w:sz w:val="21"/>
                      <w:szCs w:val="21"/>
                      <w:vertAlign w:val="superscript"/>
                    </w:rPr>
                    <w:t>3</w:t>
                  </w:r>
                  <w:r>
                    <w:rPr>
                      <w:rFonts w:hint="eastAsia" w:ascii="Times New Roman" w:hAnsi="Times New Roman" w:eastAsia="宋体" w:cs="Times New Roman"/>
                      <w:color w:val="auto"/>
                      <w:kern w:val="0"/>
                      <w:sz w:val="21"/>
                      <w:szCs w:val="21"/>
                    </w:rPr>
                    <w:t>，地埋式钢筋</w:t>
                  </w:r>
                  <w:r>
                    <w:rPr>
                      <w:rFonts w:ascii="Times New Roman" w:hAnsi="Times New Roman" w:eastAsia="宋体" w:cs="Times New Roman"/>
                      <w:color w:val="auto"/>
                      <w:kern w:val="0"/>
                      <w:sz w:val="21"/>
                      <w:szCs w:val="21"/>
                    </w:rPr>
                    <w:t>混凝土结构</w:t>
                  </w:r>
                  <w:r>
                    <w:rPr>
                      <w:rFonts w:hint="eastAsia" w:ascii="Times New Roman" w:hAnsi="Times New Roman" w:eastAsia="宋体" w:cs="Times New Roman"/>
                      <w:color w:val="auto"/>
                      <w:kern w:val="0"/>
                      <w:sz w:val="21"/>
                      <w:szCs w:val="21"/>
                    </w:rPr>
                    <w:t>，由排油管道与主变下集油坑连接。可收集事故状态下本期1台主变及预留</w:t>
                  </w:r>
                  <w:r>
                    <w:rPr>
                      <w:rFonts w:ascii="Times New Roman" w:hAnsi="Times New Roman" w:eastAsia="宋体" w:cs="Times New Roman"/>
                      <w:color w:val="auto"/>
                      <w:kern w:val="0"/>
                      <w:sz w:val="21"/>
                      <w:szCs w:val="21"/>
                    </w:rPr>
                    <w:t>1台主变的</w:t>
                  </w:r>
                  <w:r>
                    <w:rPr>
                      <w:rFonts w:hint="eastAsia" w:ascii="Times New Roman" w:hAnsi="Times New Roman" w:eastAsia="宋体" w:cs="Times New Roman"/>
                      <w:color w:val="auto"/>
                      <w:kern w:val="0"/>
                      <w:sz w:val="21"/>
                      <w:szCs w:val="21"/>
                    </w:rPr>
                    <w:t>1</w:t>
                  </w:r>
                  <w:r>
                    <w:rPr>
                      <w:rFonts w:ascii="Times New Roman" w:hAnsi="Times New Roman" w:eastAsia="宋体" w:cs="Times New Roman"/>
                      <w:color w:val="auto"/>
                      <w:kern w:val="0"/>
                      <w:sz w:val="21"/>
                      <w:szCs w:val="21"/>
                    </w:rPr>
                    <w:t>00%泄露油量。</w:t>
                  </w:r>
                </w:p>
              </w:tc>
              <w:tc>
                <w:tcPr>
                  <w:tcW w:w="557" w:type="pct"/>
                  <w:noWrap w:val="0"/>
                  <w:vAlign w:val="center"/>
                </w:tcPr>
                <w:p>
                  <w:pPr>
                    <w:keepNext w:val="0"/>
                    <w:keepLines w:val="0"/>
                    <w:pageBreakBefore w:val="0"/>
                    <w:kinsoku/>
                    <w:wordWrap w:val="0"/>
                    <w:overflowPunct/>
                    <w:topLinePunct w:val="0"/>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根据咨询建设单位项目主变油量减少，事故油池容量减小</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316" w:type="pct"/>
                  <w:vMerge w:val="continue"/>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p>
              </w:tc>
              <w:tc>
                <w:tcPr>
                  <w:tcW w:w="273" w:type="pct"/>
                  <w:vMerge w:val="continue"/>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p>
              </w:tc>
              <w:tc>
                <w:tcPr>
                  <w:tcW w:w="1839" w:type="pc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光伏场区</w:t>
                  </w:r>
                  <w:r>
                    <w:rPr>
                      <w:rFonts w:hint="eastAsia" w:ascii="Times New Roman" w:hAnsi="Times New Roman" w:eastAsia="宋体" w:cs="Times New Roman"/>
                      <w:color w:val="auto"/>
                      <w:kern w:val="0"/>
                      <w:sz w:val="21"/>
                      <w:szCs w:val="21"/>
                    </w:rPr>
                    <w:t>54个</w:t>
                  </w:r>
                  <w:r>
                    <w:rPr>
                      <w:rFonts w:ascii="Times New Roman" w:hAnsi="Times New Roman" w:eastAsia="宋体" w:cs="Times New Roman"/>
                      <w:color w:val="auto"/>
                      <w:kern w:val="0"/>
                      <w:sz w:val="21"/>
                      <w:szCs w:val="21"/>
                    </w:rPr>
                    <w:t>箱变基础</w:t>
                  </w:r>
                  <w:r>
                    <w:rPr>
                      <w:rFonts w:hint="eastAsia" w:ascii="Times New Roman" w:hAnsi="Times New Roman" w:eastAsia="宋体" w:cs="Times New Roman"/>
                      <w:color w:val="auto"/>
                      <w:kern w:val="0"/>
                      <w:sz w:val="21"/>
                      <w:szCs w:val="21"/>
                    </w:rPr>
                    <w:t>内各</w:t>
                  </w:r>
                  <w:r>
                    <w:rPr>
                      <w:rFonts w:ascii="Times New Roman" w:hAnsi="Times New Roman" w:eastAsia="宋体" w:cs="Times New Roman"/>
                      <w:color w:val="auto"/>
                      <w:kern w:val="0"/>
                      <w:sz w:val="21"/>
                      <w:szCs w:val="21"/>
                    </w:rPr>
                    <w:t>配套设</w:t>
                  </w:r>
                  <w:r>
                    <w:rPr>
                      <w:rFonts w:hint="eastAsia" w:ascii="Times New Roman" w:hAnsi="Times New Roman" w:eastAsia="宋体" w:cs="Times New Roman"/>
                      <w:color w:val="auto"/>
                      <w:kern w:val="0"/>
                      <w:sz w:val="21"/>
                      <w:szCs w:val="21"/>
                    </w:rPr>
                    <w:t>事故</w:t>
                  </w:r>
                  <w:r>
                    <w:rPr>
                      <w:rFonts w:ascii="Times New Roman" w:hAnsi="Times New Roman" w:eastAsia="宋体" w:cs="Times New Roman"/>
                      <w:color w:val="auto"/>
                      <w:kern w:val="0"/>
                      <w:sz w:val="21"/>
                      <w:szCs w:val="21"/>
                    </w:rPr>
                    <w:t>集油池，容积为</w:t>
                  </w:r>
                  <w:r>
                    <w:rPr>
                      <w:rFonts w:hint="eastAsia" w:ascii="Times New Roman" w:hAnsi="Times New Roman" w:eastAsia="宋体" w:cs="Times New Roman"/>
                      <w:color w:val="auto"/>
                      <w:kern w:val="0"/>
                      <w:sz w:val="21"/>
                      <w:szCs w:val="21"/>
                    </w:rPr>
                    <w:t>0.1</w:t>
                  </w:r>
                  <w:r>
                    <w:rPr>
                      <w:rFonts w:ascii="Times New Roman" w:hAnsi="Times New Roman" w:eastAsia="宋体" w:cs="Times New Roman"/>
                      <w:color w:val="auto"/>
                      <w:kern w:val="0"/>
                      <w:sz w:val="21"/>
                      <w:szCs w:val="21"/>
                    </w:rPr>
                    <w:t>m</w:t>
                  </w:r>
                  <w:r>
                    <w:rPr>
                      <w:rFonts w:ascii="Times New Roman" w:hAnsi="Times New Roman" w:eastAsia="宋体" w:cs="Times New Roman"/>
                      <w:color w:val="auto"/>
                      <w:kern w:val="0"/>
                      <w:sz w:val="21"/>
                      <w:szCs w:val="21"/>
                      <w:vertAlign w:val="superscript"/>
                    </w:rPr>
                    <w:t>3</w:t>
                  </w:r>
                  <w:r>
                    <w:rPr>
                      <w:rFonts w:ascii="Times New Roman" w:hAnsi="Times New Roman" w:eastAsia="宋体" w:cs="Times New Roman"/>
                      <w:color w:val="auto"/>
                      <w:kern w:val="0"/>
                      <w:sz w:val="21"/>
                      <w:szCs w:val="21"/>
                    </w:rPr>
                    <w:t>。</w:t>
                  </w:r>
                </w:p>
              </w:tc>
              <w:tc>
                <w:tcPr>
                  <w:tcW w:w="1760" w:type="pct"/>
                  <w:noWrap w:val="0"/>
                  <w:vAlign w:val="center"/>
                </w:tcPr>
                <w:p>
                  <w:pPr>
                    <w:keepNext w:val="0"/>
                    <w:keepLines w:val="0"/>
                    <w:pageBreakBefore w:val="0"/>
                    <w:kinsoku/>
                    <w:wordWrap w:val="0"/>
                    <w:overflowPunct/>
                    <w:topLinePunct w:val="0"/>
                    <w:bidi w:val="0"/>
                    <w:adjustRightInd w:val="0"/>
                    <w:snapToGrid w:val="0"/>
                    <w:jc w:val="center"/>
                    <w:textAlignment w:val="auto"/>
                    <w:rPr>
                      <w:rFonts w:hint="eastAsia" w:ascii="Times New Roman" w:hAnsi="Times New Roman" w:eastAsia="宋体" w:cs="Times New Roman"/>
                      <w:color w:val="auto"/>
                      <w:sz w:val="21"/>
                      <w:szCs w:val="21"/>
                    </w:rPr>
                  </w:pPr>
                  <w:r>
                    <w:rPr>
                      <w:rFonts w:ascii="Times New Roman" w:hAnsi="Times New Roman" w:eastAsia="宋体" w:cs="Times New Roman"/>
                      <w:color w:val="auto"/>
                      <w:kern w:val="0"/>
                      <w:sz w:val="21"/>
                      <w:szCs w:val="21"/>
                    </w:rPr>
                    <w:t>光伏场区</w:t>
                  </w:r>
                  <w:r>
                    <w:rPr>
                      <w:rFonts w:hint="eastAsia" w:ascii="Times New Roman" w:hAnsi="Times New Roman" w:eastAsia="宋体" w:cs="Times New Roman"/>
                      <w:color w:val="auto"/>
                      <w:kern w:val="0"/>
                      <w:sz w:val="21"/>
                      <w:szCs w:val="21"/>
                    </w:rPr>
                    <w:t>54个</w:t>
                  </w:r>
                  <w:r>
                    <w:rPr>
                      <w:rFonts w:ascii="Times New Roman" w:hAnsi="Times New Roman" w:eastAsia="宋体" w:cs="Times New Roman"/>
                      <w:color w:val="auto"/>
                      <w:kern w:val="0"/>
                      <w:sz w:val="21"/>
                      <w:szCs w:val="21"/>
                    </w:rPr>
                    <w:t>箱变基础</w:t>
                  </w:r>
                  <w:r>
                    <w:rPr>
                      <w:rFonts w:hint="eastAsia" w:ascii="Times New Roman" w:hAnsi="Times New Roman" w:eastAsia="宋体" w:cs="Times New Roman"/>
                      <w:color w:val="auto"/>
                      <w:kern w:val="0"/>
                      <w:sz w:val="21"/>
                      <w:szCs w:val="21"/>
                    </w:rPr>
                    <w:t>内各</w:t>
                  </w:r>
                  <w:r>
                    <w:rPr>
                      <w:rFonts w:ascii="Times New Roman" w:hAnsi="Times New Roman" w:eastAsia="宋体" w:cs="Times New Roman"/>
                      <w:color w:val="auto"/>
                      <w:kern w:val="0"/>
                      <w:sz w:val="21"/>
                      <w:szCs w:val="21"/>
                    </w:rPr>
                    <w:t>配套设</w:t>
                  </w:r>
                  <w:r>
                    <w:rPr>
                      <w:rFonts w:hint="eastAsia" w:ascii="Times New Roman" w:hAnsi="Times New Roman" w:eastAsia="宋体" w:cs="Times New Roman"/>
                      <w:color w:val="auto"/>
                      <w:kern w:val="0"/>
                      <w:sz w:val="21"/>
                      <w:szCs w:val="21"/>
                    </w:rPr>
                    <w:t>事故</w:t>
                  </w:r>
                  <w:r>
                    <w:rPr>
                      <w:rFonts w:ascii="Times New Roman" w:hAnsi="Times New Roman" w:eastAsia="宋体" w:cs="Times New Roman"/>
                      <w:color w:val="auto"/>
                      <w:kern w:val="0"/>
                      <w:sz w:val="21"/>
                      <w:szCs w:val="21"/>
                    </w:rPr>
                    <w:t>集油池，容积为</w:t>
                  </w:r>
                  <w:r>
                    <w:rPr>
                      <w:rFonts w:hint="eastAsia" w:ascii="Times New Roman" w:hAnsi="Times New Roman" w:eastAsia="宋体" w:cs="Times New Roman"/>
                      <w:color w:val="auto"/>
                      <w:kern w:val="0"/>
                      <w:sz w:val="21"/>
                      <w:szCs w:val="21"/>
                    </w:rPr>
                    <w:t>0.1</w:t>
                  </w:r>
                  <w:r>
                    <w:rPr>
                      <w:rFonts w:ascii="Times New Roman" w:hAnsi="Times New Roman" w:eastAsia="宋体" w:cs="Times New Roman"/>
                      <w:color w:val="auto"/>
                      <w:kern w:val="0"/>
                      <w:sz w:val="21"/>
                      <w:szCs w:val="21"/>
                    </w:rPr>
                    <w:t>m</w:t>
                  </w:r>
                  <w:r>
                    <w:rPr>
                      <w:rFonts w:ascii="Times New Roman" w:hAnsi="Times New Roman" w:eastAsia="宋体" w:cs="Times New Roman"/>
                      <w:color w:val="auto"/>
                      <w:kern w:val="0"/>
                      <w:sz w:val="21"/>
                      <w:szCs w:val="21"/>
                      <w:vertAlign w:val="superscript"/>
                    </w:rPr>
                    <w:t>3</w:t>
                  </w:r>
                  <w:r>
                    <w:rPr>
                      <w:rFonts w:ascii="Times New Roman" w:hAnsi="Times New Roman" w:eastAsia="宋体" w:cs="Times New Roman"/>
                      <w:color w:val="auto"/>
                      <w:kern w:val="0"/>
                      <w:sz w:val="21"/>
                      <w:szCs w:val="21"/>
                    </w:rPr>
                    <w:t>。</w:t>
                  </w:r>
                </w:p>
              </w:tc>
              <w:tc>
                <w:tcPr>
                  <w:tcW w:w="557" w:type="pc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spacing w:val="-9"/>
                      <w:sz w:val="21"/>
                      <w:szCs w:val="21"/>
                      <w:highlight w:val="none"/>
                      <w:lang w:val="en-US" w:eastAsia="zh-CN"/>
                    </w:rPr>
                    <w:t>与原环评阶段一致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590" w:type="pct"/>
                  <w:gridSpan w:val="2"/>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绿化</w:t>
                  </w:r>
                </w:p>
              </w:tc>
              <w:tc>
                <w:tcPr>
                  <w:tcW w:w="1839"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升压站绿化面积</w:t>
                  </w:r>
                  <w:r>
                    <w:rPr>
                      <w:rFonts w:ascii="Times New Roman" w:hAnsi="Times New Roman" w:eastAsia="宋体" w:cs="Times New Roman"/>
                      <w:color w:val="auto"/>
                      <w:kern w:val="2"/>
                      <w:sz w:val="21"/>
                      <w:szCs w:val="21"/>
                      <w:lang w:val="en-US" w:eastAsia="zh-CN" w:bidi="ar-SA"/>
                    </w:rPr>
                    <w:t>400</w:t>
                  </w:r>
                  <w:r>
                    <w:rPr>
                      <w:rFonts w:ascii="Times New Roman" w:hAnsi="Times New Roman" w:eastAsia="宋体" w:cs="Times New Roman"/>
                      <w:color w:val="auto"/>
                      <w:kern w:val="0"/>
                      <w:sz w:val="21"/>
                      <w:szCs w:val="21"/>
                      <w:lang w:val="en-US" w:eastAsia="zh-CN" w:bidi="ar-SA"/>
                    </w:rPr>
                    <w:t>m</w:t>
                  </w:r>
                  <w:r>
                    <w:rPr>
                      <w:rFonts w:ascii="Times New Roman" w:hAnsi="Times New Roman" w:eastAsia="宋体" w:cs="Times New Roman"/>
                      <w:color w:val="auto"/>
                      <w:kern w:val="0"/>
                      <w:sz w:val="21"/>
                      <w:szCs w:val="21"/>
                      <w:vertAlign w:val="superscript"/>
                      <w:lang w:val="en-US" w:eastAsia="zh-CN" w:bidi="ar-SA"/>
                    </w:rPr>
                    <w:t>2</w:t>
                  </w:r>
                  <w:r>
                    <w:rPr>
                      <w:rFonts w:hint="eastAsia" w:ascii="Times New Roman" w:hAnsi="Times New Roman" w:eastAsia="宋体" w:cs="Times New Roman"/>
                      <w:color w:val="auto"/>
                      <w:kern w:val="0"/>
                      <w:sz w:val="21"/>
                      <w:szCs w:val="21"/>
                      <w:lang w:val="en-US" w:eastAsia="zh-CN" w:bidi="ar-SA"/>
                    </w:rPr>
                    <w:t>。施工临时营场地、弃渣场、地埋电缆施工区等施工迹地全部复垦</w:t>
                  </w:r>
                  <w:r>
                    <w:rPr>
                      <w:rFonts w:ascii="Times New Roman" w:hAnsi="Times New Roman" w:eastAsia="宋体" w:cs="Times New Roman"/>
                      <w:color w:val="auto"/>
                      <w:kern w:val="0"/>
                      <w:sz w:val="21"/>
                      <w:szCs w:val="21"/>
                      <w:lang w:val="en-US" w:eastAsia="zh-CN" w:bidi="ar-SA"/>
                    </w:rPr>
                    <w:t>。</w:t>
                  </w:r>
                </w:p>
              </w:tc>
              <w:tc>
                <w:tcPr>
                  <w:tcW w:w="1760"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kern w:val="0"/>
                      <w:sz w:val="21"/>
                      <w:szCs w:val="21"/>
                      <w:lang w:val="en-US" w:eastAsia="zh-CN" w:bidi="ar-SA"/>
                    </w:rPr>
                    <w:t>升压站绿化面积</w:t>
                  </w:r>
                  <w:r>
                    <w:rPr>
                      <w:rFonts w:ascii="Times New Roman" w:hAnsi="Times New Roman" w:eastAsia="宋体" w:cs="Times New Roman"/>
                      <w:color w:val="auto"/>
                      <w:kern w:val="2"/>
                      <w:sz w:val="21"/>
                      <w:szCs w:val="21"/>
                      <w:lang w:val="en-US" w:eastAsia="zh-CN" w:bidi="ar-SA"/>
                    </w:rPr>
                    <w:t>400</w:t>
                  </w:r>
                  <w:r>
                    <w:rPr>
                      <w:rFonts w:ascii="Times New Roman" w:hAnsi="Times New Roman" w:eastAsia="宋体" w:cs="Times New Roman"/>
                      <w:color w:val="auto"/>
                      <w:kern w:val="0"/>
                      <w:sz w:val="21"/>
                      <w:szCs w:val="21"/>
                      <w:lang w:val="en-US" w:eastAsia="zh-CN" w:bidi="ar-SA"/>
                    </w:rPr>
                    <w:t>m</w:t>
                  </w:r>
                  <w:r>
                    <w:rPr>
                      <w:rFonts w:ascii="Times New Roman" w:hAnsi="Times New Roman" w:eastAsia="宋体" w:cs="Times New Roman"/>
                      <w:color w:val="auto"/>
                      <w:kern w:val="0"/>
                      <w:sz w:val="21"/>
                      <w:szCs w:val="21"/>
                      <w:vertAlign w:val="superscript"/>
                      <w:lang w:val="en-US" w:eastAsia="zh-CN" w:bidi="ar-SA"/>
                    </w:rPr>
                    <w:t>2</w:t>
                  </w:r>
                  <w:r>
                    <w:rPr>
                      <w:rFonts w:hint="eastAsia" w:ascii="Times New Roman" w:hAnsi="Times New Roman" w:eastAsia="宋体" w:cs="Times New Roman"/>
                      <w:color w:val="auto"/>
                      <w:kern w:val="0"/>
                      <w:sz w:val="21"/>
                      <w:szCs w:val="21"/>
                      <w:lang w:val="en-US" w:eastAsia="zh-CN" w:bidi="ar-SA"/>
                    </w:rPr>
                    <w:t>。施工临时营场地、弃渣场、地埋电缆施工区等施工迹地全部复垦</w:t>
                  </w:r>
                  <w:r>
                    <w:rPr>
                      <w:rFonts w:ascii="Times New Roman" w:hAnsi="Times New Roman" w:eastAsia="宋体" w:cs="Times New Roman"/>
                      <w:color w:val="auto"/>
                      <w:kern w:val="0"/>
                      <w:sz w:val="21"/>
                      <w:szCs w:val="21"/>
                      <w:lang w:val="en-US" w:eastAsia="zh-CN" w:bidi="ar-SA"/>
                    </w:rPr>
                    <w:t>。</w:t>
                  </w:r>
                </w:p>
              </w:tc>
              <w:tc>
                <w:tcPr>
                  <w:tcW w:w="557" w:type="pc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pacing w:val="-9"/>
                      <w:sz w:val="21"/>
                      <w:szCs w:val="21"/>
                      <w:highlight w:val="none"/>
                      <w:lang w:val="en-US" w:eastAsia="zh-CN"/>
                    </w:rPr>
                    <w:t>与原环评阶段一致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restart"/>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临时工程</w:t>
                  </w:r>
                </w:p>
              </w:tc>
              <w:tc>
                <w:tcPr>
                  <w:tcW w:w="590" w:type="pct"/>
                  <w:gridSpan w:val="2"/>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临时</w:t>
                  </w:r>
                  <w:r>
                    <w:rPr>
                      <w:rFonts w:ascii="Times New Roman" w:hAnsi="Times New Roman" w:eastAsia="宋体" w:cs="Times New Roman"/>
                      <w:color w:val="auto"/>
                      <w:kern w:val="0"/>
                      <w:sz w:val="21"/>
                      <w:szCs w:val="21"/>
                    </w:rPr>
                    <w:t>施工生产生活区</w:t>
                  </w:r>
                </w:p>
              </w:tc>
              <w:tc>
                <w:tcPr>
                  <w:tcW w:w="1839" w:type="pc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施工共</w:t>
                  </w:r>
                  <w:r>
                    <w:rPr>
                      <w:rFonts w:hint="eastAsia" w:ascii="Times New Roman" w:hAnsi="Times New Roman" w:eastAsia="宋体" w:cs="Times New Roman"/>
                      <w:color w:val="auto"/>
                      <w:kern w:val="0"/>
                      <w:sz w:val="21"/>
                      <w:szCs w:val="21"/>
                    </w:rPr>
                    <w:t>布4处临时施工生产生活区。其中，1</w:t>
                  </w:r>
                  <w:r>
                    <w:rPr>
                      <w:rFonts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rPr>
                    <w:t>、2</w:t>
                  </w:r>
                  <w:r>
                    <w:rPr>
                      <w:rFonts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rPr>
                    <w:t>施工生产生活区分别位于老凹塘片区西光伏场区处、东光伏场区，3</w:t>
                  </w:r>
                  <w:r>
                    <w:rPr>
                      <w:rFonts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rPr>
                    <w:t>施工生产生活区位于沙沟片区，4</w:t>
                  </w:r>
                  <w:r>
                    <w:rPr>
                      <w:rFonts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rPr>
                    <w:t>施工生产生活区位于马头地片区，临时占地面积共0</w:t>
                  </w:r>
                  <w:r>
                    <w:rPr>
                      <w:rFonts w:ascii="Times New Roman" w:hAnsi="Times New Roman" w:eastAsia="宋体" w:cs="Times New Roman"/>
                      <w:color w:val="auto"/>
                      <w:kern w:val="0"/>
                      <w:sz w:val="21"/>
                      <w:szCs w:val="21"/>
                    </w:rPr>
                    <w:t>.45hm</w:t>
                  </w:r>
                  <w:r>
                    <w:rPr>
                      <w:rFonts w:ascii="Times New Roman" w:hAnsi="Times New Roman" w:eastAsia="宋体" w:cs="Times New Roman"/>
                      <w:color w:val="auto"/>
                      <w:kern w:val="0"/>
                      <w:sz w:val="21"/>
                      <w:szCs w:val="21"/>
                      <w:vertAlign w:val="superscript"/>
                    </w:rPr>
                    <w:t>2</w:t>
                  </w:r>
                  <w:r>
                    <w:rPr>
                      <w:rFonts w:hint="eastAsia" w:ascii="Times New Roman" w:hAnsi="Times New Roman" w:eastAsia="宋体" w:cs="Times New Roman"/>
                      <w:color w:val="auto"/>
                      <w:kern w:val="0"/>
                      <w:sz w:val="21"/>
                      <w:szCs w:val="21"/>
                    </w:rPr>
                    <w:t>；</w:t>
                  </w:r>
                  <w:r>
                    <w:rPr>
                      <w:rFonts w:ascii="Times New Roman" w:hAnsi="Times New Roman" w:eastAsia="宋体" w:cs="Times New Roman"/>
                      <w:color w:val="auto"/>
                      <w:kern w:val="0"/>
                      <w:sz w:val="21"/>
                      <w:szCs w:val="21"/>
                    </w:rPr>
                    <w:t xml:space="preserve"> </w:t>
                  </w:r>
                </w:p>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施工临时生产区主要布置材料堆场、材料加工区；施工临时生活区主要以工棚和活动板房形式布置。</w:t>
                  </w:r>
                </w:p>
              </w:tc>
              <w:tc>
                <w:tcPr>
                  <w:tcW w:w="1760"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hint="eastAsia" w:ascii="Times New Roman" w:hAnsi="Times New Roman" w:eastAsia="宋体" w:cs="Times New Roman"/>
                      <w:color w:val="auto"/>
                      <w:sz w:val="21"/>
                      <w:szCs w:val="21"/>
                    </w:rPr>
                  </w:pPr>
                  <w:r>
                    <w:rPr>
                      <w:rFonts w:ascii="Times New Roman" w:hAnsi="Times New Roman" w:eastAsia="宋体" w:cs="Times New Roman"/>
                      <w:color w:val="auto"/>
                      <w:kern w:val="0"/>
                      <w:sz w:val="21"/>
                      <w:szCs w:val="21"/>
                    </w:rPr>
                    <w:t>施工共</w:t>
                  </w:r>
                  <w:r>
                    <w:rPr>
                      <w:rFonts w:hint="eastAsia" w:ascii="Times New Roman" w:hAnsi="Times New Roman" w:eastAsia="宋体" w:cs="Times New Roman"/>
                      <w:color w:val="auto"/>
                      <w:kern w:val="0"/>
                      <w:sz w:val="21"/>
                      <w:szCs w:val="21"/>
                    </w:rPr>
                    <w:t>布</w:t>
                  </w:r>
                  <w:r>
                    <w:rPr>
                      <w:rFonts w:hint="eastAsia" w:ascii="Times New Roman" w:hAnsi="Times New Roman" w:eastAsia="宋体" w:cs="Times New Roman"/>
                      <w:color w:val="auto"/>
                      <w:kern w:val="0"/>
                      <w:sz w:val="21"/>
                      <w:szCs w:val="21"/>
                      <w:lang w:val="en-US" w:eastAsia="zh-CN"/>
                    </w:rPr>
                    <w:t>3</w:t>
                  </w:r>
                  <w:r>
                    <w:rPr>
                      <w:rFonts w:hint="eastAsia" w:ascii="Times New Roman" w:hAnsi="Times New Roman" w:eastAsia="宋体" w:cs="Times New Roman"/>
                      <w:color w:val="auto"/>
                      <w:kern w:val="0"/>
                      <w:sz w:val="21"/>
                      <w:szCs w:val="21"/>
                    </w:rPr>
                    <w:t>处临时施工生产生活区。临时占地面积共</w:t>
                  </w:r>
                  <w:r>
                    <w:rPr>
                      <w:rFonts w:hint="eastAsia" w:ascii="Times New Roman" w:hAnsi="Times New Roman" w:eastAsia="宋体" w:cs="Times New Roman"/>
                      <w:color w:val="auto"/>
                      <w:kern w:val="0"/>
                      <w:sz w:val="21"/>
                      <w:szCs w:val="21"/>
                      <w:lang w:val="en-US" w:eastAsia="zh-CN"/>
                    </w:rPr>
                    <w:t>1.19</w:t>
                  </w:r>
                  <w:r>
                    <w:rPr>
                      <w:rFonts w:ascii="Times New Roman" w:hAnsi="Times New Roman" w:eastAsia="宋体" w:cs="Times New Roman"/>
                      <w:color w:val="auto"/>
                      <w:kern w:val="0"/>
                      <w:sz w:val="21"/>
                      <w:szCs w:val="21"/>
                    </w:rPr>
                    <w:t>hm</w:t>
                  </w:r>
                  <w:r>
                    <w:rPr>
                      <w:rFonts w:ascii="Times New Roman" w:hAnsi="Times New Roman" w:eastAsia="宋体" w:cs="Times New Roman"/>
                      <w:color w:val="auto"/>
                      <w:kern w:val="0"/>
                      <w:sz w:val="21"/>
                      <w:szCs w:val="21"/>
                      <w:vertAlign w:val="superscript"/>
                    </w:rPr>
                    <w:t>2</w:t>
                  </w:r>
                  <w:r>
                    <w:rPr>
                      <w:rFonts w:hint="eastAsia" w:ascii="Times New Roman" w:hAnsi="Times New Roman" w:eastAsia="宋体" w:cs="Times New Roman"/>
                      <w:color w:val="auto"/>
                      <w:kern w:val="0"/>
                      <w:sz w:val="21"/>
                      <w:szCs w:val="21"/>
                    </w:rPr>
                    <w:t>；施工临时生产区主要布置材料堆场、材料加工区；施工临时生活区主要以工棚和活动板房形式布置。</w:t>
                  </w:r>
                </w:p>
              </w:tc>
              <w:tc>
                <w:tcPr>
                  <w:tcW w:w="557" w:type="pct"/>
                  <w:noWrap w:val="0"/>
                  <w:vAlign w:val="center"/>
                </w:tcPr>
                <w:p>
                  <w:pPr>
                    <w:keepNext w:val="0"/>
                    <w:keepLines w:val="0"/>
                    <w:pageBreakBefore w:val="0"/>
                    <w:kinsoku/>
                    <w:wordWrap w:val="0"/>
                    <w:overflowPunct/>
                    <w:topLinePunct w:val="0"/>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片区减少，生活生产区减少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590" w:type="pct"/>
                  <w:gridSpan w:val="2"/>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渣场</w:t>
                  </w:r>
                </w:p>
              </w:tc>
              <w:tc>
                <w:tcPr>
                  <w:tcW w:w="1839" w:type="pc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项目共设6个渣场，分别位于老凹塘片、M24片区、沙沟片区、松树湾片区、马头地片区，为沟谷型渣场。6个渣场总占地面积2.86</w:t>
                  </w:r>
                  <w:r>
                    <w:rPr>
                      <w:rFonts w:ascii="Times New Roman" w:hAnsi="Times New Roman" w:eastAsia="宋体" w:cs="Times New Roman"/>
                      <w:color w:val="auto"/>
                      <w:kern w:val="0"/>
                      <w:sz w:val="21"/>
                      <w:szCs w:val="21"/>
                    </w:rPr>
                    <w:t>hm</w:t>
                  </w:r>
                  <w:r>
                    <w:rPr>
                      <w:rFonts w:ascii="Times New Roman" w:hAnsi="Times New Roman" w:eastAsia="宋体" w:cs="Times New Roman"/>
                      <w:color w:val="auto"/>
                      <w:kern w:val="0"/>
                      <w:sz w:val="21"/>
                      <w:szCs w:val="21"/>
                      <w:vertAlign w:val="superscript"/>
                    </w:rPr>
                    <w:t>2</w:t>
                  </w:r>
                  <w:r>
                    <w:rPr>
                      <w:rFonts w:hint="eastAsia" w:ascii="Times New Roman" w:hAnsi="Times New Roman" w:eastAsia="宋体" w:cs="Times New Roman"/>
                      <w:color w:val="auto"/>
                      <w:kern w:val="0"/>
                      <w:sz w:val="21"/>
                      <w:szCs w:val="21"/>
                    </w:rPr>
                    <w:t>，总容量1</w:t>
                  </w:r>
                  <w:r>
                    <w:rPr>
                      <w:rFonts w:ascii="Times New Roman" w:hAnsi="Times New Roman" w:eastAsia="宋体" w:cs="Times New Roman"/>
                      <w:color w:val="auto"/>
                      <w:kern w:val="0"/>
                      <w:sz w:val="21"/>
                      <w:szCs w:val="21"/>
                    </w:rPr>
                    <w:t>3</w:t>
                  </w:r>
                  <w:r>
                    <w:rPr>
                      <w:rFonts w:hint="eastAsia" w:ascii="Times New Roman" w:hAnsi="Times New Roman" w:eastAsia="宋体" w:cs="Times New Roman"/>
                      <w:color w:val="auto"/>
                      <w:kern w:val="0"/>
                      <w:sz w:val="21"/>
                      <w:szCs w:val="21"/>
                    </w:rPr>
                    <w:t>万m</w:t>
                  </w:r>
                  <w:r>
                    <w:rPr>
                      <w:rFonts w:ascii="Times New Roman" w:hAnsi="Times New Roman" w:eastAsia="宋体" w:cs="Times New Roman"/>
                      <w:color w:val="auto"/>
                      <w:kern w:val="0"/>
                      <w:sz w:val="21"/>
                      <w:szCs w:val="21"/>
                      <w:vertAlign w:val="superscript"/>
                    </w:rPr>
                    <w:t>3</w:t>
                  </w:r>
                  <w:r>
                    <w:rPr>
                      <w:rFonts w:hint="eastAsia" w:ascii="Times New Roman" w:hAnsi="Times New Roman" w:eastAsia="宋体" w:cs="Times New Roman"/>
                      <w:color w:val="auto"/>
                      <w:kern w:val="0"/>
                      <w:sz w:val="21"/>
                      <w:szCs w:val="21"/>
                    </w:rPr>
                    <w:t>，共堆存工程弃渣9</w:t>
                  </w:r>
                  <w:r>
                    <w:rPr>
                      <w:rFonts w:ascii="Times New Roman" w:hAnsi="Times New Roman" w:eastAsia="宋体" w:cs="Times New Roman"/>
                      <w:color w:val="auto"/>
                      <w:kern w:val="0"/>
                      <w:sz w:val="21"/>
                      <w:szCs w:val="21"/>
                    </w:rPr>
                    <w:t>.71万</w:t>
                  </w:r>
                  <w:r>
                    <w:rPr>
                      <w:rFonts w:hint="eastAsia" w:ascii="Times New Roman" w:hAnsi="Times New Roman" w:eastAsia="宋体" w:cs="Times New Roman"/>
                      <w:color w:val="auto"/>
                      <w:kern w:val="0"/>
                      <w:sz w:val="21"/>
                      <w:szCs w:val="21"/>
                    </w:rPr>
                    <w:t>m</w:t>
                  </w:r>
                  <w:r>
                    <w:rPr>
                      <w:rFonts w:ascii="Times New Roman" w:hAnsi="Times New Roman" w:eastAsia="宋体" w:cs="Times New Roman"/>
                      <w:color w:val="auto"/>
                      <w:kern w:val="0"/>
                      <w:sz w:val="21"/>
                      <w:szCs w:val="21"/>
                      <w:vertAlign w:val="superscript"/>
                    </w:rPr>
                    <w:t>3</w:t>
                  </w:r>
                  <w:r>
                    <w:rPr>
                      <w:rFonts w:ascii="Times New Roman" w:hAnsi="Times New Roman" w:eastAsia="宋体" w:cs="Times New Roman"/>
                      <w:color w:val="auto"/>
                      <w:kern w:val="0"/>
                      <w:sz w:val="21"/>
                      <w:szCs w:val="21"/>
                    </w:rPr>
                    <w:t>。</w:t>
                  </w:r>
                </w:p>
              </w:tc>
              <w:tc>
                <w:tcPr>
                  <w:tcW w:w="1760"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rPr>
                    <w:t>项目共设</w:t>
                  </w:r>
                  <w:r>
                    <w:rPr>
                      <w:rFonts w:hint="eastAsia" w:ascii="Times New Roman" w:hAnsi="Times New Roman" w:eastAsia="宋体" w:cs="Times New Roman"/>
                      <w:color w:val="auto"/>
                      <w:kern w:val="0"/>
                      <w:sz w:val="21"/>
                      <w:szCs w:val="21"/>
                      <w:lang w:val="en-US" w:eastAsia="zh-CN"/>
                    </w:rPr>
                    <w:t>3</w:t>
                  </w:r>
                  <w:r>
                    <w:rPr>
                      <w:rFonts w:hint="eastAsia" w:ascii="Times New Roman" w:hAnsi="Times New Roman" w:eastAsia="宋体" w:cs="Times New Roman"/>
                      <w:color w:val="auto"/>
                      <w:kern w:val="0"/>
                      <w:sz w:val="21"/>
                      <w:szCs w:val="21"/>
                    </w:rPr>
                    <w:t>个渣场，分别位于沙沟片区、松树湾片区，</w:t>
                  </w:r>
                  <w:r>
                    <w:rPr>
                      <w:rFonts w:hint="eastAsia" w:ascii="Times New Roman" w:hAnsi="Times New Roman" w:eastAsia="宋体" w:cs="Times New Roman"/>
                      <w:color w:val="auto"/>
                      <w:kern w:val="0"/>
                      <w:sz w:val="21"/>
                      <w:szCs w:val="21"/>
                      <w:lang w:val="en-US" w:eastAsia="zh-CN"/>
                    </w:rPr>
                    <w:t>其中沙沟片区设置两个渣场，松树湾设置1个。</w:t>
                  </w:r>
                  <w:r>
                    <w:rPr>
                      <w:rFonts w:hint="eastAsia" w:ascii="Times New Roman" w:hAnsi="Times New Roman" w:eastAsia="宋体" w:cs="Times New Roman"/>
                      <w:color w:val="auto"/>
                      <w:kern w:val="0"/>
                      <w:sz w:val="21"/>
                      <w:szCs w:val="21"/>
                    </w:rPr>
                    <w:t>为沟谷型渣场。</w:t>
                  </w:r>
                  <w:r>
                    <w:rPr>
                      <w:rFonts w:hint="eastAsia" w:ascii="Times New Roman" w:hAnsi="Times New Roman" w:eastAsia="宋体" w:cs="Times New Roman"/>
                      <w:color w:val="auto"/>
                      <w:kern w:val="0"/>
                      <w:sz w:val="21"/>
                      <w:szCs w:val="21"/>
                      <w:lang w:val="en-US" w:eastAsia="zh-CN"/>
                    </w:rPr>
                    <w:t>3</w:t>
                  </w:r>
                  <w:r>
                    <w:rPr>
                      <w:rFonts w:hint="eastAsia" w:ascii="Times New Roman" w:hAnsi="Times New Roman" w:eastAsia="宋体" w:cs="Times New Roman"/>
                      <w:color w:val="auto"/>
                      <w:kern w:val="0"/>
                      <w:sz w:val="21"/>
                      <w:szCs w:val="21"/>
                    </w:rPr>
                    <w:t>个渣场总占地面积</w:t>
                  </w:r>
                  <w:r>
                    <w:rPr>
                      <w:rFonts w:hint="eastAsia" w:ascii="Times New Roman" w:hAnsi="Times New Roman" w:eastAsia="宋体" w:cs="Times New Roman"/>
                      <w:color w:val="auto"/>
                      <w:kern w:val="0"/>
                      <w:sz w:val="21"/>
                      <w:szCs w:val="21"/>
                      <w:lang w:val="en-US" w:eastAsia="zh-CN"/>
                    </w:rPr>
                    <w:t>1.13</w:t>
                  </w:r>
                  <w:r>
                    <w:rPr>
                      <w:rFonts w:ascii="Times New Roman" w:hAnsi="Times New Roman" w:eastAsia="宋体" w:cs="Times New Roman"/>
                      <w:color w:val="auto"/>
                      <w:kern w:val="0"/>
                      <w:sz w:val="21"/>
                      <w:szCs w:val="21"/>
                    </w:rPr>
                    <w:t>hm</w:t>
                  </w:r>
                  <w:r>
                    <w:rPr>
                      <w:rFonts w:ascii="Times New Roman" w:hAnsi="Times New Roman" w:eastAsia="宋体" w:cs="Times New Roman"/>
                      <w:color w:val="auto"/>
                      <w:kern w:val="0"/>
                      <w:sz w:val="21"/>
                      <w:szCs w:val="21"/>
                      <w:vertAlign w:val="superscript"/>
                    </w:rPr>
                    <w:t>2</w:t>
                  </w:r>
                  <w:r>
                    <w:rPr>
                      <w:rFonts w:hint="eastAsia" w:ascii="Times New Roman" w:hAnsi="Times New Roman" w:eastAsia="宋体" w:cs="Times New Roman"/>
                      <w:color w:val="auto"/>
                      <w:kern w:val="0"/>
                      <w:sz w:val="21"/>
                      <w:szCs w:val="21"/>
                    </w:rPr>
                    <w:t>，共堆存工程弃渣</w:t>
                  </w:r>
                  <w:r>
                    <w:rPr>
                      <w:rFonts w:hint="eastAsia" w:ascii="Times New Roman" w:hAnsi="Times New Roman" w:eastAsia="宋体" w:cs="Times New Roman"/>
                      <w:color w:val="auto"/>
                      <w:kern w:val="0"/>
                      <w:sz w:val="21"/>
                      <w:szCs w:val="21"/>
                      <w:lang w:val="en-US" w:eastAsia="zh-CN"/>
                    </w:rPr>
                    <w:t>2.57</w:t>
                  </w:r>
                  <w:r>
                    <w:rPr>
                      <w:rFonts w:ascii="Times New Roman" w:hAnsi="Times New Roman" w:eastAsia="宋体" w:cs="Times New Roman"/>
                      <w:color w:val="auto"/>
                      <w:kern w:val="0"/>
                      <w:sz w:val="21"/>
                      <w:szCs w:val="21"/>
                    </w:rPr>
                    <w:t>万</w:t>
                  </w:r>
                  <w:r>
                    <w:rPr>
                      <w:rFonts w:hint="eastAsia" w:ascii="Times New Roman" w:hAnsi="Times New Roman" w:eastAsia="宋体" w:cs="Times New Roman"/>
                      <w:color w:val="auto"/>
                      <w:kern w:val="0"/>
                      <w:sz w:val="21"/>
                      <w:szCs w:val="21"/>
                    </w:rPr>
                    <w:t>m</w:t>
                  </w:r>
                  <w:r>
                    <w:rPr>
                      <w:rFonts w:ascii="Times New Roman" w:hAnsi="Times New Roman" w:eastAsia="宋体" w:cs="Times New Roman"/>
                      <w:color w:val="auto"/>
                      <w:kern w:val="0"/>
                      <w:sz w:val="21"/>
                      <w:szCs w:val="21"/>
                      <w:vertAlign w:val="superscript"/>
                    </w:rPr>
                    <w:t>3</w:t>
                  </w:r>
                  <w:r>
                    <w:rPr>
                      <w:rFonts w:ascii="Times New Roman" w:hAnsi="Times New Roman" w:eastAsia="宋体" w:cs="Times New Roman"/>
                      <w:color w:val="auto"/>
                      <w:kern w:val="0"/>
                      <w:sz w:val="21"/>
                      <w:szCs w:val="21"/>
                    </w:rPr>
                    <w:t>。</w:t>
                  </w:r>
                </w:p>
              </w:tc>
              <w:tc>
                <w:tcPr>
                  <w:tcW w:w="557" w:type="pct"/>
                  <w:noWrap w:val="0"/>
                  <w:vAlign w:val="center"/>
                </w:tcPr>
                <w:p>
                  <w:pPr>
                    <w:keepNext w:val="0"/>
                    <w:keepLines w:val="0"/>
                    <w:pageBreakBefore w:val="0"/>
                    <w:kinsoku/>
                    <w:wordWrap w:val="0"/>
                    <w:overflowPunct/>
                    <w:topLinePunct w:val="0"/>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根据水土保持方案报告书，弃渣场减少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590" w:type="pct"/>
                  <w:gridSpan w:val="2"/>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临时表土堆场</w:t>
                  </w:r>
                </w:p>
              </w:tc>
              <w:tc>
                <w:tcPr>
                  <w:tcW w:w="1839" w:type="pc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项目共设6个临时表土堆场，分别位于6片区内。</w:t>
                  </w:r>
                </w:p>
              </w:tc>
              <w:tc>
                <w:tcPr>
                  <w:tcW w:w="1760" w:type="pct"/>
                  <w:noWrap w:val="0"/>
                  <w:vAlign w:val="center"/>
                </w:tcPr>
                <w:p>
                  <w:pPr>
                    <w:keepNext w:val="0"/>
                    <w:keepLines w:val="0"/>
                    <w:pageBreakBefore w:val="0"/>
                    <w:kinsoku/>
                    <w:wordWrap w:val="0"/>
                    <w:overflowPunct/>
                    <w:topLinePunct w:val="0"/>
                    <w:autoSpaceDE w:val="0"/>
                    <w:autoSpaceDN w:val="0"/>
                    <w:bidi w:val="0"/>
                    <w:adjustRightInd w:val="0"/>
                    <w:snapToGrid w:val="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rPr>
                    <w:t>项目共设</w:t>
                  </w:r>
                  <w:r>
                    <w:rPr>
                      <w:rFonts w:hint="eastAsia" w:cs="Times New Roman"/>
                      <w:color w:val="auto"/>
                      <w:kern w:val="0"/>
                      <w:sz w:val="21"/>
                      <w:szCs w:val="21"/>
                      <w:lang w:val="en-US" w:eastAsia="zh-CN"/>
                    </w:rPr>
                    <w:t>3</w:t>
                  </w:r>
                  <w:r>
                    <w:rPr>
                      <w:rFonts w:hint="eastAsia" w:ascii="Times New Roman" w:hAnsi="Times New Roman" w:eastAsia="宋体" w:cs="Times New Roman"/>
                      <w:color w:val="auto"/>
                      <w:kern w:val="0"/>
                      <w:sz w:val="21"/>
                      <w:szCs w:val="21"/>
                    </w:rPr>
                    <w:t>个临时表土堆场，分别位于</w:t>
                  </w:r>
                  <w:r>
                    <w:rPr>
                      <w:rFonts w:hint="eastAsia" w:cs="Times New Roman"/>
                      <w:color w:val="auto"/>
                      <w:kern w:val="0"/>
                      <w:sz w:val="21"/>
                      <w:szCs w:val="21"/>
                      <w:lang w:val="en-US" w:eastAsia="zh-CN"/>
                    </w:rPr>
                    <w:t>3</w:t>
                  </w:r>
                  <w:r>
                    <w:rPr>
                      <w:rFonts w:hint="eastAsia" w:ascii="Times New Roman" w:hAnsi="Times New Roman" w:eastAsia="宋体" w:cs="Times New Roman"/>
                      <w:color w:val="auto"/>
                      <w:kern w:val="0"/>
                      <w:sz w:val="21"/>
                      <w:szCs w:val="21"/>
                    </w:rPr>
                    <w:t>片区内。</w:t>
                  </w:r>
                </w:p>
              </w:tc>
              <w:tc>
                <w:tcPr>
                  <w:tcW w:w="557" w:type="pct"/>
                  <w:noWrap w:val="0"/>
                  <w:vAlign w:val="center"/>
                </w:tcPr>
                <w:p>
                  <w:pPr>
                    <w:keepNext w:val="0"/>
                    <w:keepLines w:val="0"/>
                    <w:pageBreakBefore w:val="0"/>
                    <w:kinsoku/>
                    <w:wordWrap w:val="0"/>
                    <w:overflowPunct/>
                    <w:topLinePunct w:val="0"/>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较原环评地块减少，表土堆场减少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noWrap w:val="0"/>
                  <w:vAlign w:val="center"/>
                </w:tcPr>
                <w:p>
                  <w:pPr>
                    <w:keepNext w:val="0"/>
                    <w:keepLines w:val="0"/>
                    <w:pageBreakBefore w:val="0"/>
                    <w:widowControl w:val="0"/>
                    <w:kinsoku/>
                    <w:wordWrap w:val="0"/>
                    <w:overflowPunct/>
                    <w:topLinePunct w:val="0"/>
                    <w:bidi w:val="0"/>
                    <w:adjustRightInd w:val="0"/>
                    <w:snapToGrid w:val="0"/>
                    <w:jc w:val="center"/>
                    <w:textAlignment w:val="auto"/>
                    <w:rPr>
                      <w:rFonts w:ascii="Times New Roman" w:hAnsi="Times New Roman" w:eastAsia="宋体" w:cs="Times New Roman"/>
                      <w:color w:val="auto"/>
                      <w:kern w:val="2"/>
                      <w:sz w:val="21"/>
                      <w:szCs w:val="21"/>
                      <w:lang w:val="en-US" w:eastAsia="zh-CN" w:bidi="ar-SA"/>
                    </w:rPr>
                  </w:pPr>
                </w:p>
              </w:tc>
              <w:tc>
                <w:tcPr>
                  <w:tcW w:w="590" w:type="pct"/>
                  <w:gridSpan w:val="2"/>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临时截排水沟及沉砂池</w:t>
                  </w:r>
                </w:p>
              </w:tc>
              <w:tc>
                <w:tcPr>
                  <w:tcW w:w="1839" w:type="pct"/>
                  <w:noWrap w:val="0"/>
                  <w:vAlign w:val="center"/>
                </w:tcPr>
                <w:p>
                  <w:pPr>
                    <w:keepNext w:val="0"/>
                    <w:keepLines w:val="0"/>
                    <w:pageBreakBefore w:val="0"/>
                    <w:kinsoku/>
                    <w:wordWrap w:val="0"/>
                    <w:overflowPunct/>
                    <w:topLinePunct w:val="0"/>
                    <w:bidi w:val="0"/>
                    <w:adjustRightInd w:val="0"/>
                    <w:snapToGrid w:val="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施工期沿施工场地四周、弃渣场四周设置临时截排水沟，在排水沟末端设置临时沉砂池。</w:t>
                  </w:r>
                </w:p>
              </w:tc>
              <w:tc>
                <w:tcPr>
                  <w:tcW w:w="1760" w:type="pct"/>
                  <w:noWrap w:val="0"/>
                  <w:vAlign w:val="center"/>
                </w:tcPr>
                <w:p>
                  <w:pPr>
                    <w:keepNext w:val="0"/>
                    <w:keepLines w:val="0"/>
                    <w:pageBreakBefore w:val="0"/>
                    <w:kinsoku/>
                    <w:wordWrap w:val="0"/>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rPr>
                    <w:t>施工期沿施工场地四周、弃渣场四周设置临时截排水沟，在排水沟末端设置临时沉砂池。</w:t>
                  </w:r>
                </w:p>
              </w:tc>
              <w:tc>
                <w:tcPr>
                  <w:tcW w:w="557" w:type="pct"/>
                  <w:noWrap w:val="0"/>
                  <w:vAlign w:val="center"/>
                </w:tcPr>
                <w:p>
                  <w:pPr>
                    <w:keepNext w:val="0"/>
                    <w:keepLines w:val="0"/>
                    <w:pageBreakBefore w:val="0"/>
                    <w:kinsoku/>
                    <w:wordWrap w:val="0"/>
                    <w:overflowPunct/>
                    <w:topLinePunct w:val="0"/>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spacing w:val="-9"/>
                      <w:sz w:val="21"/>
                      <w:szCs w:val="21"/>
                      <w:highlight w:val="none"/>
                      <w:lang w:val="en-US" w:eastAsia="zh-CN"/>
                    </w:rPr>
                    <w:t>与原环评阶段一致</w:t>
                  </w:r>
                </w:p>
              </w:tc>
            </w:tr>
          </w:tbl>
          <w:p>
            <w:pPr>
              <w:adjustRightInd w:val="0"/>
              <w:snapToGrid w:val="0"/>
              <w:spacing w:line="360" w:lineRule="auto"/>
              <w:ind w:firstLine="480" w:firstLineChars="200"/>
              <w:jc w:val="left"/>
              <w:rPr>
                <w:rFonts w:hint="eastAsia" w:ascii="宋体" w:hAnsi="宋体" w:eastAsia="宋体" w:cs="宋体"/>
                <w:color w:val="auto"/>
                <w:kern w:val="0"/>
                <w:sz w:val="24"/>
              </w:rPr>
            </w:pPr>
          </w:p>
          <w:p>
            <w:pPr>
              <w:spacing w:line="360" w:lineRule="auto"/>
              <w:rPr>
                <w:rFonts w:hint="default"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2.4</w:t>
            </w:r>
            <w:r>
              <w:rPr>
                <w:rFonts w:hint="default" w:ascii="Times New Roman" w:hAnsi="Times New Roman" w:eastAsia="宋体" w:cs="Times New Roman"/>
                <w:b/>
                <w:bCs/>
                <w:color w:val="auto"/>
                <w:kern w:val="0"/>
                <w:sz w:val="24"/>
              </w:rPr>
              <w:t>工程占地主要技术经济指标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本项目涉及工程特性表见下表。</w:t>
            </w:r>
          </w:p>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b/>
                <w:color w:val="auto"/>
                <w:kern w:val="0"/>
                <w:sz w:val="24"/>
                <w:szCs w:val="24"/>
                <w:highlight w:val="none"/>
                <w:lang w:val="en-US" w:eastAsia="zh-CN"/>
              </w:rPr>
            </w:pPr>
            <w:r>
              <w:rPr>
                <w:rFonts w:hint="eastAsia" w:ascii="Times New Roman" w:hAnsi="Times New Roman" w:eastAsia="宋体" w:cs="Times New Roman"/>
                <w:b/>
                <w:color w:val="auto"/>
                <w:kern w:val="0"/>
                <w:sz w:val="21"/>
                <w:szCs w:val="21"/>
                <w:highlight w:val="none"/>
                <w:lang w:val="en-US" w:eastAsia="zh-CN"/>
              </w:rPr>
              <w:t>表2</w:t>
            </w:r>
            <w:r>
              <w:rPr>
                <w:rFonts w:hint="eastAsia" w:cs="Times New Roman"/>
                <w:b/>
                <w:color w:val="auto"/>
                <w:kern w:val="0"/>
                <w:sz w:val="21"/>
                <w:szCs w:val="21"/>
                <w:highlight w:val="none"/>
                <w:lang w:val="en-US" w:eastAsia="zh-CN"/>
              </w:rPr>
              <w:t>.4</w:t>
            </w:r>
            <w:r>
              <w:rPr>
                <w:rFonts w:hint="eastAsia" w:ascii="Times New Roman" w:hAnsi="Times New Roman" w:eastAsia="宋体" w:cs="Times New Roman"/>
                <w:b/>
                <w:color w:val="auto"/>
                <w:kern w:val="0"/>
                <w:sz w:val="21"/>
                <w:szCs w:val="21"/>
                <w:highlight w:val="none"/>
                <w:lang w:val="en-US" w:eastAsia="zh-CN"/>
              </w:rPr>
              <w:t>-</w:t>
            </w:r>
            <w:r>
              <w:rPr>
                <w:rFonts w:hint="eastAsia" w:cs="Times New Roman"/>
                <w:b/>
                <w:color w:val="auto"/>
                <w:kern w:val="0"/>
                <w:sz w:val="21"/>
                <w:szCs w:val="21"/>
                <w:highlight w:val="none"/>
                <w:lang w:val="en-US" w:eastAsia="zh-CN"/>
              </w:rPr>
              <w:t>1</w:t>
            </w:r>
            <w:r>
              <w:rPr>
                <w:rFonts w:hint="eastAsia" w:ascii="Times New Roman" w:hAnsi="Times New Roman" w:eastAsia="宋体" w:cs="Times New Roman"/>
                <w:b/>
                <w:color w:val="auto"/>
                <w:kern w:val="0"/>
                <w:sz w:val="21"/>
                <w:szCs w:val="21"/>
                <w:highlight w:val="none"/>
                <w:lang w:val="en-US" w:eastAsia="zh-CN"/>
              </w:rPr>
              <w:t xml:space="preserve"> </w:t>
            </w:r>
            <w:r>
              <w:rPr>
                <w:rFonts w:hint="eastAsia" w:cs="Times New Roman"/>
                <w:b/>
                <w:color w:val="auto"/>
                <w:kern w:val="0"/>
                <w:sz w:val="21"/>
                <w:szCs w:val="21"/>
                <w:highlight w:val="none"/>
                <w:lang w:val="en-US" w:eastAsia="zh-CN"/>
              </w:rPr>
              <w:t>华能马头地</w:t>
            </w:r>
            <w:r>
              <w:rPr>
                <w:rFonts w:hint="eastAsia" w:ascii="Times New Roman" w:hAnsi="Times New Roman" w:eastAsia="宋体" w:cs="Times New Roman"/>
                <w:b/>
                <w:color w:val="auto"/>
                <w:kern w:val="0"/>
                <w:sz w:val="21"/>
                <w:szCs w:val="21"/>
                <w:highlight w:val="none"/>
                <w:lang w:val="en-US" w:eastAsia="zh-CN"/>
              </w:rPr>
              <w:t>电站项目（变更）工程特性表</w:t>
            </w:r>
          </w:p>
          <w:tbl>
            <w:tblPr>
              <w:tblStyle w:val="32"/>
              <w:tblW w:w="4998" w:type="pct"/>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01"/>
              <w:gridCol w:w="1028"/>
              <w:gridCol w:w="1007"/>
              <w:gridCol w:w="1686"/>
              <w:gridCol w:w="677"/>
              <w:gridCol w:w="2769"/>
              <w:gridCol w:w="869"/>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894" w:type="pct"/>
                  <w:gridSpan w:val="5"/>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原环评内容</w:t>
                  </w:r>
                </w:p>
              </w:tc>
              <w:tc>
                <w:tcPr>
                  <w:tcW w:w="2105" w:type="pct"/>
                  <w:gridSpan w:val="2"/>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本次变更后内容</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000" w:type="pct"/>
                  <w:gridSpan w:val="7"/>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一、光伏发电工程站址概况</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项目</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单位</w:t>
                  </w:r>
                </w:p>
              </w:tc>
              <w:tc>
                <w:tcPr>
                  <w:tcW w:w="1559" w:type="pct"/>
                  <w:gridSpan w:val="2"/>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数量</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备注</w:t>
                  </w: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数量</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备注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装机容量</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MW</w:t>
                  </w:r>
                </w:p>
              </w:tc>
              <w:tc>
                <w:tcPr>
                  <w:tcW w:w="1559" w:type="pct"/>
                  <w:gridSpan w:val="2"/>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209.98656</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rPr>
                    <w:t>212.89002</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直流侧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总用地面积</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hm²</w:t>
                  </w:r>
                </w:p>
              </w:tc>
              <w:tc>
                <w:tcPr>
                  <w:tcW w:w="1559" w:type="pct"/>
                  <w:gridSpan w:val="2"/>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r>
                    <w:rPr>
                      <w:rFonts w:hint="eastAsia" w:ascii="Times New Roman" w:eastAsia="宋体" w:cs="Times New Roman"/>
                      <w:color w:val="auto"/>
                      <w:sz w:val="21"/>
                      <w:szCs w:val="21"/>
                      <w:lang w:val="en-US" w:eastAsia="zh-CN"/>
                    </w:rPr>
                    <w:t>207.01</w:t>
                  </w:r>
                  <w:r>
                    <w:rPr>
                      <w:rFonts w:hint="eastAsia" w:ascii="Times New Roman" w:hAnsi="Times New Roman" w:eastAsia="宋体" w:cs="Times New Roman"/>
                      <w:color w:val="auto"/>
                      <w:sz w:val="21"/>
                      <w:szCs w:val="21"/>
                    </w:rPr>
                    <w:t>（永久+临时）</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r>
                    <w:rPr>
                      <w:rFonts w:hint="eastAsia" w:ascii="Times New Roman" w:eastAsia="宋体" w:cs="Times New Roman"/>
                      <w:color w:val="auto"/>
                      <w:sz w:val="21"/>
                      <w:szCs w:val="21"/>
                      <w:lang w:val="en-US" w:eastAsia="zh-CN"/>
                    </w:rPr>
                    <w:t>245.995</w:t>
                  </w:r>
                  <w:r>
                    <w:rPr>
                      <w:rFonts w:hint="eastAsia" w:ascii="Times New Roman" w:hAnsi="Times New Roman" w:eastAsia="宋体" w:cs="Times New Roman"/>
                      <w:color w:val="auto"/>
                      <w:sz w:val="21"/>
                      <w:szCs w:val="21"/>
                    </w:rPr>
                    <w:t>（永久+临时）</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用地面积</w:t>
                  </w:r>
                  <w:r>
                    <w:rPr>
                      <w:rFonts w:hint="eastAsia" w:ascii="Times New Roman" w:eastAsia="宋体" w:cs="Times New Roman"/>
                      <w:color w:val="auto"/>
                      <w:sz w:val="21"/>
                      <w:szCs w:val="21"/>
                      <w:lang w:val="en-US" w:eastAsia="zh-CN"/>
                    </w:rPr>
                    <w:t>增加，但更加集中。</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升压站用地面积</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hm²</w:t>
                  </w:r>
                </w:p>
              </w:tc>
              <w:tc>
                <w:tcPr>
                  <w:tcW w:w="1559" w:type="pct"/>
                  <w:gridSpan w:val="2"/>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0.6450</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新建</w:t>
                  </w: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1.193</w:t>
                  </w:r>
                </w:p>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（其中站内面积0.563）</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电压等价减小，位置发生变化，站内面积减小。</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海拔高度</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m</w:t>
                  </w:r>
                </w:p>
              </w:tc>
              <w:tc>
                <w:tcPr>
                  <w:tcW w:w="1559" w:type="pct"/>
                  <w:gridSpan w:val="2"/>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1200~1800</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1200~1800</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经度</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度分秒</w:t>
                  </w:r>
                </w:p>
              </w:tc>
              <w:tc>
                <w:tcPr>
                  <w:tcW w:w="1559" w:type="pct"/>
                  <w:gridSpan w:val="2"/>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eastAsia="宋体" w:cs="Times New Roman"/>
                      <w:color w:val="auto"/>
                      <w:sz w:val="21"/>
                      <w:szCs w:val="21"/>
                      <w:lang w:val="zh-CN" w:eastAsia="zh-CN"/>
                    </w:rPr>
                  </w:pPr>
                  <w:r>
                    <w:rPr>
                      <w:rFonts w:hint="eastAsia" w:ascii="Times New Roman" w:eastAsia="宋体" w:cs="Times New Roman"/>
                      <w:color w:val="auto"/>
                      <w:sz w:val="21"/>
                      <w:szCs w:val="21"/>
                      <w:lang w:val="zh-CN" w:eastAsia="zh-CN"/>
                    </w:rPr>
                    <w:t>101°45</w:t>
                  </w:r>
                  <w:r>
                    <w:rPr>
                      <w:rFonts w:hint="eastAsia" w:ascii="Times New Roman" w:eastAsia="宋体" w:cs="Times New Roman"/>
                      <w:color w:val="auto"/>
                      <w:sz w:val="21"/>
                      <w:szCs w:val="21"/>
                      <w:lang w:val="en-US" w:eastAsia="zh-CN"/>
                    </w:rPr>
                    <w:t>′</w:t>
                  </w:r>
                  <w:r>
                    <w:rPr>
                      <w:rFonts w:hint="eastAsia" w:ascii="Times New Roman" w:eastAsia="宋体" w:cs="Times New Roman"/>
                      <w:color w:val="auto"/>
                      <w:sz w:val="21"/>
                      <w:szCs w:val="21"/>
                      <w:lang w:val="zh-CN" w:eastAsia="zh-CN"/>
                    </w:rPr>
                    <w:t>46</w:t>
                  </w:r>
                  <w:r>
                    <w:rPr>
                      <w:rFonts w:hint="eastAsia" w:ascii="Times New Roman" w:eastAsia="宋体" w:cs="Times New Roman"/>
                      <w:color w:val="auto"/>
                      <w:sz w:val="21"/>
                      <w:szCs w:val="21"/>
                      <w:lang w:val="en-US" w:eastAsia="zh-CN"/>
                    </w:rPr>
                    <w:t>″</w:t>
                  </w:r>
                  <w:r>
                    <w:rPr>
                      <w:rFonts w:hint="eastAsia" w:ascii="Times New Roman" w:eastAsia="宋体" w:cs="Times New Roman"/>
                      <w:color w:val="auto"/>
                      <w:sz w:val="21"/>
                      <w:szCs w:val="21"/>
                      <w:lang w:val="zh-CN" w:eastAsia="zh-CN"/>
                    </w:rPr>
                    <w:t>～</w:t>
                  </w:r>
                </w:p>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eastAsia="宋体" w:cs="Times New Roman"/>
                      <w:color w:val="auto"/>
                      <w:sz w:val="21"/>
                      <w:szCs w:val="21"/>
                      <w:lang w:val="en-US" w:eastAsia="zh-CN"/>
                    </w:rPr>
                  </w:pPr>
                  <w:r>
                    <w:rPr>
                      <w:rFonts w:hint="eastAsia" w:ascii="Times New Roman" w:eastAsia="宋体" w:cs="Times New Roman"/>
                      <w:color w:val="auto"/>
                      <w:sz w:val="21"/>
                      <w:szCs w:val="21"/>
                      <w:lang w:val="zh-CN" w:eastAsia="zh-CN"/>
                    </w:rPr>
                    <w:t>101°58</w:t>
                  </w:r>
                  <w:r>
                    <w:rPr>
                      <w:rFonts w:hint="eastAsia" w:ascii="Times New Roman" w:eastAsia="宋体" w:cs="Times New Roman"/>
                      <w:color w:val="auto"/>
                      <w:sz w:val="21"/>
                      <w:szCs w:val="21"/>
                      <w:lang w:val="en-US" w:eastAsia="zh-CN"/>
                    </w:rPr>
                    <w:t>′</w:t>
                  </w:r>
                  <w:r>
                    <w:rPr>
                      <w:rFonts w:hint="eastAsia" w:ascii="Times New Roman" w:eastAsia="宋体" w:cs="Times New Roman"/>
                      <w:color w:val="auto"/>
                      <w:sz w:val="21"/>
                      <w:szCs w:val="21"/>
                      <w:lang w:val="zh-CN" w:eastAsia="zh-CN"/>
                    </w:rPr>
                    <w:t>03</w:t>
                  </w:r>
                  <w:r>
                    <w:rPr>
                      <w:rFonts w:hint="eastAsia" w:ascii="Times New Roman" w:eastAsia="宋体" w:cs="Times New Roman"/>
                      <w:color w:val="auto"/>
                      <w:sz w:val="21"/>
                      <w:szCs w:val="21"/>
                      <w:lang w:val="en-US" w:eastAsia="zh-CN"/>
                    </w:rPr>
                    <w:t>″</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eastAsia="宋体" w:cs="Times New Roman"/>
                      <w:color w:val="auto"/>
                      <w:sz w:val="21"/>
                      <w:szCs w:val="21"/>
                      <w:lang w:val="zh-CN" w:eastAsia="zh-CN"/>
                    </w:rPr>
                  </w:pPr>
                  <w:r>
                    <w:rPr>
                      <w:rFonts w:hint="eastAsia" w:ascii="Times New Roman" w:eastAsia="宋体" w:cs="Times New Roman"/>
                      <w:color w:val="auto"/>
                      <w:sz w:val="21"/>
                      <w:szCs w:val="21"/>
                      <w:lang w:val="zh-CN" w:eastAsia="zh-CN"/>
                    </w:rPr>
                    <w:t>101°45</w:t>
                  </w:r>
                  <w:r>
                    <w:rPr>
                      <w:rFonts w:hint="eastAsia" w:ascii="Times New Roman" w:eastAsia="宋体" w:cs="Times New Roman"/>
                      <w:color w:val="auto"/>
                      <w:sz w:val="21"/>
                      <w:szCs w:val="21"/>
                      <w:lang w:val="en-US" w:eastAsia="zh-CN"/>
                    </w:rPr>
                    <w:t>′</w:t>
                  </w:r>
                  <w:r>
                    <w:rPr>
                      <w:rFonts w:hint="eastAsia" w:ascii="Times New Roman" w:eastAsia="宋体" w:cs="Times New Roman"/>
                      <w:color w:val="auto"/>
                      <w:sz w:val="21"/>
                      <w:szCs w:val="21"/>
                      <w:lang w:val="zh-CN" w:eastAsia="zh-CN"/>
                    </w:rPr>
                    <w:t>46</w:t>
                  </w:r>
                  <w:r>
                    <w:rPr>
                      <w:rFonts w:hint="eastAsia" w:ascii="Times New Roman" w:eastAsia="宋体" w:cs="Times New Roman"/>
                      <w:color w:val="auto"/>
                      <w:sz w:val="21"/>
                      <w:szCs w:val="21"/>
                      <w:lang w:val="en-US" w:eastAsia="zh-CN"/>
                    </w:rPr>
                    <w:t>″</w:t>
                  </w:r>
                  <w:r>
                    <w:rPr>
                      <w:rFonts w:hint="eastAsia" w:ascii="Times New Roman" w:eastAsia="宋体" w:cs="Times New Roman"/>
                      <w:color w:val="auto"/>
                      <w:sz w:val="21"/>
                      <w:szCs w:val="21"/>
                      <w:lang w:val="zh-CN" w:eastAsia="zh-CN"/>
                    </w:rPr>
                    <w:t>～</w:t>
                  </w:r>
                </w:p>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eastAsia="宋体" w:cs="Times New Roman"/>
                      <w:color w:val="auto"/>
                      <w:sz w:val="21"/>
                      <w:szCs w:val="21"/>
                      <w:lang w:val="en-US" w:eastAsia="zh-CN"/>
                    </w:rPr>
                  </w:pPr>
                  <w:r>
                    <w:rPr>
                      <w:rFonts w:hint="eastAsia" w:ascii="Times New Roman" w:eastAsia="宋体" w:cs="Times New Roman"/>
                      <w:color w:val="auto"/>
                      <w:sz w:val="21"/>
                      <w:szCs w:val="21"/>
                      <w:lang w:val="zh-CN" w:eastAsia="zh-CN"/>
                    </w:rPr>
                    <w:t>101°58</w:t>
                  </w:r>
                  <w:r>
                    <w:rPr>
                      <w:rFonts w:hint="eastAsia" w:ascii="Times New Roman" w:eastAsia="宋体" w:cs="Times New Roman"/>
                      <w:color w:val="auto"/>
                      <w:sz w:val="21"/>
                      <w:szCs w:val="21"/>
                      <w:lang w:val="en-US" w:eastAsia="zh-CN"/>
                    </w:rPr>
                    <w:t>′</w:t>
                  </w:r>
                  <w:r>
                    <w:rPr>
                      <w:rFonts w:hint="eastAsia" w:ascii="Times New Roman" w:eastAsia="宋体" w:cs="Times New Roman"/>
                      <w:color w:val="auto"/>
                      <w:sz w:val="21"/>
                      <w:szCs w:val="21"/>
                      <w:lang w:val="zh-CN" w:eastAsia="zh-CN"/>
                    </w:rPr>
                    <w:t>03</w:t>
                  </w:r>
                  <w:r>
                    <w:rPr>
                      <w:rFonts w:hint="eastAsia" w:ascii="Times New Roman" w:eastAsia="宋体" w:cs="Times New Roman"/>
                      <w:color w:val="auto"/>
                      <w:sz w:val="21"/>
                      <w:szCs w:val="21"/>
                      <w:lang w:val="en-US" w:eastAsia="zh-CN"/>
                    </w:rPr>
                    <w:t>″</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纬度</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度分秒</w:t>
                  </w:r>
                </w:p>
              </w:tc>
              <w:tc>
                <w:tcPr>
                  <w:tcW w:w="1559" w:type="pct"/>
                  <w:gridSpan w:val="2"/>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eastAsia="宋体" w:cs="Times New Roman"/>
                      <w:color w:val="auto"/>
                      <w:sz w:val="21"/>
                      <w:szCs w:val="21"/>
                      <w:lang w:val="zh-CN" w:eastAsia="zh-CN"/>
                    </w:rPr>
                  </w:pPr>
                  <w:r>
                    <w:rPr>
                      <w:rFonts w:hint="eastAsia" w:ascii="Times New Roman" w:eastAsia="宋体" w:cs="Times New Roman"/>
                      <w:color w:val="auto"/>
                      <w:sz w:val="21"/>
                      <w:szCs w:val="21"/>
                      <w:lang w:val="zh-CN" w:eastAsia="zh-CN"/>
                    </w:rPr>
                    <w:t>25°33</w:t>
                  </w:r>
                  <w:r>
                    <w:rPr>
                      <w:rFonts w:hint="eastAsia" w:ascii="Times New Roman" w:eastAsia="宋体" w:cs="Times New Roman"/>
                      <w:color w:val="auto"/>
                      <w:sz w:val="21"/>
                      <w:szCs w:val="21"/>
                      <w:lang w:val="en-US" w:eastAsia="zh-CN"/>
                    </w:rPr>
                    <w:t>′</w:t>
                  </w:r>
                  <w:r>
                    <w:rPr>
                      <w:rFonts w:hint="eastAsia" w:ascii="Times New Roman" w:eastAsia="宋体" w:cs="Times New Roman"/>
                      <w:color w:val="auto"/>
                      <w:sz w:val="21"/>
                      <w:szCs w:val="21"/>
                      <w:lang w:val="zh-CN" w:eastAsia="zh-CN"/>
                    </w:rPr>
                    <w:t>17</w:t>
                  </w:r>
                  <w:r>
                    <w:rPr>
                      <w:rFonts w:hint="eastAsia" w:ascii="Times New Roman" w:eastAsia="宋体" w:cs="Times New Roman"/>
                      <w:color w:val="auto"/>
                      <w:sz w:val="21"/>
                      <w:szCs w:val="21"/>
                      <w:lang w:val="en-US" w:eastAsia="zh-CN"/>
                    </w:rPr>
                    <w:t>″</w:t>
                  </w:r>
                  <w:r>
                    <w:rPr>
                      <w:rFonts w:hint="eastAsia" w:ascii="Times New Roman" w:eastAsia="宋体" w:cs="Times New Roman"/>
                      <w:color w:val="auto"/>
                      <w:sz w:val="21"/>
                      <w:szCs w:val="21"/>
                      <w:lang w:val="zh-CN" w:eastAsia="zh-CN"/>
                    </w:rPr>
                    <w:t>～</w:t>
                  </w:r>
                </w:p>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eastAsia="宋体" w:cs="Times New Roman"/>
                      <w:color w:val="auto"/>
                      <w:sz w:val="21"/>
                      <w:szCs w:val="21"/>
                      <w:lang w:val="en-US" w:eastAsia="zh-CN"/>
                    </w:rPr>
                  </w:pPr>
                  <w:r>
                    <w:rPr>
                      <w:rFonts w:hint="eastAsia" w:ascii="Times New Roman" w:eastAsia="宋体" w:cs="Times New Roman"/>
                      <w:color w:val="auto"/>
                      <w:sz w:val="21"/>
                      <w:szCs w:val="21"/>
                      <w:lang w:val="zh-CN" w:eastAsia="zh-CN"/>
                    </w:rPr>
                    <w:t>25°39</w:t>
                  </w:r>
                  <w:r>
                    <w:rPr>
                      <w:rFonts w:hint="eastAsia" w:ascii="Times New Roman" w:eastAsia="宋体" w:cs="Times New Roman"/>
                      <w:color w:val="auto"/>
                      <w:sz w:val="21"/>
                      <w:szCs w:val="21"/>
                      <w:lang w:val="en-US" w:eastAsia="zh-CN"/>
                    </w:rPr>
                    <w:t>′</w:t>
                  </w:r>
                  <w:r>
                    <w:rPr>
                      <w:rFonts w:hint="eastAsia" w:ascii="Times New Roman" w:eastAsia="宋体" w:cs="Times New Roman"/>
                      <w:color w:val="auto"/>
                      <w:sz w:val="21"/>
                      <w:szCs w:val="21"/>
                      <w:lang w:val="zh-CN" w:eastAsia="zh-CN"/>
                    </w:rPr>
                    <w:t>06</w:t>
                  </w:r>
                  <w:r>
                    <w:rPr>
                      <w:rFonts w:hint="eastAsia" w:ascii="Times New Roman" w:eastAsia="宋体" w:cs="Times New Roman"/>
                      <w:color w:val="auto"/>
                      <w:sz w:val="21"/>
                      <w:szCs w:val="21"/>
                      <w:lang w:val="en-US" w:eastAsia="zh-CN"/>
                    </w:rPr>
                    <w:t>″</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eastAsia="宋体" w:cs="Times New Roman"/>
                      <w:color w:val="auto"/>
                      <w:sz w:val="21"/>
                      <w:szCs w:val="21"/>
                      <w:lang w:val="zh-CN" w:eastAsia="zh-CN"/>
                    </w:rPr>
                  </w:pPr>
                  <w:r>
                    <w:rPr>
                      <w:rFonts w:hint="eastAsia" w:ascii="Times New Roman" w:eastAsia="宋体" w:cs="Times New Roman"/>
                      <w:color w:val="auto"/>
                      <w:sz w:val="21"/>
                      <w:szCs w:val="21"/>
                      <w:lang w:val="zh-CN" w:eastAsia="zh-CN"/>
                    </w:rPr>
                    <w:t>25°33</w:t>
                  </w:r>
                  <w:r>
                    <w:rPr>
                      <w:rFonts w:hint="eastAsia" w:ascii="Times New Roman" w:eastAsia="宋体" w:cs="Times New Roman"/>
                      <w:color w:val="auto"/>
                      <w:sz w:val="21"/>
                      <w:szCs w:val="21"/>
                      <w:lang w:val="en-US" w:eastAsia="zh-CN"/>
                    </w:rPr>
                    <w:t>′</w:t>
                  </w:r>
                  <w:r>
                    <w:rPr>
                      <w:rFonts w:hint="eastAsia" w:ascii="Times New Roman" w:eastAsia="宋体" w:cs="Times New Roman"/>
                      <w:color w:val="auto"/>
                      <w:sz w:val="21"/>
                      <w:szCs w:val="21"/>
                      <w:lang w:val="zh-CN" w:eastAsia="zh-CN"/>
                    </w:rPr>
                    <w:t>17</w:t>
                  </w:r>
                  <w:r>
                    <w:rPr>
                      <w:rFonts w:hint="eastAsia" w:ascii="Times New Roman" w:eastAsia="宋体" w:cs="Times New Roman"/>
                      <w:color w:val="auto"/>
                      <w:sz w:val="21"/>
                      <w:szCs w:val="21"/>
                      <w:lang w:val="en-US" w:eastAsia="zh-CN"/>
                    </w:rPr>
                    <w:t>″</w:t>
                  </w:r>
                  <w:r>
                    <w:rPr>
                      <w:rFonts w:hint="eastAsia" w:ascii="Times New Roman" w:eastAsia="宋体" w:cs="Times New Roman"/>
                      <w:color w:val="auto"/>
                      <w:sz w:val="21"/>
                      <w:szCs w:val="21"/>
                      <w:lang w:val="zh-CN" w:eastAsia="zh-CN"/>
                    </w:rPr>
                    <w:t>～</w:t>
                  </w:r>
                </w:p>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eastAsia="宋体" w:cs="Times New Roman"/>
                      <w:color w:val="auto"/>
                      <w:sz w:val="21"/>
                      <w:szCs w:val="21"/>
                      <w:lang w:val="en-US" w:eastAsia="zh-CN"/>
                    </w:rPr>
                  </w:pPr>
                  <w:r>
                    <w:rPr>
                      <w:rFonts w:hint="eastAsia" w:ascii="Times New Roman" w:eastAsia="宋体" w:cs="Times New Roman"/>
                      <w:color w:val="auto"/>
                      <w:sz w:val="21"/>
                      <w:szCs w:val="21"/>
                      <w:lang w:val="zh-CN" w:eastAsia="zh-CN"/>
                    </w:rPr>
                    <w:t>25°39</w:t>
                  </w:r>
                  <w:r>
                    <w:rPr>
                      <w:rFonts w:hint="eastAsia" w:ascii="Times New Roman" w:eastAsia="宋体" w:cs="Times New Roman"/>
                      <w:color w:val="auto"/>
                      <w:sz w:val="21"/>
                      <w:szCs w:val="21"/>
                      <w:lang w:val="en-US" w:eastAsia="zh-CN"/>
                    </w:rPr>
                    <w:t>′</w:t>
                  </w:r>
                  <w:r>
                    <w:rPr>
                      <w:rFonts w:hint="eastAsia" w:ascii="Times New Roman" w:eastAsia="宋体" w:cs="Times New Roman"/>
                      <w:color w:val="auto"/>
                      <w:sz w:val="21"/>
                      <w:szCs w:val="21"/>
                      <w:lang w:val="zh-CN" w:eastAsia="zh-CN"/>
                    </w:rPr>
                    <w:t>06</w:t>
                  </w:r>
                  <w:r>
                    <w:rPr>
                      <w:rFonts w:hint="eastAsia" w:ascii="Times New Roman" w:eastAsia="宋体" w:cs="Times New Roman"/>
                      <w:color w:val="auto"/>
                      <w:sz w:val="21"/>
                      <w:szCs w:val="21"/>
                      <w:lang w:val="en-US" w:eastAsia="zh-CN"/>
                    </w:rPr>
                    <w:t>″</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工程代表年太阳总辐射量</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MJ/m²</w:t>
                  </w:r>
                </w:p>
              </w:tc>
              <w:tc>
                <w:tcPr>
                  <w:tcW w:w="1559" w:type="pct"/>
                  <w:gridSpan w:val="2"/>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6127.2</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6127.2</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工程代表年日照小时数</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h</w:t>
                  </w:r>
                </w:p>
              </w:tc>
              <w:tc>
                <w:tcPr>
                  <w:tcW w:w="1559" w:type="pct"/>
                  <w:gridSpan w:val="2"/>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2394.3</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2394.3</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系统综合效率</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w:t>
                  </w:r>
                </w:p>
              </w:tc>
              <w:tc>
                <w:tcPr>
                  <w:tcW w:w="1559" w:type="pct"/>
                  <w:gridSpan w:val="2"/>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 xml:space="preserve">82.88 （不含背板增益） </w:t>
                  </w:r>
                </w:p>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85 36 （含背板增益）</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 xml:space="preserve">82.88 （不含背板增益） </w:t>
                  </w:r>
                </w:p>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85 36 （含背板增益）</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000" w:type="pct"/>
                  <w:gridSpan w:val="7"/>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二、主要气象要素</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项目</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单位</w:t>
                  </w:r>
                </w:p>
              </w:tc>
              <w:tc>
                <w:tcPr>
                  <w:tcW w:w="1559" w:type="pct"/>
                  <w:gridSpan w:val="2"/>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数量</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备注</w:t>
                  </w: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数量</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备注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多年平均气温</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w:t>
                  </w:r>
                </w:p>
              </w:tc>
              <w:tc>
                <w:tcPr>
                  <w:tcW w:w="1559" w:type="pct"/>
                  <w:gridSpan w:val="2"/>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14.8</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14.8</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多年极端最高气温</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w:t>
                  </w:r>
                </w:p>
              </w:tc>
              <w:tc>
                <w:tcPr>
                  <w:tcW w:w="1559" w:type="pct"/>
                  <w:gridSpan w:val="2"/>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32.6</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32.6</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多年极端最低气温</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w:t>
                  </w:r>
                </w:p>
              </w:tc>
              <w:tc>
                <w:tcPr>
                  <w:tcW w:w="1559" w:type="pct"/>
                  <w:gridSpan w:val="2"/>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-8.4</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-8.4</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多年平均气压</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kPa</w:t>
                  </w:r>
                </w:p>
              </w:tc>
              <w:tc>
                <w:tcPr>
                  <w:tcW w:w="1559" w:type="pct"/>
                  <w:gridSpan w:val="2"/>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81.34</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81.34</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多年平均风速</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m/s</w:t>
                  </w:r>
                </w:p>
              </w:tc>
              <w:tc>
                <w:tcPr>
                  <w:tcW w:w="1559" w:type="pct"/>
                  <w:gridSpan w:val="2"/>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2.0</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2.0</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去年主导风向</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w:t>
                  </w:r>
                </w:p>
              </w:tc>
              <w:tc>
                <w:tcPr>
                  <w:tcW w:w="1559" w:type="pct"/>
                  <w:gridSpan w:val="2"/>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SW</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SW</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多年平均相对湿度</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w:t>
                  </w:r>
                </w:p>
              </w:tc>
              <w:tc>
                <w:tcPr>
                  <w:tcW w:w="1559" w:type="pct"/>
                  <w:gridSpan w:val="2"/>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74</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74</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多年平均降水量</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mm</w:t>
                  </w:r>
                </w:p>
              </w:tc>
              <w:tc>
                <w:tcPr>
                  <w:tcW w:w="1559" w:type="pct"/>
                  <w:gridSpan w:val="2"/>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827.5</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827.5</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多年平均雷暴日数</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日</w:t>
                  </w:r>
                </w:p>
              </w:tc>
              <w:tc>
                <w:tcPr>
                  <w:tcW w:w="1559" w:type="pct"/>
                  <w:gridSpan w:val="2"/>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50.9</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50.9</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000" w:type="pct"/>
                  <w:gridSpan w:val="7"/>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三、主要设备</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2"/>
                      <w:sz w:val="21"/>
                      <w:szCs w:val="21"/>
                      <w:lang w:val="en-US" w:eastAsia="zh-CN" w:bidi="ar-SA"/>
                    </w:rPr>
                  </w:pPr>
                  <w:r>
                    <w:rPr>
                      <w:rFonts w:ascii="宋体" w:hAnsi="宋体" w:eastAsia="宋体" w:cs="宋体"/>
                      <w:color w:val="auto"/>
                      <w:spacing w:val="-2"/>
                      <w:sz w:val="21"/>
                      <w:szCs w:val="21"/>
                    </w:rPr>
                    <w:t>编号</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2"/>
                      <w:sz w:val="21"/>
                      <w:szCs w:val="21"/>
                      <w:lang w:val="en-US" w:eastAsia="zh-CN" w:bidi="ar-SA"/>
                    </w:rPr>
                  </w:pPr>
                  <w:r>
                    <w:rPr>
                      <w:rFonts w:ascii="宋体" w:hAnsi="宋体" w:eastAsia="宋体" w:cs="宋体"/>
                      <w:color w:val="auto"/>
                      <w:spacing w:val="-3"/>
                      <w:sz w:val="21"/>
                      <w:szCs w:val="21"/>
                    </w:rPr>
                    <w:t>名称</w:t>
                  </w:r>
                </w:p>
              </w:tc>
              <w:tc>
                <w:tcPr>
                  <w:tcW w:w="5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2"/>
                      <w:sz w:val="21"/>
                      <w:szCs w:val="21"/>
                      <w:lang w:val="en-US" w:eastAsia="zh-CN" w:bidi="ar-SA"/>
                    </w:rPr>
                  </w:pPr>
                  <w:r>
                    <w:rPr>
                      <w:rFonts w:ascii="宋体" w:hAnsi="宋体" w:eastAsia="宋体" w:cs="宋体"/>
                      <w:color w:val="auto"/>
                      <w:spacing w:val="-2"/>
                      <w:sz w:val="21"/>
                      <w:szCs w:val="21"/>
                    </w:rPr>
                    <w:t>单位</w:t>
                  </w:r>
                </w:p>
              </w:tc>
              <w:tc>
                <w:tcPr>
                  <w:tcW w:w="9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2"/>
                      <w:sz w:val="21"/>
                      <w:szCs w:val="21"/>
                      <w:lang w:val="en-US" w:eastAsia="zh-CN" w:bidi="ar-SA"/>
                    </w:rPr>
                  </w:pPr>
                  <w:r>
                    <w:rPr>
                      <w:rFonts w:ascii="宋体" w:hAnsi="宋体" w:eastAsia="宋体" w:cs="宋体"/>
                      <w:color w:val="auto"/>
                      <w:spacing w:val="-2"/>
                      <w:sz w:val="21"/>
                      <w:szCs w:val="21"/>
                    </w:rPr>
                    <w:t>数量</w:t>
                  </w:r>
                </w:p>
              </w:tc>
              <w:tc>
                <w:tcPr>
                  <w:tcW w:w="3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2"/>
                      <w:sz w:val="21"/>
                      <w:szCs w:val="21"/>
                      <w:lang w:val="en-US" w:eastAsia="zh-CN" w:bidi="ar-SA"/>
                    </w:rPr>
                  </w:pPr>
                  <w:r>
                    <w:rPr>
                      <w:rFonts w:ascii="宋体" w:hAnsi="宋体" w:eastAsia="宋体" w:cs="宋体"/>
                      <w:color w:val="auto"/>
                      <w:spacing w:val="-3"/>
                      <w:sz w:val="21"/>
                      <w:szCs w:val="21"/>
                    </w:rPr>
                    <w:t>备注</w:t>
                  </w:r>
                </w:p>
              </w:tc>
              <w:tc>
                <w:tcPr>
                  <w:tcW w:w="16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2"/>
                      <w:sz w:val="21"/>
                      <w:szCs w:val="21"/>
                      <w:lang w:val="en-US" w:eastAsia="zh-CN" w:bidi="ar-SA"/>
                    </w:rPr>
                  </w:pPr>
                  <w:r>
                    <w:rPr>
                      <w:rFonts w:ascii="宋体" w:hAnsi="宋体" w:eastAsia="宋体" w:cs="宋体"/>
                      <w:color w:val="auto"/>
                      <w:spacing w:val="-2"/>
                      <w:sz w:val="21"/>
                      <w:szCs w:val="21"/>
                    </w:rPr>
                    <w:t>数量</w:t>
                  </w: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2"/>
                      <w:sz w:val="21"/>
                      <w:szCs w:val="21"/>
                      <w:lang w:val="en-US" w:eastAsia="zh-CN" w:bidi="ar-SA"/>
                    </w:rPr>
                  </w:pPr>
                  <w:r>
                    <w:rPr>
                      <w:rFonts w:ascii="宋体" w:hAnsi="宋体" w:eastAsia="宋体" w:cs="宋体"/>
                      <w:color w:val="auto"/>
                      <w:spacing w:val="-3"/>
                      <w:sz w:val="21"/>
                      <w:szCs w:val="21"/>
                    </w:rPr>
                    <w:t>备注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894" w:type="pct"/>
                  <w:gridSpan w:val="5"/>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1、光伏组件</w:t>
                  </w: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1.1</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光伏组件类型</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单晶硅</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单晶硅</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1.2</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峰值功率</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Wp</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5</w:t>
                  </w:r>
                  <w:r>
                    <w:rPr>
                      <w:rFonts w:hint="eastAsia"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lang w:eastAsia="zh-CN"/>
                    </w:rPr>
                    <w:t>0</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545/</w:t>
                  </w:r>
                  <w:r>
                    <w:rPr>
                      <w:rFonts w:hint="eastAsia" w:ascii="Times New Roman" w:hAnsi="Times New Roman" w:eastAsia="宋体" w:cs="Times New Roman"/>
                      <w:color w:val="auto"/>
                      <w:sz w:val="21"/>
                      <w:szCs w:val="21"/>
                      <w:lang w:eastAsia="zh-CN"/>
                    </w:rPr>
                    <w:t>550</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混用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1.3</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开路电压（Voc）</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V</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49.</w:t>
                  </w:r>
                  <w:r>
                    <w:rPr>
                      <w:rFonts w:hint="eastAsia" w:ascii="Times New Roman" w:eastAsia="宋体" w:cs="Times New Roman"/>
                      <w:color w:val="auto"/>
                      <w:sz w:val="21"/>
                      <w:szCs w:val="21"/>
                      <w:lang w:val="en-US" w:eastAsia="zh-CN"/>
                    </w:rPr>
                    <w:t>8</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41.80/41.95</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1.4</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短路电流（Isc）</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A</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13.</w:t>
                  </w:r>
                  <w:r>
                    <w:rPr>
                      <w:rFonts w:hint="eastAsia" w:ascii="Times New Roman" w:eastAsia="宋体" w:cs="Times New Roman"/>
                      <w:color w:val="auto"/>
                      <w:sz w:val="21"/>
                      <w:szCs w:val="21"/>
                      <w:lang w:val="en-US" w:eastAsia="zh-CN"/>
                    </w:rPr>
                    <w:t>98</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13.04/13.12</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1.5</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工作电压（Vmppt）</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V</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41.</w:t>
                  </w:r>
                  <w:r>
                    <w:rPr>
                      <w:rFonts w:hint="eastAsia" w:ascii="Times New Roman" w:eastAsia="宋体" w:cs="Times New Roman"/>
                      <w:color w:val="auto"/>
                      <w:sz w:val="21"/>
                      <w:szCs w:val="21"/>
                      <w:lang w:val="en-US" w:eastAsia="zh-CN"/>
                    </w:rPr>
                    <w:t>95</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49.65/49.80</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1.6</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工作电流（Imppt）</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A</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13.12</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13.92/13.99</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1.7</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峰值功率温度系数</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%/K</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-0.35</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--0.350</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1.8</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开路电压温度系数</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%/K</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-0.284</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-0.2</w:t>
                  </w:r>
                  <w:r>
                    <w:rPr>
                      <w:rFonts w:hint="eastAsia" w:ascii="Times New Roman" w:eastAsia="宋体" w:cs="Times New Roman"/>
                      <w:color w:val="auto"/>
                      <w:sz w:val="21"/>
                      <w:szCs w:val="21"/>
                      <w:lang w:val="en-US" w:eastAsia="zh-CN"/>
                    </w:rPr>
                    <w:t>65</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1.9</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短路电流</w:t>
                  </w:r>
                </w:p>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温度系数</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%/K</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+0.05</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+0.0</w:t>
                  </w:r>
                  <w:r>
                    <w:rPr>
                      <w:rFonts w:hint="eastAsia" w:ascii="Times New Roman" w:eastAsia="宋体" w:cs="Times New Roman"/>
                      <w:color w:val="auto"/>
                      <w:sz w:val="21"/>
                      <w:szCs w:val="21"/>
                      <w:lang w:val="en-US" w:eastAsia="zh-CN"/>
                    </w:rPr>
                    <w:t>50</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1.10</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第一年功率衰减</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2.0</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2.0</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1.11</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第十年功率衰减</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0.45</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0.45</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1.12</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第二十五年功率衰减</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0.45</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0.45</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1.13</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外形尺寸</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mm</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2256×1133×35</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2278×1134×35</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1.14</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重量</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kg</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32.3</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32.6</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1.15</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数量</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块</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pacing w:val="-8"/>
                      <w:sz w:val="21"/>
                      <w:szCs w:val="21"/>
                      <w:highlight w:val="none"/>
                      <w:lang w:val="en-US" w:eastAsia="zh-CN"/>
                    </w:rPr>
                    <w:t>388864</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76916/310856</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1.16</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跟踪方式</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固定</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固定</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1.17</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安装角度</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24</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eastAsia="宋体" w:cs="Times New Roman"/>
                      <w:color w:val="auto"/>
                      <w:sz w:val="21"/>
                      <w:szCs w:val="21"/>
                      <w:lang w:val="en-US" w:eastAsia="zh-CN"/>
                    </w:rPr>
                    <w:t>24</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000" w:type="pct"/>
                  <w:gridSpan w:val="7"/>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2、逆变器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2.1</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逆变器选型</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196kW</w:t>
                  </w:r>
                  <w:r>
                    <w:rPr>
                      <w:rFonts w:hint="eastAsia" w:ascii="Times New Roman" w:eastAsia="宋体" w:cs="Times New Roman"/>
                      <w:color w:val="auto"/>
                      <w:sz w:val="21"/>
                      <w:szCs w:val="21"/>
                      <w:lang w:val="en-US" w:eastAsia="zh-CN"/>
                    </w:rPr>
                    <w:t>型</w:t>
                  </w:r>
                  <w:r>
                    <w:rPr>
                      <w:rFonts w:hint="eastAsia" w:ascii="Times New Roman" w:hAnsi="Times New Roman" w:eastAsia="宋体" w:cs="Times New Roman"/>
                      <w:color w:val="auto"/>
                      <w:sz w:val="21"/>
                      <w:szCs w:val="21"/>
                    </w:rPr>
                    <w:t>组串式逆变器</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320kW型组串式逆变器</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2.1</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输出额定功率</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kW</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196</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320</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2.2</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最大直流功率</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kW</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216</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352</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2.3</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最大直流电压</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V</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1500</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1500</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2.4</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最高转换效率</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99.01</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99.01</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2.5</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中国效率</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98.52</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98.</w:t>
                  </w:r>
                  <w:r>
                    <w:rPr>
                      <w:rFonts w:hint="eastAsia" w:ascii="Times New Roman" w:eastAsia="宋体" w:cs="Times New Roman"/>
                      <w:color w:val="auto"/>
                      <w:sz w:val="21"/>
                      <w:szCs w:val="21"/>
                      <w:lang w:val="en-US" w:eastAsia="zh-CN"/>
                    </w:rPr>
                    <w:t>53</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2.6</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最大功率跟踪 （MPPT）范围</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V</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500-1500</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500-1500</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2.7</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最大直流输入电流</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A</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30*14</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2.8</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交流输出电压</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V</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800</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1500</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2.9</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输出频率要求</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Hz</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50±5Hz</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45-55</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2.10</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功率因数</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&gt;0.99</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&gt;0.99</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2.11</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外形尺寸</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mm</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1051×660×363</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1136×870×361</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2.12</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重量</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kg</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99</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116</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2.13</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防护等级</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IP66</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IP66</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2.14</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工作环境温度范围</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-25～+60</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-30～+60</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2.15</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数量</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台</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224</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120</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000" w:type="pct"/>
                  <w:gridSpan w:val="7"/>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3、就地升压变压器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3.1</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台数</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台</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16</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2</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3.2</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容量</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kVA</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3150</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3150</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3.3</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额定电压比</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kV</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35±2*2.5%/0.8kV</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35±2*2.5%/0.8kV</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000" w:type="pct"/>
                  <w:gridSpan w:val="7"/>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4、出线回路数、电压等级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4.1</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出线回路数</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回</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rPr>
                    <w:t>1</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bCs/>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rPr>
                    <w:t>1</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bCs/>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4.2</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电压等级</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kV</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bCs/>
                      <w:color w:val="auto"/>
                      <w:sz w:val="21"/>
                      <w:szCs w:val="21"/>
                      <w:lang w:val="en-US" w:eastAsia="zh-CN"/>
                    </w:rPr>
                  </w:pPr>
                  <w:r>
                    <w:rPr>
                      <w:rFonts w:hint="eastAsia" w:ascii="Times New Roman" w:eastAsia="宋体" w:cs="Times New Roman"/>
                      <w:b/>
                      <w:bCs/>
                      <w:color w:val="auto"/>
                      <w:sz w:val="21"/>
                      <w:szCs w:val="21"/>
                      <w:lang w:val="en-US" w:eastAsia="zh-CN"/>
                    </w:rPr>
                    <w:t>22</w:t>
                  </w:r>
                  <w:r>
                    <w:rPr>
                      <w:rFonts w:hint="eastAsia" w:ascii="Times New Roman" w:hAnsi="Times New Roman" w:eastAsia="宋体" w:cs="Times New Roman"/>
                      <w:b/>
                      <w:bCs/>
                      <w:color w:val="auto"/>
                      <w:sz w:val="21"/>
                      <w:szCs w:val="21"/>
                    </w:rPr>
                    <w:t>0</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bCs/>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eastAsia" w:ascii="Times New Roman" w:eastAsia="宋体" w:cs="Times New Roman"/>
                      <w:b/>
                      <w:bCs/>
                      <w:color w:val="auto"/>
                      <w:sz w:val="21"/>
                      <w:szCs w:val="21"/>
                      <w:lang w:val="en-US" w:eastAsia="zh-CN"/>
                    </w:rPr>
                    <w:t>110</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电压等级</w:t>
                  </w:r>
                  <w:r>
                    <w:rPr>
                      <w:rFonts w:hint="eastAsia" w:ascii="Times New Roman" w:eastAsia="宋体" w:cs="Times New Roman"/>
                      <w:b/>
                      <w:bCs/>
                      <w:color w:val="auto"/>
                      <w:sz w:val="21"/>
                      <w:szCs w:val="21"/>
                      <w:lang w:val="en-US" w:eastAsia="zh-CN"/>
                    </w:rPr>
                    <w:t>降低</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000" w:type="pct"/>
                  <w:gridSpan w:val="7"/>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四、土建施工</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编号</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名称</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单位</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数量</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备注</w:t>
                  </w: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数量</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备注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升压站用地面积</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hm²</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0.6450</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站内面积</w:t>
                  </w: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0.563</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站内面积</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2</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总面积</w:t>
                  </w:r>
                </w:p>
              </w:tc>
              <w:tc>
                <w:tcPr>
                  <w:tcW w:w="5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hm²</w:t>
                  </w:r>
                </w:p>
              </w:tc>
              <w:tc>
                <w:tcPr>
                  <w:tcW w:w="9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207.0107hm</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vertAlign w:val="baseline"/>
                      <w:lang w:val="en-US" w:eastAsia="zh-CN"/>
                    </w:rPr>
                    <w:t>（</w:t>
                  </w:r>
                  <w:r>
                    <w:rPr>
                      <w:rFonts w:hint="eastAsia" w:ascii="宋体" w:hAnsi="宋体" w:eastAsia="宋体" w:cs="宋体"/>
                      <w:color w:val="auto"/>
                      <w:sz w:val="21"/>
                      <w:szCs w:val="21"/>
                      <w:lang w:val="en-US" w:eastAsia="zh-CN"/>
                    </w:rPr>
                    <w:t>永久占地3.4300hm</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eastAsia="宋体" w:cs="Times New Roman"/>
                      <w:color w:val="auto"/>
                      <w:sz w:val="21"/>
                      <w:szCs w:val="21"/>
                      <w:lang w:val="en-US" w:eastAsia="zh-CN"/>
                    </w:rPr>
                  </w:pPr>
                </w:p>
              </w:tc>
              <w:tc>
                <w:tcPr>
                  <w:tcW w:w="16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205.01h</w:t>
                  </w:r>
                  <w:r>
                    <w:rPr>
                      <w:rFonts w:hint="eastAsia" w:ascii="宋体" w:hAnsi="宋体" w:eastAsia="宋体" w:cs="宋体"/>
                      <w:color w:val="auto"/>
                      <w:sz w:val="21"/>
                      <w:szCs w:val="21"/>
                    </w:rPr>
                    <w:t>m</w:t>
                  </w:r>
                  <w:r>
                    <w:rPr>
                      <w:rFonts w:hint="eastAsia" w:ascii="宋体" w:hAnsi="宋体" w:eastAsia="宋体" w:cs="宋体"/>
                      <w:color w:val="auto"/>
                      <w:sz w:val="21"/>
                      <w:szCs w:val="21"/>
                      <w:vertAlign w:val="superscript"/>
                    </w:rPr>
                    <w:t>2</w:t>
                  </w:r>
                </w:p>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eastAsia="宋体" w:cs="Times New Roman"/>
                      <w:color w:val="auto"/>
                      <w:sz w:val="21"/>
                      <w:szCs w:val="21"/>
                      <w:lang w:val="en-US" w:eastAsia="zh-CN"/>
                    </w:rPr>
                  </w:pPr>
                  <w:r>
                    <w:rPr>
                      <w:rFonts w:hint="eastAsia" w:ascii="宋体" w:hAnsi="宋体" w:eastAsia="宋体" w:cs="宋体"/>
                      <w:color w:val="auto"/>
                      <w:sz w:val="21"/>
                      <w:szCs w:val="21"/>
                    </w:rPr>
                    <w:t>（永久占地</w:t>
                  </w:r>
                  <w:r>
                    <w:rPr>
                      <w:rFonts w:hint="eastAsia" w:ascii="宋体" w:hAnsi="宋体" w:eastAsia="宋体" w:cs="宋体"/>
                      <w:color w:val="auto"/>
                      <w:sz w:val="21"/>
                      <w:szCs w:val="21"/>
                      <w:lang w:val="en-US" w:eastAsia="zh-CN"/>
                    </w:rPr>
                    <w:t>3.64hm</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；临时占地：201.37hm</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rPr>
                    <w:t>）</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3</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施工总工期</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月</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6</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7</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000" w:type="pct"/>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rPr>
                      <w:rFonts w:ascii="宋体" w:hAnsi="宋体" w:eastAsia="宋体" w:cs="宋体"/>
                      <w:b/>
                      <w:bCs/>
                      <w:color w:val="auto"/>
                      <w:spacing w:val="-1"/>
                      <w:sz w:val="21"/>
                      <w:szCs w:val="21"/>
                    </w:rPr>
                  </w:pPr>
                  <w:r>
                    <w:rPr>
                      <w:rFonts w:ascii="宋体" w:hAnsi="宋体" w:eastAsia="宋体" w:cs="宋体"/>
                      <w:b/>
                      <w:bCs/>
                      <w:color w:val="auto"/>
                      <w:spacing w:val="-1"/>
                      <w:sz w:val="21"/>
                      <w:szCs w:val="21"/>
                    </w:rPr>
                    <w:t>五、概算指标</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编号</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名称</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单位</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数量</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备注</w:t>
                  </w: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数量</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备注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工程静态总投资</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万元</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94507.12</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94178.21</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工程动态投资</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万元</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95587.50</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8"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3</w:t>
                  </w:r>
                </w:p>
              </w:tc>
              <w:tc>
                <w:tcPr>
                  <w:tcW w:w="595"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工程</w:t>
                  </w:r>
                  <w:r>
                    <w:rPr>
                      <w:rFonts w:hint="eastAsia" w:ascii="Times New Roman" w:eastAsia="宋体" w:cs="Times New Roman"/>
                      <w:color w:val="auto"/>
                      <w:sz w:val="21"/>
                      <w:szCs w:val="21"/>
                      <w:lang w:val="en-US" w:eastAsia="zh-CN"/>
                    </w:rPr>
                    <w:t>总</w:t>
                  </w:r>
                  <w:r>
                    <w:rPr>
                      <w:rFonts w:hint="eastAsia" w:ascii="Times New Roman" w:hAnsi="Times New Roman" w:eastAsia="宋体" w:cs="Times New Roman"/>
                      <w:color w:val="auto"/>
                      <w:sz w:val="21"/>
                      <w:szCs w:val="21"/>
                    </w:rPr>
                    <w:t>投资</w:t>
                  </w:r>
                </w:p>
              </w:tc>
              <w:tc>
                <w:tcPr>
                  <w:tcW w:w="58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万元</w:t>
                  </w:r>
                </w:p>
              </w:tc>
              <w:tc>
                <w:tcPr>
                  <w:tcW w:w="976"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95669.09</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c>
                <w:tcPr>
                  <w:tcW w:w="160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96430</w:t>
                  </w:r>
                </w:p>
              </w:tc>
              <w:tc>
                <w:tcPr>
                  <w:tcW w:w="502"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p>
              </w:tc>
            </w:tr>
          </w:tbl>
          <w:p>
            <w:pPr>
              <w:spacing w:line="360" w:lineRule="auto"/>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2.</w:t>
            </w:r>
            <w:r>
              <w:rPr>
                <w:rFonts w:hint="eastAsia" w:cs="Times New Roman"/>
                <w:b/>
                <w:bCs/>
                <w:color w:val="auto"/>
                <w:kern w:val="0"/>
                <w:sz w:val="24"/>
                <w:lang w:val="en-US" w:eastAsia="zh-CN"/>
              </w:rPr>
              <w:t>4</w:t>
            </w:r>
            <w:r>
              <w:rPr>
                <w:rFonts w:hint="eastAsia" w:ascii="Times New Roman" w:hAnsi="Times New Roman" w:eastAsia="宋体" w:cs="Times New Roman"/>
                <w:b/>
                <w:bCs/>
                <w:color w:val="auto"/>
                <w:kern w:val="0"/>
                <w:sz w:val="24"/>
              </w:rPr>
              <w:t>.1 光伏发电</w:t>
            </w:r>
            <w:r>
              <w:rPr>
                <w:rFonts w:ascii="Times New Roman" w:hAnsi="Times New Roman" w:eastAsia="宋体" w:cs="Times New Roman"/>
                <w:b/>
                <w:bCs/>
                <w:color w:val="auto"/>
                <w:kern w:val="0"/>
                <w:sz w:val="24"/>
              </w:rPr>
              <w:t>系统</w:t>
            </w:r>
          </w:p>
          <w:p>
            <w:pPr>
              <w:spacing w:line="360" w:lineRule="auto"/>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2.</w:t>
            </w:r>
            <w:r>
              <w:rPr>
                <w:rFonts w:hint="eastAsia" w:cs="Times New Roman"/>
                <w:b/>
                <w:bCs/>
                <w:color w:val="auto"/>
                <w:kern w:val="0"/>
                <w:sz w:val="24"/>
                <w:lang w:val="en-US" w:eastAsia="zh-CN"/>
              </w:rPr>
              <w:t>4</w:t>
            </w:r>
            <w:r>
              <w:rPr>
                <w:rFonts w:hint="eastAsia" w:ascii="Times New Roman" w:hAnsi="Times New Roman" w:eastAsia="宋体" w:cs="Times New Roman"/>
                <w:b/>
                <w:bCs/>
                <w:color w:val="auto"/>
                <w:kern w:val="0"/>
                <w:sz w:val="24"/>
              </w:rPr>
              <w:t>.1.1光伏阵列</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rPr>
            </w:pPr>
            <w:r>
              <w:rPr>
                <w:rFonts w:hint="eastAsia" w:ascii="Times New Roman" w:hAnsi="Times New Roman" w:eastAsia="宋体" w:cs="宋体"/>
                <w:color w:val="auto"/>
                <w:kern w:val="0"/>
                <w:sz w:val="24"/>
                <w:lang w:val="en-US" w:eastAsia="zh-CN"/>
              </w:rPr>
              <w:t>变更后</w:t>
            </w:r>
            <w:r>
              <w:rPr>
                <w:rFonts w:hint="eastAsia" w:ascii="Times New Roman" w:hAnsi="Times New Roman" w:eastAsia="宋体" w:cs="宋体"/>
                <w:color w:val="auto"/>
                <w:kern w:val="0"/>
                <w:sz w:val="24"/>
              </w:rPr>
              <w:t>项目规划装机容量170MW，直流侧装机容量212.89002</w:t>
            </w:r>
            <w:r>
              <w:rPr>
                <w:rFonts w:hint="eastAsia" w:ascii="Times New Roman" w:hAnsi="Times New Roman" w:cs="宋体"/>
                <w:color w:val="auto"/>
                <w:kern w:val="0"/>
                <w:sz w:val="24"/>
                <w:lang w:val="en-US" w:eastAsia="zh-CN"/>
              </w:rPr>
              <w:t>M</w:t>
            </w:r>
            <w:r>
              <w:rPr>
                <w:rFonts w:hint="eastAsia" w:ascii="Times New Roman" w:hAnsi="Times New Roman" w:eastAsia="宋体" w:cs="宋体"/>
                <w:color w:val="auto"/>
                <w:kern w:val="0"/>
                <w:sz w:val="24"/>
              </w:rPr>
              <w:t>Wp</w:t>
            </w:r>
            <w:r>
              <w:rPr>
                <w:rFonts w:hint="eastAsia" w:ascii="Times New Roman" w:hAnsi="Times New Roman" w:cs="宋体"/>
                <w:color w:val="auto"/>
                <w:kern w:val="0"/>
                <w:sz w:val="24"/>
                <w:lang w:eastAsia="zh-CN"/>
              </w:rPr>
              <w:t>，共设计标称容量为3150kW的光伏方阵52个以及标称容量为</w:t>
            </w:r>
            <w:r>
              <w:rPr>
                <w:rFonts w:hint="eastAsia" w:ascii="Times New Roman" w:hAnsi="Times New Roman" w:cs="宋体"/>
                <w:color w:val="auto"/>
                <w:kern w:val="0"/>
                <w:sz w:val="24"/>
                <w:lang w:val="en-US" w:eastAsia="zh-CN"/>
              </w:rPr>
              <w:t>2000</w:t>
            </w:r>
            <w:r>
              <w:rPr>
                <w:rFonts w:hint="eastAsia" w:ascii="Times New Roman" w:hAnsi="Times New Roman" w:cs="宋体"/>
                <w:color w:val="auto"/>
                <w:kern w:val="0"/>
                <w:sz w:val="24"/>
                <w:lang w:eastAsia="zh-CN"/>
              </w:rPr>
              <w:t>kW的光伏方阵2个，每个光伏方阵配置256（288）个组串（每个组串由28块组件串联）、16（18）台组串式逆变器和1台容量为3150kVA（3500kVA）双绕组升压箱变。</w:t>
            </w:r>
            <w:r>
              <w:rPr>
                <w:rFonts w:hint="eastAsia" w:ascii="Times New Roman" w:hAnsi="Times New Roman" w:eastAsia="宋体" w:cs="宋体"/>
                <w:color w:val="auto"/>
                <w:kern w:val="0"/>
                <w:sz w:val="24"/>
              </w:rPr>
              <w:t>组件选用</w:t>
            </w:r>
            <w:r>
              <w:rPr>
                <w:rFonts w:hint="eastAsia" w:ascii="Times New Roman" w:hAnsi="Times New Roman" w:eastAsia="宋体" w:cs="Times New Roman"/>
                <w:color w:val="auto"/>
                <w:sz w:val="24"/>
              </w:rPr>
              <w:t>峰值功率为54</w:t>
            </w:r>
            <w:r>
              <w:rPr>
                <w:rFonts w:hint="eastAsia" w:ascii="Times New Roman" w:hAnsi="Times New Roman" w:cs="Times New Roman"/>
                <w:color w:val="auto"/>
                <w:sz w:val="24"/>
                <w:lang w:val="en-US" w:eastAsia="zh-CN"/>
              </w:rPr>
              <w:t>5</w:t>
            </w:r>
            <w:r>
              <w:rPr>
                <w:rFonts w:hint="eastAsia" w:ascii="Times New Roman" w:hAnsi="Times New Roman" w:eastAsia="宋体" w:cs="Times New Roman"/>
                <w:color w:val="auto"/>
                <w:sz w:val="24"/>
              </w:rPr>
              <w:t>Wp</w:t>
            </w:r>
            <w:r>
              <w:rPr>
                <w:rFonts w:hint="eastAsia" w:ascii="Times New Roman" w:hAnsi="Times New Roman" w:cs="Times New Roman"/>
                <w:color w:val="auto"/>
                <w:sz w:val="24"/>
                <w:lang w:val="en-US" w:eastAsia="zh-CN"/>
              </w:rPr>
              <w:t>和550Wp</w:t>
            </w:r>
            <w:r>
              <w:rPr>
                <w:rFonts w:hint="eastAsia" w:ascii="Times New Roman" w:hAnsi="Times New Roman" w:eastAsia="宋体" w:cs="Times New Roman"/>
                <w:color w:val="auto"/>
                <w:sz w:val="24"/>
              </w:rPr>
              <w:t>的</w:t>
            </w:r>
            <w:r>
              <w:rPr>
                <w:rFonts w:hint="eastAsia" w:ascii="Times New Roman" w:hAnsi="Times New Roman" w:eastAsia="宋体" w:cs="Times New Roman"/>
                <w:color w:val="auto"/>
                <w:sz w:val="24"/>
                <w:lang w:val="zh-TW"/>
              </w:rPr>
              <w:t>双面双玻单晶硅</w:t>
            </w:r>
            <w:r>
              <w:rPr>
                <w:rFonts w:hint="eastAsia" w:ascii="Times New Roman" w:hAnsi="Times New Roman" w:eastAsia="宋体" w:cs="Times New Roman"/>
                <w:color w:val="auto"/>
                <w:sz w:val="24"/>
              </w:rPr>
              <w:t>电池组件，逆变器选用额定功率为</w:t>
            </w:r>
            <w:r>
              <w:rPr>
                <w:rFonts w:hint="eastAsia" w:ascii="Times New Roman" w:hAnsi="Times New Roman" w:cs="Times New Roman"/>
                <w:color w:val="auto"/>
                <w:sz w:val="24"/>
                <w:lang w:val="en-US" w:eastAsia="zh-CN"/>
              </w:rPr>
              <w:t>320</w:t>
            </w:r>
            <w:r>
              <w:rPr>
                <w:rFonts w:hint="eastAsia" w:ascii="Times New Roman" w:hAnsi="Times New Roman" w:eastAsia="宋体" w:cs="Times New Roman"/>
                <w:color w:val="auto"/>
                <w:sz w:val="24"/>
              </w:rPr>
              <w:t>kW的组串式逆变器。</w:t>
            </w:r>
            <w:r>
              <w:rPr>
                <w:rFonts w:hint="eastAsia" w:ascii="Times New Roman" w:hAnsi="Times New Roman" w:eastAsia="宋体" w:cs="宋体"/>
                <w:color w:val="auto"/>
                <w:kern w:val="0"/>
                <w:sz w:val="24"/>
              </w:rPr>
              <w:t>全站170MW分布于</w:t>
            </w:r>
            <w:r>
              <w:rPr>
                <w:rFonts w:hint="eastAsia" w:ascii="Times New Roman" w:hAnsi="Times New Roman" w:cs="宋体"/>
                <w:color w:val="auto"/>
                <w:kern w:val="0"/>
                <w:sz w:val="24"/>
                <w:lang w:eastAsia="zh-CN"/>
              </w:rPr>
              <w:t>阿</w:t>
            </w:r>
            <w:r>
              <w:rPr>
                <w:rFonts w:hint="eastAsia" w:ascii="Times New Roman" w:hAnsi="Times New Roman" w:cs="宋体"/>
                <w:color w:val="auto"/>
                <w:kern w:val="0"/>
                <w:sz w:val="24"/>
                <w:lang w:val="en-US" w:eastAsia="zh-CN"/>
              </w:rPr>
              <w:t>郎</w:t>
            </w:r>
            <w:r>
              <w:rPr>
                <w:rFonts w:hint="eastAsia" w:ascii="Times New Roman" w:hAnsi="Times New Roman" w:eastAsia="宋体" w:cs="宋体"/>
                <w:color w:val="auto"/>
                <w:kern w:val="0"/>
                <w:sz w:val="24"/>
              </w:rPr>
              <w:t>、沙沟、松树湾</w:t>
            </w:r>
            <w:r>
              <w:rPr>
                <w:rFonts w:hint="eastAsia" w:ascii="Times New Roman" w:hAnsi="Times New Roman" w:cs="宋体"/>
                <w:color w:val="auto"/>
                <w:kern w:val="0"/>
                <w:sz w:val="24"/>
                <w:lang w:val="en-US" w:eastAsia="zh-CN"/>
              </w:rPr>
              <w:t>3</w:t>
            </w:r>
            <w:r>
              <w:rPr>
                <w:rFonts w:hint="eastAsia" w:ascii="Times New Roman" w:hAnsi="Times New Roman" w:eastAsia="宋体" w:cs="宋体"/>
                <w:color w:val="auto"/>
                <w:kern w:val="0"/>
                <w:sz w:val="24"/>
              </w:rPr>
              <w:t>个片区。各片区装机容量见表2.2-1。</w:t>
            </w:r>
            <w:r>
              <w:rPr>
                <w:rFonts w:hint="eastAsia" w:ascii="Times New Roman" w:hAnsi="Times New Roman" w:eastAsia="宋体" w:cs="Times New Roman"/>
                <w:color w:val="auto"/>
                <w:sz w:val="24"/>
              </w:rPr>
              <w:t>方阵支架采用固定式支架，固定支架安装规模209.98656MWp，每个支架安装28块电池组件（2×14竖向布置），按24°倾角布置；支架按最低沿离地</w:t>
            </w:r>
            <w:r>
              <w:rPr>
                <w:rFonts w:ascii="Times New Roman" w:hAnsi="Times New Roman" w:eastAsia="宋体" w:cs="Times New Roman"/>
                <w:color w:val="auto"/>
                <w:sz w:val="24"/>
              </w:rPr>
              <w:t>2.5m</w:t>
            </w:r>
            <w:r>
              <w:rPr>
                <w:rFonts w:hint="eastAsia" w:ascii="Times New Roman" w:hAnsi="Times New Roman" w:eastAsia="宋体" w:cs="Times New Roman"/>
                <w:color w:val="auto"/>
                <w:sz w:val="24"/>
              </w:rPr>
              <w:t>（林地内）、桩基间列间距大于</w:t>
            </w:r>
            <w:r>
              <w:rPr>
                <w:rFonts w:ascii="Times New Roman" w:hAnsi="Times New Roman" w:eastAsia="宋体" w:cs="Times New Roman"/>
                <w:color w:val="auto"/>
                <w:sz w:val="24"/>
              </w:rPr>
              <w:t>4m</w:t>
            </w:r>
            <w:r>
              <w:rPr>
                <w:rFonts w:hint="eastAsia" w:ascii="Times New Roman" w:hAnsi="Times New Roman" w:eastAsia="宋体" w:cs="Times New Roman"/>
                <w:color w:val="auto"/>
                <w:sz w:val="24"/>
              </w:rPr>
              <w:t>、行间距大于</w:t>
            </w:r>
            <w:r>
              <w:rPr>
                <w:rFonts w:ascii="Times New Roman" w:hAnsi="Times New Roman" w:eastAsia="宋体" w:cs="Times New Roman"/>
                <w:color w:val="auto"/>
                <w:sz w:val="24"/>
              </w:rPr>
              <w:t>6.5m</w:t>
            </w:r>
            <w:r>
              <w:rPr>
                <w:rFonts w:hint="eastAsia" w:ascii="Times New Roman" w:hAnsi="Times New Roman" w:eastAsia="宋体" w:cs="Times New Roman"/>
                <w:color w:val="auto"/>
                <w:sz w:val="24"/>
              </w:rPr>
              <w:t>的架设要求执行。</w:t>
            </w:r>
            <w:r>
              <w:rPr>
                <w:rFonts w:hint="eastAsia" w:ascii="Times New Roman" w:hAnsi="Times New Roman" w:eastAsia="宋体" w:cs="Times New Roman"/>
                <w:color w:val="auto"/>
                <w:kern w:val="0"/>
                <w:sz w:val="24"/>
              </w:rPr>
              <w:t>全站共用太阳能电池组件388864块、逆变器868</w:t>
            </w:r>
            <w:r>
              <w:rPr>
                <w:rFonts w:ascii="Times New Roman" w:hAnsi="Times New Roman" w:eastAsia="宋体" w:cs="Times New Roman"/>
                <w:color w:val="auto"/>
                <w:kern w:val="0"/>
                <w:sz w:val="24"/>
              </w:rPr>
              <w:t>台、</w:t>
            </w:r>
            <w:r>
              <w:rPr>
                <w:rFonts w:hint="eastAsia" w:ascii="Times New Roman" w:hAnsi="Times New Roman" w:eastAsia="宋体" w:cs="Times New Roman"/>
                <w:color w:val="auto"/>
                <w:kern w:val="0"/>
                <w:sz w:val="24"/>
              </w:rPr>
              <w:t>箱变54</w:t>
            </w:r>
            <w:r>
              <w:rPr>
                <w:rFonts w:ascii="Times New Roman" w:hAnsi="Times New Roman" w:eastAsia="宋体" w:cs="Times New Roman"/>
                <w:color w:val="auto"/>
                <w:kern w:val="0"/>
                <w:sz w:val="24"/>
              </w:rPr>
              <w:t>台</w:t>
            </w:r>
            <w:r>
              <w:rPr>
                <w:rFonts w:hint="eastAsia" w:ascii="Times New Roman" w:hAnsi="Times New Roman" w:eastAsia="宋体" w:cs="Times New Roman"/>
                <w:color w:val="auto"/>
                <w:sz w:val="24"/>
              </w:rPr>
              <w:t>。</w:t>
            </w:r>
          </w:p>
          <w:p>
            <w:pPr>
              <w:adjustRightInd w:val="0"/>
              <w:snapToGrid w:val="0"/>
              <w:spacing w:line="360" w:lineRule="auto"/>
              <w:ind w:firstLine="482" w:firstLineChars="200"/>
              <w:jc w:val="left"/>
              <w:rPr>
                <w:rFonts w:hint="eastAsia" w:ascii="Times New Roman" w:hAnsi="Times New Roman" w:eastAsia="宋体" w:cs="宋体"/>
                <w:b/>
                <w:color w:val="auto"/>
                <w:kern w:val="0"/>
                <w:sz w:val="24"/>
              </w:rPr>
            </w:pPr>
            <w:r>
              <w:rPr>
                <w:rFonts w:hint="eastAsia" w:ascii="Times New Roman" w:hAnsi="Times New Roman" w:eastAsia="宋体" w:cs="宋体"/>
                <w:b/>
                <w:color w:val="auto"/>
                <w:kern w:val="0"/>
                <w:sz w:val="24"/>
              </w:rPr>
              <w:t>（1）光伏组件</w:t>
            </w:r>
          </w:p>
          <w:p>
            <w:pPr>
              <w:adjustRightInd w:val="0"/>
              <w:snapToGrid w:val="0"/>
              <w:spacing w:line="360" w:lineRule="auto"/>
              <w:ind w:firstLine="480" w:firstLineChars="200"/>
              <w:jc w:val="left"/>
              <w:rPr>
                <w:rFonts w:ascii="宋体" w:hAnsi="宋体" w:eastAsia="宋体" w:cs="宋体"/>
                <w:color w:val="auto"/>
                <w:kern w:val="0"/>
                <w:sz w:val="24"/>
              </w:rPr>
            </w:pPr>
            <w:r>
              <w:rPr>
                <w:rFonts w:ascii="宋体" w:hAnsi="宋体" w:eastAsia="宋体" w:cs="宋体"/>
                <w:color w:val="auto"/>
                <w:kern w:val="0"/>
                <w:sz w:val="24"/>
              </w:rPr>
              <w:t>项目选用</w:t>
            </w:r>
            <w:r>
              <w:rPr>
                <w:rFonts w:hint="eastAsia" w:ascii="宋体" w:hAnsi="宋体" w:eastAsia="宋体" w:cs="宋体"/>
                <w:color w:val="auto"/>
                <w:kern w:val="0"/>
                <w:sz w:val="24"/>
              </w:rPr>
              <w:t>的单晶硅太阳能电池组件主要参数见表2</w:t>
            </w:r>
            <w:r>
              <w:rPr>
                <w:rFonts w:hint="eastAsia" w:ascii="宋体" w:hAnsi="宋体" w:cs="宋体"/>
                <w:color w:val="auto"/>
                <w:kern w:val="0"/>
                <w:sz w:val="24"/>
                <w:lang w:val="en-US" w:eastAsia="zh-CN"/>
              </w:rPr>
              <w:t>.4</w:t>
            </w:r>
            <w:r>
              <w:rPr>
                <w:rFonts w:hint="eastAsia" w:ascii="宋体" w:hAnsi="宋体" w:eastAsia="宋体" w:cs="宋体"/>
                <w:color w:val="auto"/>
                <w:kern w:val="0"/>
                <w:sz w:val="24"/>
              </w:rPr>
              <w:t>-2：</w:t>
            </w:r>
          </w:p>
          <w:p>
            <w:pPr>
              <w:adjustRightInd w:val="0"/>
              <w:snapToGrid w:val="0"/>
              <w:spacing w:line="240" w:lineRule="auto"/>
              <w:jc w:val="center"/>
              <w:rPr>
                <w:rFonts w:hint="default" w:ascii="Times New Roman" w:hAnsi="Times New Roman" w:eastAsia="宋体" w:cs="Times New Roman"/>
                <w:b/>
                <w:bCs/>
                <w:color w:val="auto"/>
                <w:szCs w:val="28"/>
                <w:lang w:val="en-US" w:eastAsia="zh-CN"/>
              </w:rPr>
            </w:pPr>
            <w:r>
              <w:rPr>
                <w:rFonts w:hint="default" w:ascii="Times New Roman" w:hAnsi="Times New Roman" w:eastAsia="宋体" w:cs="Times New Roman"/>
                <w:b/>
                <w:bCs/>
                <w:color w:val="auto"/>
                <w:szCs w:val="28"/>
                <w:lang w:val="en-US" w:eastAsia="zh-CN"/>
              </w:rPr>
              <w:t>表2.</w:t>
            </w:r>
            <w:r>
              <w:rPr>
                <w:rFonts w:hint="eastAsia" w:ascii="Times New Roman" w:hAnsi="Times New Roman" w:eastAsia="宋体" w:cs="Times New Roman"/>
                <w:b/>
                <w:bCs/>
                <w:color w:val="auto"/>
                <w:szCs w:val="28"/>
                <w:lang w:val="en-US" w:eastAsia="zh-CN"/>
              </w:rPr>
              <w:t>4</w:t>
            </w:r>
            <w:r>
              <w:rPr>
                <w:rFonts w:hint="default" w:ascii="Times New Roman" w:hAnsi="Times New Roman" w:eastAsia="宋体" w:cs="Times New Roman"/>
                <w:b/>
                <w:bCs/>
                <w:color w:val="auto"/>
                <w:szCs w:val="28"/>
                <w:lang w:val="en-US" w:eastAsia="zh-CN"/>
              </w:rPr>
              <w:t>-2  单晶太阳能电池组件主要性能参数表</w:t>
            </w:r>
          </w:p>
          <w:tbl>
            <w:tblPr>
              <w:tblStyle w:val="18"/>
              <w:tblW w:w="5000" w:type="pct"/>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56"/>
              <w:gridCol w:w="1962"/>
              <w:gridCol w:w="1962"/>
              <w:gridCol w:w="1960"/>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bCs/>
                      <w:color w:val="auto"/>
                      <w:spacing w:val="-2"/>
                      <w:sz w:val="21"/>
                      <w:szCs w:val="21"/>
                      <w:lang w:eastAsia="en-US"/>
                    </w:rPr>
                  </w:pPr>
                  <w:r>
                    <w:rPr>
                      <w:rFonts w:hint="eastAsia" w:ascii="Times New Roman" w:hAnsi="Times New Roman" w:eastAsia="宋体" w:cs="Times New Roman"/>
                      <w:b/>
                      <w:bCs/>
                      <w:color w:val="auto"/>
                      <w:spacing w:val="-2"/>
                      <w:sz w:val="21"/>
                      <w:szCs w:val="21"/>
                      <w:lang w:eastAsia="en-US"/>
                    </w:rPr>
                    <w:t>项目</w:t>
                  </w:r>
                </w:p>
              </w:tc>
              <w:tc>
                <w:tcPr>
                  <w:tcW w:w="11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bCs/>
                      <w:color w:val="auto"/>
                      <w:spacing w:val="-2"/>
                      <w:sz w:val="21"/>
                      <w:szCs w:val="21"/>
                      <w:lang w:eastAsia="en-US"/>
                    </w:rPr>
                  </w:pPr>
                  <w:r>
                    <w:rPr>
                      <w:rFonts w:hint="eastAsia" w:ascii="Times New Roman" w:hAnsi="Times New Roman" w:eastAsia="宋体" w:cs="Times New Roman"/>
                      <w:b/>
                      <w:bCs/>
                      <w:color w:val="auto"/>
                      <w:spacing w:val="-2"/>
                      <w:sz w:val="21"/>
                      <w:szCs w:val="21"/>
                      <w:lang w:eastAsia="en-US"/>
                    </w:rPr>
                    <w:t>单位</w:t>
                  </w:r>
                </w:p>
              </w:tc>
              <w:tc>
                <w:tcPr>
                  <w:tcW w:w="226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bCs/>
                      <w:color w:val="auto"/>
                      <w:spacing w:val="-2"/>
                      <w:sz w:val="21"/>
                      <w:szCs w:val="21"/>
                      <w:lang w:eastAsia="en-US"/>
                    </w:rPr>
                  </w:pPr>
                  <w:r>
                    <w:rPr>
                      <w:rFonts w:hint="eastAsia" w:ascii="Times New Roman" w:hAnsi="Times New Roman" w:eastAsia="宋体" w:cs="Times New Roman"/>
                      <w:b/>
                      <w:bCs/>
                      <w:color w:val="auto"/>
                      <w:spacing w:val="-2"/>
                      <w:sz w:val="21"/>
                      <w:szCs w:val="21"/>
                      <w:lang w:eastAsia="en-US"/>
                    </w:rPr>
                    <w:t>性能参数</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rPr>
                  </w:pPr>
                  <w:r>
                    <w:rPr>
                      <w:rFonts w:hint="eastAsia" w:ascii="Times New Roman" w:hAnsi="Times New Roman" w:eastAsia="宋体" w:cs="Times New Roman"/>
                      <w:b w:val="0"/>
                      <w:bCs w:val="0"/>
                      <w:color w:val="auto"/>
                      <w:spacing w:val="-2"/>
                      <w:sz w:val="21"/>
                      <w:szCs w:val="21"/>
                    </w:rPr>
                    <w:t>组件类型</w:t>
                  </w:r>
                </w:p>
              </w:tc>
              <w:tc>
                <w:tcPr>
                  <w:tcW w:w="11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p>
              </w:tc>
              <w:tc>
                <w:tcPr>
                  <w:tcW w:w="226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hint="eastAsia" w:ascii="Times New Roman" w:hAnsi="Times New Roman" w:eastAsia="宋体" w:cs="Times New Roman"/>
                      <w:b w:val="0"/>
                      <w:bCs w:val="0"/>
                      <w:color w:val="auto"/>
                      <w:spacing w:val="-2"/>
                      <w:sz w:val="21"/>
                      <w:szCs w:val="21"/>
                    </w:rPr>
                    <w:t>双面双玻单晶硅</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hint="eastAsia" w:ascii="Times New Roman" w:hAnsi="Times New Roman" w:eastAsia="宋体" w:cs="Times New Roman"/>
                      <w:b w:val="0"/>
                      <w:bCs w:val="0"/>
                      <w:color w:val="auto"/>
                      <w:spacing w:val="-2"/>
                      <w:sz w:val="21"/>
                      <w:szCs w:val="21"/>
                      <w:lang w:eastAsia="en-US"/>
                    </w:rPr>
                    <w:t>最大输出功率</w:t>
                  </w:r>
                </w:p>
              </w:tc>
              <w:tc>
                <w:tcPr>
                  <w:tcW w:w="11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W</w:t>
                  </w:r>
                  <w:r>
                    <w:rPr>
                      <w:rFonts w:hint="eastAsia" w:ascii="Times New Roman" w:hAnsi="Times New Roman" w:eastAsia="宋体" w:cs="Times New Roman"/>
                      <w:b w:val="0"/>
                      <w:bCs w:val="0"/>
                      <w:color w:val="auto"/>
                      <w:spacing w:val="-2"/>
                      <w:sz w:val="21"/>
                      <w:szCs w:val="21"/>
                    </w:rPr>
                    <w:t>p</w:t>
                  </w:r>
                </w:p>
              </w:tc>
              <w:tc>
                <w:tcPr>
                  <w:tcW w:w="11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545</w:t>
                  </w:r>
                </w:p>
              </w:tc>
              <w:tc>
                <w:tcPr>
                  <w:tcW w:w="11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550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hint="eastAsia" w:ascii="Times New Roman" w:hAnsi="Times New Roman" w:eastAsia="宋体" w:cs="Times New Roman"/>
                      <w:b w:val="0"/>
                      <w:bCs w:val="0"/>
                      <w:color w:val="auto"/>
                      <w:spacing w:val="-2"/>
                      <w:sz w:val="21"/>
                      <w:szCs w:val="21"/>
                    </w:rPr>
                    <w:t>单体电池规格</w:t>
                  </w:r>
                </w:p>
              </w:tc>
              <w:tc>
                <w:tcPr>
                  <w:tcW w:w="11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hint="eastAsia" w:ascii="Times New Roman" w:hAnsi="Times New Roman" w:eastAsia="宋体" w:cs="Times New Roman"/>
                      <w:b w:val="0"/>
                      <w:bCs w:val="0"/>
                      <w:color w:val="auto"/>
                      <w:spacing w:val="-2"/>
                      <w:sz w:val="21"/>
                      <w:szCs w:val="21"/>
                    </w:rPr>
                    <w:t>mm</w:t>
                  </w:r>
                </w:p>
              </w:tc>
              <w:tc>
                <w:tcPr>
                  <w:tcW w:w="226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rPr>
                  </w:pPr>
                  <w:r>
                    <w:rPr>
                      <w:rFonts w:hint="eastAsia" w:ascii="Times New Roman" w:hAnsi="Times New Roman" w:eastAsia="宋体" w:cs="Times New Roman"/>
                      <w:b w:val="0"/>
                      <w:bCs w:val="0"/>
                      <w:color w:val="auto"/>
                      <w:spacing w:val="-2"/>
                      <w:sz w:val="21"/>
                      <w:szCs w:val="21"/>
                    </w:rPr>
                    <w:t>1</w:t>
                  </w:r>
                  <w:r>
                    <w:rPr>
                      <w:rFonts w:ascii="Times New Roman" w:hAnsi="Times New Roman" w:eastAsia="宋体" w:cs="Times New Roman"/>
                      <w:b w:val="0"/>
                      <w:bCs w:val="0"/>
                      <w:color w:val="auto"/>
                      <w:spacing w:val="-2"/>
                      <w:sz w:val="21"/>
                      <w:szCs w:val="21"/>
                    </w:rPr>
                    <w:t>82*182</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rPr>
                  </w:pPr>
                  <w:r>
                    <w:rPr>
                      <w:rFonts w:hint="eastAsia" w:ascii="Times New Roman" w:hAnsi="Times New Roman" w:eastAsia="宋体" w:cs="Times New Roman"/>
                      <w:b w:val="0"/>
                      <w:bCs w:val="0"/>
                      <w:color w:val="auto"/>
                      <w:spacing w:val="-2"/>
                      <w:sz w:val="21"/>
                      <w:szCs w:val="21"/>
                    </w:rPr>
                    <w:t>最大功率点的工作电压</w:t>
                  </w:r>
                </w:p>
              </w:tc>
              <w:tc>
                <w:tcPr>
                  <w:tcW w:w="11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V</w:t>
                  </w:r>
                </w:p>
              </w:tc>
              <w:tc>
                <w:tcPr>
                  <w:tcW w:w="11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41.80</w:t>
                  </w:r>
                </w:p>
              </w:tc>
              <w:tc>
                <w:tcPr>
                  <w:tcW w:w="11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41.95</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rPr>
                  </w:pPr>
                  <w:r>
                    <w:rPr>
                      <w:rFonts w:hint="eastAsia" w:ascii="Times New Roman" w:hAnsi="Times New Roman" w:eastAsia="宋体" w:cs="Times New Roman"/>
                      <w:b w:val="0"/>
                      <w:bCs w:val="0"/>
                      <w:color w:val="auto"/>
                      <w:spacing w:val="-2"/>
                      <w:sz w:val="21"/>
                      <w:szCs w:val="21"/>
                    </w:rPr>
                    <w:t>最大功率点的工作电流</w:t>
                  </w:r>
                </w:p>
              </w:tc>
              <w:tc>
                <w:tcPr>
                  <w:tcW w:w="11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A</w:t>
                  </w:r>
                </w:p>
              </w:tc>
              <w:tc>
                <w:tcPr>
                  <w:tcW w:w="11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13.04</w:t>
                  </w:r>
                </w:p>
              </w:tc>
              <w:tc>
                <w:tcPr>
                  <w:tcW w:w="11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13.12</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hint="eastAsia" w:ascii="Times New Roman" w:hAnsi="Times New Roman" w:eastAsia="宋体" w:cs="Times New Roman"/>
                      <w:b w:val="0"/>
                      <w:bCs w:val="0"/>
                      <w:color w:val="auto"/>
                      <w:spacing w:val="-2"/>
                      <w:sz w:val="21"/>
                      <w:szCs w:val="21"/>
                      <w:lang w:eastAsia="en-US"/>
                    </w:rPr>
                    <w:t>开路电压</w:t>
                  </w:r>
                </w:p>
              </w:tc>
              <w:tc>
                <w:tcPr>
                  <w:tcW w:w="11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V</w:t>
                  </w:r>
                </w:p>
              </w:tc>
              <w:tc>
                <w:tcPr>
                  <w:tcW w:w="11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49.65</w:t>
                  </w:r>
                </w:p>
              </w:tc>
              <w:tc>
                <w:tcPr>
                  <w:tcW w:w="11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49.80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hint="eastAsia" w:ascii="Times New Roman" w:hAnsi="Times New Roman" w:eastAsia="宋体" w:cs="Times New Roman"/>
                      <w:b w:val="0"/>
                      <w:bCs w:val="0"/>
                      <w:color w:val="auto"/>
                      <w:spacing w:val="-2"/>
                      <w:sz w:val="21"/>
                      <w:szCs w:val="21"/>
                      <w:lang w:eastAsia="en-US"/>
                    </w:rPr>
                    <w:t>短路电流</w:t>
                  </w:r>
                </w:p>
              </w:tc>
              <w:tc>
                <w:tcPr>
                  <w:tcW w:w="11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A</w:t>
                  </w:r>
                </w:p>
              </w:tc>
              <w:tc>
                <w:tcPr>
                  <w:tcW w:w="11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13.92</w:t>
                  </w:r>
                </w:p>
              </w:tc>
              <w:tc>
                <w:tcPr>
                  <w:tcW w:w="11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13.99</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hint="eastAsia" w:ascii="Times New Roman" w:hAnsi="Times New Roman" w:eastAsia="宋体" w:cs="Times New Roman"/>
                      <w:b w:val="0"/>
                      <w:bCs w:val="0"/>
                      <w:color w:val="auto"/>
                      <w:spacing w:val="-2"/>
                      <w:sz w:val="21"/>
                      <w:szCs w:val="21"/>
                      <w:lang w:eastAsia="en-US"/>
                    </w:rPr>
                    <w:t>短路电流的温度系数</w:t>
                  </w:r>
                </w:p>
              </w:tc>
              <w:tc>
                <w:tcPr>
                  <w:tcW w:w="11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w:t>
                  </w:r>
                  <w:r>
                    <w:rPr>
                      <w:rFonts w:ascii="Times New Roman" w:hAnsi="Times New Roman" w:eastAsia="宋体" w:cs="Times New Roman"/>
                      <w:b w:val="0"/>
                      <w:bCs w:val="0"/>
                      <w:color w:val="auto"/>
                      <w:spacing w:val="-2"/>
                      <w:sz w:val="21"/>
                      <w:szCs w:val="21"/>
                    </w:rPr>
                    <w:t>°C</w:t>
                  </w:r>
                </w:p>
              </w:tc>
              <w:tc>
                <w:tcPr>
                  <w:tcW w:w="226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+0.050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hint="eastAsia" w:ascii="Times New Roman" w:hAnsi="Times New Roman" w:eastAsia="宋体" w:cs="Times New Roman"/>
                      <w:b w:val="0"/>
                      <w:bCs w:val="0"/>
                      <w:color w:val="auto"/>
                      <w:spacing w:val="-2"/>
                      <w:sz w:val="21"/>
                      <w:szCs w:val="21"/>
                      <w:lang w:eastAsia="en-US"/>
                    </w:rPr>
                    <w:t>开路电压的温度系数</w:t>
                  </w:r>
                </w:p>
              </w:tc>
              <w:tc>
                <w:tcPr>
                  <w:tcW w:w="11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w:t>
                  </w:r>
                  <w:r>
                    <w:rPr>
                      <w:rFonts w:ascii="Times New Roman" w:hAnsi="Times New Roman" w:eastAsia="宋体" w:cs="Times New Roman"/>
                      <w:b w:val="0"/>
                      <w:bCs w:val="0"/>
                      <w:color w:val="auto"/>
                      <w:spacing w:val="-2"/>
                      <w:sz w:val="21"/>
                      <w:szCs w:val="21"/>
                    </w:rPr>
                    <w:t>°C</w:t>
                  </w:r>
                </w:p>
              </w:tc>
              <w:tc>
                <w:tcPr>
                  <w:tcW w:w="226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-0.265</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hint="eastAsia" w:ascii="Times New Roman" w:hAnsi="Times New Roman" w:eastAsia="宋体" w:cs="Times New Roman"/>
                      <w:b w:val="0"/>
                      <w:bCs w:val="0"/>
                      <w:color w:val="auto"/>
                      <w:spacing w:val="-2"/>
                      <w:sz w:val="21"/>
                      <w:szCs w:val="21"/>
                      <w:lang w:eastAsia="en-US"/>
                    </w:rPr>
                    <w:t>峰值功率的温度系数</w:t>
                  </w:r>
                </w:p>
              </w:tc>
              <w:tc>
                <w:tcPr>
                  <w:tcW w:w="11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w:t>
                  </w:r>
                  <w:r>
                    <w:rPr>
                      <w:rFonts w:ascii="Times New Roman" w:hAnsi="Times New Roman" w:eastAsia="宋体" w:cs="Times New Roman"/>
                      <w:b w:val="0"/>
                      <w:bCs w:val="0"/>
                      <w:color w:val="auto"/>
                      <w:spacing w:val="-2"/>
                      <w:sz w:val="21"/>
                      <w:szCs w:val="21"/>
                    </w:rPr>
                    <w:t>°C</w:t>
                  </w:r>
                </w:p>
              </w:tc>
              <w:tc>
                <w:tcPr>
                  <w:tcW w:w="226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-0.340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hint="eastAsia" w:ascii="Times New Roman" w:hAnsi="Times New Roman" w:eastAsia="宋体" w:cs="Times New Roman"/>
                      <w:b w:val="0"/>
                      <w:bCs w:val="0"/>
                      <w:color w:val="auto"/>
                      <w:spacing w:val="-2"/>
                      <w:sz w:val="21"/>
                      <w:szCs w:val="21"/>
                      <w:lang w:eastAsia="en-US"/>
                    </w:rPr>
                    <w:t>最大系统电压</w:t>
                  </w:r>
                </w:p>
              </w:tc>
              <w:tc>
                <w:tcPr>
                  <w:tcW w:w="11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V</w:t>
                  </w:r>
                </w:p>
              </w:tc>
              <w:tc>
                <w:tcPr>
                  <w:tcW w:w="226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DC1500</w:t>
                  </w:r>
                  <w:r>
                    <w:rPr>
                      <w:rFonts w:hint="eastAsia" w:ascii="Times New Roman" w:hAnsi="Times New Roman" w:eastAsia="宋体" w:cs="Times New Roman"/>
                      <w:b w:val="0"/>
                      <w:bCs w:val="0"/>
                      <w:color w:val="auto"/>
                      <w:spacing w:val="-2"/>
                      <w:sz w:val="21"/>
                      <w:szCs w:val="21"/>
                    </w:rPr>
                    <w:t>（I</w:t>
                  </w:r>
                  <w:r>
                    <w:rPr>
                      <w:rFonts w:ascii="Times New Roman" w:hAnsi="Times New Roman" w:eastAsia="宋体" w:cs="Times New Roman"/>
                      <w:b w:val="0"/>
                      <w:bCs w:val="0"/>
                      <w:color w:val="auto"/>
                      <w:spacing w:val="-2"/>
                      <w:sz w:val="21"/>
                      <w:szCs w:val="21"/>
                    </w:rPr>
                    <w:t>EC/UL</w:t>
                  </w:r>
                  <w:r>
                    <w:rPr>
                      <w:rFonts w:hint="eastAsia" w:ascii="Times New Roman" w:hAnsi="Times New Roman" w:eastAsia="宋体" w:cs="Times New Roman"/>
                      <w:b w:val="0"/>
                      <w:bCs w:val="0"/>
                      <w:color w:val="auto"/>
                      <w:spacing w:val="-2"/>
                      <w:sz w:val="21"/>
                      <w:szCs w:val="21"/>
                    </w:rPr>
                    <w:t>）</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hint="eastAsia" w:ascii="Times New Roman" w:hAnsi="Times New Roman" w:eastAsia="宋体" w:cs="Times New Roman"/>
                      <w:b w:val="0"/>
                      <w:bCs w:val="0"/>
                      <w:color w:val="auto"/>
                      <w:spacing w:val="-2"/>
                      <w:sz w:val="21"/>
                      <w:szCs w:val="21"/>
                      <w:lang w:eastAsia="en-US"/>
                    </w:rPr>
                    <w:t>尺寸（</w:t>
                  </w:r>
                  <w:r>
                    <w:rPr>
                      <w:rFonts w:ascii="Times New Roman" w:hAnsi="Times New Roman" w:eastAsia="宋体" w:cs="Times New Roman"/>
                      <w:b w:val="0"/>
                      <w:bCs w:val="0"/>
                      <w:color w:val="auto"/>
                      <w:spacing w:val="-2"/>
                      <w:sz w:val="21"/>
                      <w:szCs w:val="21"/>
                      <w:lang w:eastAsia="en-US"/>
                    </w:rPr>
                    <w:t>L/W/T</w:t>
                  </w:r>
                  <w:r>
                    <w:rPr>
                      <w:rFonts w:hint="eastAsia" w:ascii="Times New Roman" w:hAnsi="Times New Roman" w:eastAsia="宋体" w:cs="Times New Roman"/>
                      <w:b w:val="0"/>
                      <w:bCs w:val="0"/>
                      <w:color w:val="auto"/>
                      <w:spacing w:val="-2"/>
                      <w:sz w:val="21"/>
                      <w:szCs w:val="21"/>
                      <w:lang w:eastAsia="en-US"/>
                    </w:rPr>
                    <w:t>）</w:t>
                  </w:r>
                </w:p>
              </w:tc>
              <w:tc>
                <w:tcPr>
                  <w:tcW w:w="11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mm</w:t>
                  </w:r>
                </w:p>
              </w:tc>
              <w:tc>
                <w:tcPr>
                  <w:tcW w:w="226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2278*1134*35</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hint="eastAsia" w:ascii="Times New Roman" w:hAnsi="Times New Roman" w:eastAsia="宋体" w:cs="Times New Roman"/>
                      <w:b w:val="0"/>
                      <w:bCs w:val="0"/>
                      <w:color w:val="auto"/>
                      <w:spacing w:val="-2"/>
                      <w:sz w:val="21"/>
                      <w:szCs w:val="21"/>
                      <w:lang w:eastAsia="en-US"/>
                    </w:rPr>
                    <w:t>工作温度范围</w:t>
                  </w:r>
                </w:p>
              </w:tc>
              <w:tc>
                <w:tcPr>
                  <w:tcW w:w="11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w:t>
                  </w:r>
                </w:p>
              </w:tc>
              <w:tc>
                <w:tcPr>
                  <w:tcW w:w="226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-40</w:t>
                  </w:r>
                  <w:r>
                    <w:rPr>
                      <w:rFonts w:hint="eastAsia" w:ascii="Times New Roman" w:hAnsi="Times New Roman" w:eastAsia="宋体" w:cs="Times New Roman"/>
                      <w:b w:val="0"/>
                      <w:bCs w:val="0"/>
                      <w:color w:val="auto"/>
                      <w:spacing w:val="-2"/>
                      <w:sz w:val="21"/>
                      <w:szCs w:val="21"/>
                      <w:lang w:eastAsia="en-US"/>
                    </w:rPr>
                    <w:t>～</w:t>
                  </w:r>
                  <w:r>
                    <w:rPr>
                      <w:rFonts w:ascii="Times New Roman" w:hAnsi="Times New Roman" w:eastAsia="宋体" w:cs="Times New Roman"/>
                      <w:b w:val="0"/>
                      <w:bCs w:val="0"/>
                      <w:color w:val="auto"/>
                      <w:spacing w:val="-2"/>
                      <w:sz w:val="21"/>
                      <w:szCs w:val="21"/>
                      <w:lang w:eastAsia="en-US"/>
                    </w:rPr>
                    <w:t>+85</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hint="eastAsia" w:ascii="Times New Roman" w:hAnsi="Times New Roman" w:eastAsia="宋体" w:cs="Times New Roman"/>
                      <w:b w:val="0"/>
                      <w:bCs w:val="0"/>
                      <w:color w:val="auto"/>
                      <w:spacing w:val="-2"/>
                      <w:sz w:val="21"/>
                      <w:szCs w:val="21"/>
                      <w:lang w:eastAsia="en-US"/>
                    </w:rPr>
                    <w:t>组件重量</w:t>
                  </w:r>
                </w:p>
              </w:tc>
              <w:tc>
                <w:tcPr>
                  <w:tcW w:w="11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kg</w:t>
                  </w:r>
                </w:p>
              </w:tc>
              <w:tc>
                <w:tcPr>
                  <w:tcW w:w="226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b w:val="0"/>
                      <w:bCs w:val="0"/>
                      <w:color w:val="auto"/>
                      <w:spacing w:val="-2"/>
                      <w:sz w:val="21"/>
                      <w:szCs w:val="21"/>
                      <w:lang w:eastAsia="en-US"/>
                    </w:rPr>
                  </w:pPr>
                  <w:r>
                    <w:rPr>
                      <w:rFonts w:ascii="Times New Roman" w:hAnsi="Times New Roman" w:eastAsia="宋体" w:cs="Times New Roman"/>
                      <w:b w:val="0"/>
                      <w:bCs w:val="0"/>
                      <w:color w:val="auto"/>
                      <w:spacing w:val="-2"/>
                      <w:sz w:val="21"/>
                      <w:szCs w:val="21"/>
                      <w:lang w:eastAsia="en-US"/>
                    </w:rPr>
                    <w:t>32.6</w:t>
                  </w:r>
                </w:p>
              </w:tc>
            </w:tr>
          </w:tbl>
          <w:p>
            <w:pPr>
              <w:pStyle w:val="14"/>
              <w:rPr>
                <w:rFonts w:hint="eastAsia"/>
                <w:color w:val="auto"/>
              </w:rPr>
            </w:pPr>
          </w:p>
          <w:p>
            <w:pPr>
              <w:adjustRightInd w:val="0"/>
              <w:snapToGrid w:val="0"/>
              <w:spacing w:line="360" w:lineRule="auto"/>
              <w:ind w:firstLine="482" w:firstLineChars="200"/>
              <w:jc w:val="left"/>
              <w:rPr>
                <w:rFonts w:hint="eastAsia" w:ascii="宋体" w:hAnsi="宋体" w:eastAsia="宋体" w:cs="宋体"/>
                <w:b/>
                <w:color w:val="auto"/>
                <w:kern w:val="0"/>
                <w:sz w:val="24"/>
              </w:rPr>
            </w:pPr>
            <w:r>
              <w:rPr>
                <w:rFonts w:hint="eastAsia" w:ascii="宋体" w:hAnsi="宋体" w:eastAsia="宋体" w:cs="宋体"/>
                <w:b/>
                <w:color w:val="auto"/>
                <w:kern w:val="0"/>
                <w:sz w:val="24"/>
              </w:rPr>
              <w:t>（2）支架及支架基础</w:t>
            </w:r>
          </w:p>
          <w:p>
            <w:pPr>
              <w:spacing w:line="360" w:lineRule="auto"/>
              <w:ind w:firstLine="482" w:firstLineChars="200"/>
              <w:jc w:val="left"/>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1）支架</w:t>
            </w:r>
          </w:p>
          <w:p>
            <w:pPr>
              <w:spacing w:line="360" w:lineRule="auto"/>
              <w:ind w:firstLine="480" w:firstLineChars="20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本阶段根据项目地形地貌条件、项目地理纬度，本项目太阳电池方阵的运行方式采用固定式，即方阵支架采用固定支架，见图2.3-1。</w:t>
            </w:r>
          </w:p>
          <w:p>
            <w:pPr>
              <w:spacing w:line="360" w:lineRule="auto"/>
              <w:ind w:firstLine="482" w:firstLineChars="200"/>
              <w:jc w:val="left"/>
              <w:rPr>
                <w:rFonts w:ascii="Times New Roman" w:hAnsi="Times New Roman" w:eastAsia="宋体" w:cs="Times New Roman"/>
                <w:color w:val="auto"/>
                <w:sz w:val="24"/>
              </w:rPr>
            </w:pPr>
            <w:r>
              <w:rPr>
                <w:rFonts w:hint="eastAsia" w:ascii="Times New Roman" w:hAnsi="Times New Roman" w:eastAsia="宋体" w:cs="Times New Roman"/>
                <w:b/>
                <w:color w:val="auto"/>
                <w:sz w:val="24"/>
              </w:rPr>
              <w:t>光伏方阵采用固定式支架：</w:t>
            </w:r>
            <w:r>
              <w:rPr>
                <w:rFonts w:ascii="Times New Roman" w:hAnsi="Times New Roman" w:eastAsia="宋体" w:cs="Times New Roman"/>
                <w:color w:val="auto"/>
                <w:sz w:val="24"/>
              </w:rPr>
              <w:t>固定</w:t>
            </w:r>
            <w:r>
              <w:rPr>
                <w:rFonts w:hint="eastAsia" w:ascii="Times New Roman" w:hAnsi="Times New Roman" w:eastAsia="宋体" w:cs="Times New Roman"/>
                <w:color w:val="auto"/>
                <w:sz w:val="24"/>
              </w:rPr>
              <w:t>式</w:t>
            </w:r>
            <w:r>
              <w:rPr>
                <w:rFonts w:ascii="Times New Roman" w:hAnsi="Times New Roman" w:eastAsia="宋体" w:cs="Times New Roman"/>
                <w:color w:val="auto"/>
                <w:sz w:val="24"/>
              </w:rPr>
              <w:t>支架倾角</w:t>
            </w:r>
            <w:r>
              <w:rPr>
                <w:rFonts w:hint="eastAsia" w:ascii="Times New Roman" w:hAnsi="Times New Roman" w:eastAsia="宋体" w:cs="Times New Roman"/>
                <w:color w:val="auto"/>
                <w:sz w:val="24"/>
              </w:rPr>
              <w:t>2</w:t>
            </w:r>
            <w:r>
              <w:rPr>
                <w:rFonts w:ascii="Times New Roman" w:hAnsi="Times New Roman" w:eastAsia="宋体" w:cs="Times New Roman"/>
                <w:color w:val="auto"/>
                <w:sz w:val="24"/>
              </w:rPr>
              <w:t>4°。每个支架安装</w:t>
            </w:r>
            <w:r>
              <w:rPr>
                <w:rFonts w:hint="eastAsia" w:ascii="Times New Roman" w:hAnsi="Times New Roman" w:eastAsia="宋体" w:cs="Times New Roman"/>
                <w:color w:val="auto"/>
                <w:sz w:val="24"/>
              </w:rPr>
              <w:t>2</w:t>
            </w:r>
            <w:r>
              <w:rPr>
                <w:rFonts w:ascii="Times New Roman" w:hAnsi="Times New Roman" w:eastAsia="宋体" w:cs="Times New Roman"/>
                <w:color w:val="auto"/>
                <w:sz w:val="24"/>
              </w:rPr>
              <w:t>8块组件（纵向</w:t>
            </w:r>
            <w:r>
              <w:rPr>
                <w:rFonts w:hint="eastAsia" w:ascii="Times New Roman" w:hAnsi="Times New Roman" w:eastAsia="宋体" w:cs="Times New Roman"/>
                <w:color w:val="auto"/>
                <w:sz w:val="24"/>
              </w:rPr>
              <w:t>2排、每排1</w:t>
            </w:r>
            <w:r>
              <w:rPr>
                <w:rFonts w:ascii="Times New Roman" w:hAnsi="Times New Roman" w:eastAsia="宋体" w:cs="Times New Roman"/>
                <w:color w:val="auto"/>
                <w:sz w:val="24"/>
              </w:rPr>
              <w:t>4块组件），采用单排立柱，支架组合尺寸</w:t>
            </w:r>
            <w:r>
              <w:rPr>
                <w:rFonts w:hint="eastAsia" w:ascii="Times New Roman" w:hAnsi="Times New Roman" w:eastAsia="宋体" w:cs="Times New Roman"/>
                <w:color w:val="auto"/>
                <w:sz w:val="24"/>
              </w:rPr>
              <w:t>16222mm×4532mm，共设4个立柱。支架基础采用钻孔灌注桩基础，灌注桩采用现场浇筑的C30钢筋混凝土，桩径250mm，平均桩长为3000mm，桩顶高出地面500mm。</w:t>
            </w:r>
          </w:p>
          <w:p>
            <w:pPr>
              <w:adjustRightInd w:val="0"/>
              <w:snapToGrid w:val="0"/>
              <w:spacing w:line="360" w:lineRule="auto"/>
              <w:ind w:firstLine="480" w:firstLineChars="200"/>
              <w:jc w:val="left"/>
              <w:rPr>
                <w:rFonts w:hint="eastAsia" w:ascii="宋体" w:hAnsi="宋体" w:eastAsia="宋体" w:cs="宋体"/>
                <w:color w:val="auto"/>
                <w:kern w:val="0"/>
                <w:sz w:val="24"/>
              </w:rPr>
            </w:pPr>
            <w:r>
              <w:rPr>
                <w:rFonts w:hint="eastAsia" w:ascii="Times New Roman" w:hAnsi="Times New Roman" w:eastAsia="宋体" w:cs="Times New Roman"/>
                <w:color w:val="auto"/>
                <w:kern w:val="0"/>
                <w:sz w:val="24"/>
              </w:rPr>
              <w:t>按云南省光伏电站使用林草地、占用一般耕地或其他农用地的复合开发土地利用要求，光伏组件最低沿应高于地面2.5m；桩基间列间距大于4m，行间距应大于6.5m。</w:t>
            </w:r>
          </w:p>
          <w:p>
            <w:pPr>
              <w:adjustRightInd w:val="0"/>
              <w:snapToGrid w:val="0"/>
              <w:spacing w:line="360" w:lineRule="auto"/>
              <w:jc w:val="center"/>
              <w:rPr>
                <w:rFonts w:hint="eastAsia" w:ascii="Times New Roman" w:hAnsi="Times New Roman" w:eastAsia="宋体" w:cs="Times New Roman"/>
                <w:color w:val="auto"/>
                <w:sz w:val="20"/>
              </w:rPr>
            </w:pPr>
            <w:r>
              <w:rPr>
                <w:rFonts w:ascii="Times New Roman" w:hAnsi="Times New Roman" w:eastAsia="宋体" w:cs="Times New Roman"/>
                <w:color w:val="auto"/>
              </w:rPr>
              <w:drawing>
                <wp:inline distT="0" distB="0" distL="114300" distR="114300">
                  <wp:extent cx="4265295" cy="2252980"/>
                  <wp:effectExtent l="0" t="0" r="1905" b="13970"/>
                  <wp:docPr id="3" name="图片 23"/>
                  <wp:cNvGraphicFramePr/>
                  <a:graphic xmlns:a="http://schemas.openxmlformats.org/drawingml/2006/main">
                    <a:graphicData uri="http://schemas.openxmlformats.org/drawingml/2006/picture">
                      <pic:pic xmlns:pic="http://schemas.openxmlformats.org/drawingml/2006/picture">
                        <pic:nvPicPr>
                          <pic:cNvPr id="3" name="图片 23"/>
                          <pic:cNvPicPr/>
                        </pic:nvPicPr>
                        <pic:blipFill>
                          <a:blip r:embed="rId8"/>
                          <a:stretch>
                            <a:fillRect/>
                          </a:stretch>
                        </pic:blipFill>
                        <pic:spPr>
                          <a:xfrm>
                            <a:off x="0" y="0"/>
                            <a:ext cx="4265295" cy="2252980"/>
                          </a:xfrm>
                          <a:prstGeom prst="rect">
                            <a:avLst/>
                          </a:prstGeom>
                          <a:noFill/>
                          <a:ln>
                            <a:noFill/>
                          </a:ln>
                        </pic:spPr>
                      </pic:pic>
                    </a:graphicData>
                  </a:graphic>
                </wp:inline>
              </w:drawing>
            </w:r>
          </w:p>
          <w:p>
            <w:pPr>
              <w:adjustRightInd w:val="0"/>
              <w:snapToGrid w:val="0"/>
              <w:spacing w:line="240" w:lineRule="auto"/>
              <w:jc w:val="center"/>
              <w:rPr>
                <w:rFonts w:hint="default" w:ascii="Times New Roman" w:hAnsi="Times New Roman" w:eastAsia="宋体" w:cs="Times New Roman"/>
                <w:b/>
                <w:bCs/>
                <w:color w:val="auto"/>
                <w:szCs w:val="28"/>
                <w:lang w:val="en-US" w:eastAsia="zh-CN"/>
              </w:rPr>
            </w:pPr>
            <w:r>
              <w:rPr>
                <w:rFonts w:hint="eastAsia" w:ascii="Times New Roman" w:hAnsi="Times New Roman" w:eastAsia="宋体" w:cs="Times New Roman"/>
                <w:b/>
                <w:bCs/>
                <w:color w:val="auto"/>
                <w:szCs w:val="28"/>
                <w:lang w:val="en-US" w:eastAsia="zh-CN"/>
              </w:rPr>
              <w:t>图2.4-1  固定支架太阳能方阵</w:t>
            </w:r>
          </w:p>
          <w:p>
            <w:pPr>
              <w:spacing w:line="360" w:lineRule="auto"/>
              <w:ind w:firstLine="482" w:firstLineChars="200"/>
              <w:jc w:val="left"/>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2）支架基础</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本工程，在满足承载力及正常使用的前提条件下，结合现场实际情况分析，优先选择较为经济且施工简单的方案，即采用钻孔灌注桩基础，灌注桩采用现场浇筑的C30钢筋混凝土（双立柱支架基础采用细石混凝土），灌注桩基础桩基型式如下：</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1）单立柱支架：采用直径为300mm，桩深2500mm的混凝土灌注桩。混凝土墩台高出地面0.5m，上部预埋钢管与支架立柱套接；</w:t>
            </w:r>
          </w:p>
          <w:p>
            <w:pPr>
              <w:adjustRightInd w:val="0"/>
              <w:snapToGrid w:val="0"/>
              <w:spacing w:line="360" w:lineRule="auto"/>
              <w:ind w:firstLine="480" w:firstLineChars="200"/>
              <w:rPr>
                <w:rFonts w:ascii="Times New Roman" w:hAnsi="Times New Roman" w:eastAsia="宋体" w:cs="Times New Roman"/>
                <w:color w:val="auto"/>
                <w:szCs w:val="28"/>
              </w:rPr>
            </w:pPr>
            <w:r>
              <w:rPr>
                <w:rFonts w:hint="eastAsia" w:ascii="Times New Roman" w:hAnsi="Times New Roman" w:eastAsia="宋体" w:cs="Times New Roman"/>
                <w:color w:val="auto"/>
                <w:sz w:val="24"/>
              </w:rPr>
              <w:t>2）双立柱支架：采用直径为150mm，桩深1500mm的混凝土灌注桩采用细石混凝土浇筑。混凝土高出地面0.05m，上部预埋钢管与支架立柱套接。</w:t>
            </w:r>
          </w:p>
          <w:p>
            <w:pPr>
              <w:adjustRightInd w:val="0"/>
              <w:snapToGrid w:val="0"/>
              <w:spacing w:line="360" w:lineRule="auto"/>
              <w:rPr>
                <w:rFonts w:hint="eastAsia" w:ascii="Times New Roman" w:hAnsi="Times New Roman" w:eastAsia="宋体" w:cs="Times New Roman"/>
                <w:b/>
                <w:bCs/>
                <w:color w:val="auto"/>
                <w:szCs w:val="28"/>
              </w:rPr>
            </w:pPr>
            <w:r>
              <w:rPr>
                <w:rFonts w:ascii="Times New Roman" w:hAnsi="Times New Roman" w:eastAsia="宋体" w:cs="Times New Roman"/>
                <w:color w:val="auto"/>
              </w:rPr>
              <w:drawing>
                <wp:inline distT="0" distB="0" distL="114300" distR="114300">
                  <wp:extent cx="2793365" cy="3079115"/>
                  <wp:effectExtent l="0" t="0" r="6985" b="6985"/>
                  <wp:docPr id="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pic:cNvPicPr>
                            <a:picLocks noChangeAspect="1"/>
                          </pic:cNvPicPr>
                        </pic:nvPicPr>
                        <pic:blipFill>
                          <a:blip r:embed="rId9"/>
                          <a:srcRect r="3740" b="2046"/>
                          <a:stretch>
                            <a:fillRect/>
                          </a:stretch>
                        </pic:blipFill>
                        <pic:spPr>
                          <a:xfrm>
                            <a:off x="0" y="0"/>
                            <a:ext cx="2793365" cy="3079115"/>
                          </a:xfrm>
                          <a:prstGeom prst="rect">
                            <a:avLst/>
                          </a:prstGeom>
                          <a:noFill/>
                          <a:ln>
                            <a:noFill/>
                          </a:ln>
                        </pic:spPr>
                      </pic:pic>
                    </a:graphicData>
                  </a:graphic>
                </wp:inline>
              </w:drawing>
            </w:r>
            <w:r>
              <w:rPr>
                <w:rFonts w:ascii="Times New Roman" w:hAnsi="Times New Roman" w:eastAsia="宋体" w:cs="Times New Roman"/>
                <w:color w:val="auto"/>
              </w:rPr>
              <w:drawing>
                <wp:inline distT="0" distB="0" distL="114300" distR="114300">
                  <wp:extent cx="2512060" cy="3173095"/>
                  <wp:effectExtent l="0" t="0" r="2540" b="8255"/>
                  <wp:docPr id="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pic:cNvPicPr>
                            <a:picLocks noChangeAspect="1"/>
                          </pic:cNvPicPr>
                        </pic:nvPicPr>
                        <pic:blipFill>
                          <a:blip r:embed="rId10"/>
                          <a:stretch>
                            <a:fillRect/>
                          </a:stretch>
                        </pic:blipFill>
                        <pic:spPr>
                          <a:xfrm>
                            <a:off x="0" y="0"/>
                            <a:ext cx="2512060" cy="3173095"/>
                          </a:xfrm>
                          <a:prstGeom prst="rect">
                            <a:avLst/>
                          </a:prstGeom>
                          <a:noFill/>
                          <a:ln>
                            <a:noFill/>
                          </a:ln>
                        </pic:spPr>
                      </pic:pic>
                    </a:graphicData>
                  </a:graphic>
                </wp:inline>
              </w:drawing>
            </w:r>
          </w:p>
          <w:p>
            <w:pPr>
              <w:adjustRightInd w:val="0"/>
              <w:snapToGrid w:val="0"/>
              <w:spacing w:line="360" w:lineRule="auto"/>
              <w:jc w:val="center"/>
              <w:rPr>
                <w:rFonts w:hint="eastAsia" w:ascii="Times New Roman" w:hAnsi="Times New Roman" w:eastAsia="宋体" w:cs="Times New Roman"/>
                <w:b/>
                <w:bCs/>
                <w:color w:val="auto"/>
                <w:szCs w:val="28"/>
              </w:rPr>
            </w:pPr>
            <w:r>
              <w:rPr>
                <w:rFonts w:hint="eastAsia" w:ascii="Times New Roman" w:hAnsi="Times New Roman" w:eastAsia="宋体" w:cs="Times New Roman"/>
                <w:b/>
                <w:bCs/>
                <w:color w:val="auto"/>
                <w:szCs w:val="28"/>
              </w:rPr>
              <w:t>图2.</w:t>
            </w:r>
            <w:r>
              <w:rPr>
                <w:rFonts w:hint="eastAsia" w:cs="Times New Roman"/>
                <w:b/>
                <w:bCs/>
                <w:color w:val="auto"/>
                <w:szCs w:val="28"/>
                <w:lang w:val="en-US" w:eastAsia="zh-CN"/>
              </w:rPr>
              <w:t>4</w:t>
            </w:r>
            <w:r>
              <w:rPr>
                <w:rFonts w:hint="eastAsia" w:ascii="Times New Roman" w:hAnsi="Times New Roman" w:eastAsia="宋体" w:cs="Times New Roman"/>
                <w:b/>
                <w:bCs/>
                <w:color w:val="auto"/>
                <w:szCs w:val="28"/>
              </w:rPr>
              <w:t>-2  支架基础及预埋件体型图（左单立柱，右双立柱）</w:t>
            </w:r>
          </w:p>
          <w:p>
            <w:pPr>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本工程光伏方阵170.128MW支架采用全钢固定结构，采用正南北与非正南北向布置的方式，每个支架组件数均为2×14块组件。单列柱支架采用薄壁型钢结构，支架离地最小高度为2.0m（林地区域）。支架每个单元排列2×14块540Wp单晶硅光伏组件（1个组串），组件竖向放置，支架东西向柱距为4.8m（单立柱），双立柱前后柱间距为2.0m。</w:t>
            </w:r>
          </w:p>
          <w:p>
            <w:pPr>
              <w:adjustRightInd w:val="0"/>
              <w:snapToGrid w:val="0"/>
              <w:spacing w:line="360" w:lineRule="auto"/>
              <w:ind w:firstLine="480" w:firstLineChars="200"/>
              <w:jc w:val="left"/>
              <w:rPr>
                <w:rFonts w:hint="eastAsia" w:ascii="宋体" w:hAnsi="宋体" w:eastAsia="宋体" w:cs="宋体"/>
                <w:b/>
                <w:color w:val="auto"/>
                <w:kern w:val="0"/>
                <w:sz w:val="24"/>
              </w:rPr>
            </w:pPr>
            <w:r>
              <w:rPr>
                <w:rFonts w:hint="eastAsia" w:ascii="Times New Roman" w:hAnsi="Times New Roman" w:eastAsia="宋体" w:cs="Times New Roman"/>
                <w:color w:val="auto"/>
                <w:sz w:val="24"/>
              </w:rPr>
              <w:t>本项目支架基础采用钻孔灌注桩基础，灌注桩采用现场浇筑的 C30钢筋混凝土（</w:t>
            </w:r>
            <w:r>
              <w:rPr>
                <w:rFonts w:hint="eastAsia" w:cs="Times New Roman"/>
                <w:color w:val="auto"/>
                <w:sz w:val="24"/>
                <w:lang w:val="en-US" w:eastAsia="zh-CN"/>
              </w:rPr>
              <w:t>直径250mm/150mm</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本期工程</w:t>
            </w:r>
            <w:r>
              <w:rPr>
                <w:rFonts w:hint="eastAsia" w:ascii="Times New Roman" w:hAnsi="Times New Roman" w:eastAsia="宋体" w:cs="Times New Roman"/>
                <w:color w:val="auto"/>
                <w:sz w:val="24"/>
              </w:rPr>
              <w:t>170MW</w:t>
            </w:r>
            <w:r>
              <w:rPr>
                <w:rFonts w:ascii="Times New Roman" w:hAnsi="Times New Roman" w:eastAsia="宋体" w:cs="Times New Roman"/>
                <w:color w:val="auto"/>
                <w:sz w:val="24"/>
              </w:rPr>
              <w:t>方阵共需独立基础数量为</w:t>
            </w:r>
            <w:r>
              <w:rPr>
                <w:rFonts w:hint="eastAsia" w:cs="Times New Roman"/>
                <w:color w:val="auto"/>
                <w:sz w:val="24"/>
                <w:lang w:val="en-US" w:eastAsia="zh-CN"/>
              </w:rPr>
              <w:t>13849（12581/1268）</w:t>
            </w:r>
            <w:r>
              <w:rPr>
                <w:rFonts w:ascii="Times New Roman" w:hAnsi="Times New Roman" w:eastAsia="宋体" w:cs="Times New Roman"/>
                <w:color w:val="auto"/>
                <w:sz w:val="24"/>
              </w:rPr>
              <w:t>个。</w:t>
            </w:r>
          </w:p>
          <w:p>
            <w:pPr>
              <w:adjustRightInd w:val="0"/>
              <w:snapToGrid w:val="0"/>
              <w:spacing w:line="360" w:lineRule="auto"/>
              <w:ind w:firstLine="482" w:firstLineChars="200"/>
              <w:jc w:val="left"/>
              <w:rPr>
                <w:rFonts w:ascii="Times New Roman" w:hAnsi="Times New Roman" w:eastAsia="宋体" w:cs="Times New Roman"/>
                <w:b/>
                <w:color w:val="auto"/>
              </w:rPr>
            </w:pPr>
            <w:r>
              <w:rPr>
                <w:rFonts w:hint="eastAsia" w:ascii="宋体" w:hAnsi="宋体" w:eastAsia="宋体" w:cs="宋体"/>
                <w:b/>
                <w:color w:val="auto"/>
                <w:kern w:val="0"/>
                <w:sz w:val="24"/>
              </w:rPr>
              <w:t>（3）</w:t>
            </w:r>
            <w:r>
              <w:rPr>
                <w:rFonts w:hint="eastAsia" w:ascii="Times New Roman" w:hAnsi="Times New Roman" w:eastAsia="宋体" w:cs="Times New Roman"/>
                <w:b/>
                <w:color w:val="auto"/>
              </w:rPr>
              <w:t>组串式逆变器</w:t>
            </w:r>
          </w:p>
          <w:p>
            <w:pPr>
              <w:adjustRightInd w:val="0"/>
              <w:snapToGrid w:val="0"/>
              <w:spacing w:line="360" w:lineRule="auto"/>
              <w:ind w:firstLine="480" w:firstLineChars="200"/>
              <w:jc w:val="left"/>
              <w:rPr>
                <w:rFonts w:hint="eastAsia" w:ascii="宋体" w:hAnsi="宋体" w:eastAsia="宋体" w:cs="宋体"/>
                <w:color w:val="auto"/>
                <w:kern w:val="0"/>
                <w:sz w:val="24"/>
              </w:rPr>
            </w:pPr>
            <w:r>
              <w:rPr>
                <w:rFonts w:hint="eastAsia" w:ascii="Times New Roman" w:hAnsi="Times New Roman" w:eastAsia="宋体" w:cs="Times New Roman"/>
                <w:color w:val="auto"/>
                <w:kern w:val="0"/>
                <w:sz w:val="24"/>
              </w:rPr>
              <w:t>全站共用</w:t>
            </w:r>
            <w:r>
              <w:rPr>
                <w:rFonts w:hint="eastAsia" w:cs="Times New Roman"/>
                <w:color w:val="auto"/>
                <w:kern w:val="0"/>
                <w:sz w:val="24"/>
                <w:lang w:val="en-US" w:eastAsia="zh-CN"/>
              </w:rPr>
              <w:t>320</w:t>
            </w:r>
            <w:r>
              <w:rPr>
                <w:rFonts w:hint="eastAsia" w:ascii="Times New Roman" w:hAnsi="Times New Roman" w:eastAsia="宋体" w:cs="Times New Roman"/>
                <w:color w:val="auto"/>
                <w:kern w:val="0"/>
                <w:sz w:val="24"/>
              </w:rPr>
              <w:t>kW的组串式逆变器</w:t>
            </w:r>
            <w:r>
              <w:rPr>
                <w:rFonts w:hint="eastAsia" w:cs="Times New Roman"/>
                <w:color w:val="auto"/>
                <w:kern w:val="0"/>
                <w:sz w:val="24"/>
                <w:lang w:val="en-US" w:eastAsia="zh-CN"/>
              </w:rPr>
              <w:t>533</w:t>
            </w:r>
            <w:r>
              <w:rPr>
                <w:rFonts w:ascii="Times New Roman" w:hAnsi="Times New Roman" w:eastAsia="宋体" w:cs="Times New Roman"/>
                <w:color w:val="auto"/>
                <w:kern w:val="0"/>
                <w:sz w:val="24"/>
              </w:rPr>
              <w:t>台。</w:t>
            </w:r>
            <w:r>
              <w:rPr>
                <w:rFonts w:hint="eastAsia" w:ascii="Times New Roman" w:hAnsi="Times New Roman" w:eastAsia="宋体" w:cs="Times New Roman"/>
                <w:color w:val="auto"/>
                <w:kern w:val="0"/>
                <w:sz w:val="24"/>
              </w:rPr>
              <w:t>主要技术参数如下表2.</w:t>
            </w:r>
            <w:r>
              <w:rPr>
                <w:rFonts w:hint="eastAsia" w:cs="Times New Roman"/>
                <w:color w:val="auto"/>
                <w:kern w:val="0"/>
                <w:sz w:val="24"/>
                <w:lang w:val="en-US" w:eastAsia="zh-CN"/>
              </w:rPr>
              <w:t>4</w:t>
            </w:r>
            <w:r>
              <w:rPr>
                <w:rFonts w:ascii="Times New Roman" w:hAnsi="Times New Roman" w:eastAsia="宋体" w:cs="Times New Roman"/>
                <w:color w:val="auto"/>
                <w:kern w:val="0"/>
                <w:sz w:val="24"/>
              </w:rPr>
              <w:t>-3。</w:t>
            </w:r>
            <w:r>
              <w:rPr>
                <w:rFonts w:hint="eastAsia" w:ascii="Times New Roman" w:hAnsi="Times New Roman" w:eastAsia="宋体" w:cs="Times New Roman"/>
                <w:color w:val="auto"/>
                <w:kern w:val="0"/>
                <w:sz w:val="24"/>
              </w:rPr>
              <w:t>组串式逆变器不单独做基础，采用挂板固定在光伏支架上。</w:t>
            </w:r>
          </w:p>
          <w:p>
            <w:pPr>
              <w:adjustRightInd w:val="0"/>
              <w:snapToGrid w:val="0"/>
              <w:spacing w:line="360" w:lineRule="auto"/>
              <w:jc w:val="center"/>
              <w:rPr>
                <w:rFonts w:hint="eastAsia" w:ascii="Times New Roman" w:hAnsi="Times New Roman" w:eastAsia="宋体" w:cs="Times New Roman"/>
                <w:b/>
                <w:bCs/>
                <w:color w:val="auto"/>
                <w:szCs w:val="28"/>
              </w:rPr>
            </w:pPr>
            <w:r>
              <w:rPr>
                <w:rFonts w:hint="eastAsia" w:ascii="Times New Roman" w:hAnsi="Times New Roman" w:eastAsia="宋体" w:cs="Times New Roman"/>
                <w:b/>
                <w:bCs/>
                <w:color w:val="auto"/>
                <w:szCs w:val="28"/>
              </w:rPr>
              <w:t>表2.</w:t>
            </w:r>
            <w:r>
              <w:rPr>
                <w:rFonts w:hint="eastAsia" w:ascii="Times New Roman" w:hAnsi="Times New Roman" w:eastAsia="宋体" w:cs="Times New Roman"/>
                <w:b/>
                <w:bCs/>
                <w:color w:val="auto"/>
                <w:szCs w:val="28"/>
                <w:lang w:val="en-US" w:eastAsia="zh-CN"/>
              </w:rPr>
              <w:t>4</w:t>
            </w:r>
            <w:r>
              <w:rPr>
                <w:rFonts w:hint="eastAsia" w:ascii="Times New Roman" w:hAnsi="Times New Roman" w:eastAsia="宋体" w:cs="Times New Roman"/>
                <w:b/>
                <w:bCs/>
                <w:color w:val="auto"/>
                <w:szCs w:val="28"/>
              </w:rPr>
              <w:t>-3  320kW组串式逆变器参数表</w:t>
            </w:r>
          </w:p>
          <w:tbl>
            <w:tblPr>
              <w:tblStyle w:val="32"/>
              <w:tblW w:w="8533"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23"/>
              <w:gridCol w:w="2792"/>
              <w:gridCol w:w="1164"/>
              <w:gridCol w:w="2386"/>
              <w:gridCol w:w="1368"/>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823"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2"/>
                      <w:sz w:val="21"/>
                      <w:szCs w:val="22"/>
                    </w:rPr>
                    <w:t>序号</w:t>
                  </w:r>
                </w:p>
              </w:tc>
              <w:tc>
                <w:tcPr>
                  <w:tcW w:w="3956" w:type="dxa"/>
                  <w:gridSpan w:val="2"/>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1"/>
                      <w:sz w:val="21"/>
                      <w:szCs w:val="22"/>
                    </w:rPr>
                    <w:t>输入参数</w:t>
                  </w:r>
                </w:p>
              </w:tc>
              <w:tc>
                <w:tcPr>
                  <w:tcW w:w="3754" w:type="dxa"/>
                  <w:gridSpan w:val="2"/>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1"/>
                      <w:sz w:val="21"/>
                      <w:szCs w:val="22"/>
                    </w:rPr>
                    <w:t>输出参数</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jc w:val="center"/>
              </w:trPr>
              <w:tc>
                <w:tcPr>
                  <w:tcW w:w="823"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z w:val="21"/>
                      <w:szCs w:val="22"/>
                    </w:rPr>
                    <w:t>1</w:t>
                  </w:r>
                </w:p>
              </w:tc>
              <w:tc>
                <w:tcPr>
                  <w:tcW w:w="2792"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1"/>
                      <w:sz w:val="21"/>
                      <w:szCs w:val="22"/>
                    </w:rPr>
                    <w:t>直流工作电压范围（V）</w:t>
                  </w:r>
                </w:p>
              </w:tc>
              <w:tc>
                <w:tcPr>
                  <w:tcW w:w="11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1"/>
                      <w:sz w:val="21"/>
                      <w:szCs w:val="22"/>
                    </w:rPr>
                    <w:t>500-1500</w:t>
                  </w:r>
                </w:p>
              </w:tc>
              <w:tc>
                <w:tcPr>
                  <w:tcW w:w="2386"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3"/>
                      <w:position w:val="15"/>
                      <w:sz w:val="21"/>
                      <w:szCs w:val="22"/>
                    </w:rPr>
                    <w:t>最大视在功率（kVA）/</w:t>
                  </w:r>
                </w:p>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1"/>
                      <w:sz w:val="21"/>
                      <w:szCs w:val="22"/>
                    </w:rPr>
                    <w:t>长期过载功率（kW）</w:t>
                  </w:r>
                </w:p>
              </w:tc>
              <w:tc>
                <w:tcPr>
                  <w:tcW w:w="1368"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3"/>
                      <w:sz w:val="21"/>
                      <w:szCs w:val="22"/>
                    </w:rPr>
                    <w:t>352</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823"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z w:val="21"/>
                      <w:szCs w:val="22"/>
                    </w:rPr>
                    <w:t>2</w:t>
                  </w:r>
                </w:p>
              </w:tc>
              <w:tc>
                <w:tcPr>
                  <w:tcW w:w="2792"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1"/>
                      <w:sz w:val="21"/>
                      <w:szCs w:val="22"/>
                    </w:rPr>
                    <w:t>最大直流输入电压（V）</w:t>
                  </w:r>
                </w:p>
              </w:tc>
              <w:tc>
                <w:tcPr>
                  <w:tcW w:w="11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6"/>
                      <w:sz w:val="21"/>
                      <w:szCs w:val="22"/>
                    </w:rPr>
                    <w:t>1500</w:t>
                  </w:r>
                </w:p>
              </w:tc>
              <w:tc>
                <w:tcPr>
                  <w:tcW w:w="2386"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1"/>
                      <w:sz w:val="21"/>
                      <w:szCs w:val="22"/>
                    </w:rPr>
                    <w:t>额定视在功率（kVA）</w:t>
                  </w:r>
                </w:p>
              </w:tc>
              <w:tc>
                <w:tcPr>
                  <w:tcW w:w="1368"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3"/>
                      <w:sz w:val="21"/>
                      <w:szCs w:val="22"/>
                    </w:rPr>
                    <w:t>320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823"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z w:val="21"/>
                      <w:szCs w:val="22"/>
                    </w:rPr>
                    <w:t>3</w:t>
                  </w:r>
                </w:p>
              </w:tc>
              <w:tc>
                <w:tcPr>
                  <w:tcW w:w="2792"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z w:val="21"/>
                      <w:szCs w:val="22"/>
                    </w:rPr>
                    <w:t>MPPT电压跟踪范围（V）</w:t>
                  </w:r>
                </w:p>
              </w:tc>
              <w:tc>
                <w:tcPr>
                  <w:tcW w:w="11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1"/>
                      <w:sz w:val="21"/>
                      <w:szCs w:val="22"/>
                    </w:rPr>
                    <w:t>500-1500</w:t>
                  </w:r>
                </w:p>
              </w:tc>
              <w:tc>
                <w:tcPr>
                  <w:tcW w:w="2386"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1"/>
                      <w:sz w:val="21"/>
                      <w:szCs w:val="22"/>
                    </w:rPr>
                    <w:t>额定输出电压（V）</w:t>
                  </w:r>
                </w:p>
              </w:tc>
              <w:tc>
                <w:tcPr>
                  <w:tcW w:w="1368"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2"/>
                      <w:sz w:val="21"/>
                      <w:szCs w:val="22"/>
                    </w:rPr>
                    <w:t>800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823"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z w:val="21"/>
                      <w:szCs w:val="22"/>
                    </w:rPr>
                    <w:t>4</w:t>
                  </w:r>
                </w:p>
              </w:tc>
              <w:tc>
                <w:tcPr>
                  <w:tcW w:w="2792"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6"/>
                      <w:sz w:val="21"/>
                      <w:szCs w:val="22"/>
                    </w:rPr>
                    <w:t>满载MPPT电压跟踪范围（V）</w:t>
                  </w:r>
                </w:p>
              </w:tc>
              <w:tc>
                <w:tcPr>
                  <w:tcW w:w="11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1"/>
                      <w:sz w:val="21"/>
                      <w:szCs w:val="22"/>
                    </w:rPr>
                    <w:t>860-1300</w:t>
                  </w:r>
                </w:p>
              </w:tc>
              <w:tc>
                <w:tcPr>
                  <w:tcW w:w="2386"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1"/>
                      <w:sz w:val="21"/>
                      <w:szCs w:val="22"/>
                    </w:rPr>
                    <w:t>输出电压范围（V）</w:t>
                  </w:r>
                </w:p>
              </w:tc>
              <w:tc>
                <w:tcPr>
                  <w:tcW w:w="1368"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2"/>
                      <w:sz w:val="21"/>
                      <w:szCs w:val="22"/>
                    </w:rPr>
                    <w:t>640-920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861" w:hRule="atLeast"/>
                <w:jc w:val="center"/>
              </w:trPr>
              <w:tc>
                <w:tcPr>
                  <w:tcW w:w="823"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z w:val="21"/>
                      <w:szCs w:val="22"/>
                    </w:rPr>
                    <w:t>5</w:t>
                  </w:r>
                </w:p>
              </w:tc>
              <w:tc>
                <w:tcPr>
                  <w:tcW w:w="2792"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1"/>
                      <w:position w:val="15"/>
                      <w:sz w:val="21"/>
                      <w:szCs w:val="22"/>
                    </w:rPr>
                    <w:t>最低启动电压（可稳定运</w:t>
                  </w:r>
                </w:p>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7"/>
                      <w:sz w:val="21"/>
                      <w:szCs w:val="22"/>
                    </w:rPr>
                    <w:t>行）</w:t>
                  </w:r>
                </w:p>
              </w:tc>
              <w:tc>
                <w:tcPr>
                  <w:tcW w:w="11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3"/>
                      <w:sz w:val="21"/>
                      <w:szCs w:val="22"/>
                    </w:rPr>
                    <w:t>500</w:t>
                  </w:r>
                </w:p>
              </w:tc>
              <w:tc>
                <w:tcPr>
                  <w:tcW w:w="2386"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1"/>
                      <w:sz w:val="21"/>
                      <w:szCs w:val="22"/>
                    </w:rPr>
                    <w:t>额定工作频率（Hz）</w:t>
                  </w:r>
                </w:p>
              </w:tc>
              <w:tc>
                <w:tcPr>
                  <w:tcW w:w="1368"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4"/>
                      <w:sz w:val="21"/>
                      <w:szCs w:val="22"/>
                    </w:rPr>
                    <w:t>50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823"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z w:val="21"/>
                      <w:szCs w:val="22"/>
                    </w:rPr>
                    <w:t>6</w:t>
                  </w:r>
                </w:p>
              </w:tc>
              <w:tc>
                <w:tcPr>
                  <w:tcW w:w="2792"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z w:val="21"/>
                      <w:szCs w:val="22"/>
                    </w:rPr>
                    <w:t>MPPT动态追踪效率（%）</w:t>
                  </w:r>
                </w:p>
              </w:tc>
              <w:tc>
                <w:tcPr>
                  <w:tcW w:w="11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2"/>
                      <w:sz w:val="21"/>
                      <w:szCs w:val="22"/>
                    </w:rPr>
                    <w:t>99.9%</w:t>
                  </w:r>
                </w:p>
              </w:tc>
              <w:tc>
                <w:tcPr>
                  <w:tcW w:w="2386"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1"/>
                      <w:sz w:val="21"/>
                      <w:szCs w:val="22"/>
                    </w:rPr>
                    <w:t>输出频率范围（Hz）</w:t>
                  </w:r>
                </w:p>
              </w:tc>
              <w:tc>
                <w:tcPr>
                  <w:tcW w:w="1368"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2"/>
                      <w:sz w:val="21"/>
                      <w:szCs w:val="22"/>
                    </w:rPr>
                    <w:t>45-55</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861" w:hRule="atLeast"/>
                <w:jc w:val="center"/>
              </w:trPr>
              <w:tc>
                <w:tcPr>
                  <w:tcW w:w="823"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z w:val="21"/>
                      <w:szCs w:val="22"/>
                    </w:rPr>
                    <w:t>7</w:t>
                  </w:r>
                </w:p>
              </w:tc>
              <w:tc>
                <w:tcPr>
                  <w:tcW w:w="2792"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2"/>
                      <w:sz w:val="21"/>
                      <w:szCs w:val="22"/>
                    </w:rPr>
                    <w:t>直流输入支路数</w:t>
                  </w:r>
                </w:p>
              </w:tc>
              <w:tc>
                <w:tcPr>
                  <w:tcW w:w="11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3"/>
                      <w:sz w:val="21"/>
                      <w:szCs w:val="22"/>
                    </w:rPr>
                    <w:t>28</w:t>
                  </w:r>
                </w:p>
              </w:tc>
              <w:tc>
                <w:tcPr>
                  <w:tcW w:w="2386"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2"/>
                      <w:sz w:val="21"/>
                      <w:szCs w:val="22"/>
                    </w:rPr>
                    <w:t>功率因数调节范围</w:t>
                  </w:r>
                </w:p>
              </w:tc>
              <w:tc>
                <w:tcPr>
                  <w:tcW w:w="1368"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3"/>
                      <w:position w:val="15"/>
                      <w:sz w:val="21"/>
                      <w:szCs w:val="22"/>
                    </w:rPr>
                    <w:t>0.8（超前）</w:t>
                  </w:r>
                </w:p>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11"/>
                      <w:sz w:val="21"/>
                      <w:szCs w:val="22"/>
                    </w:rPr>
                    <w:t>-0.8（滞后）</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823"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z w:val="21"/>
                      <w:szCs w:val="22"/>
                    </w:rPr>
                    <w:t>8</w:t>
                  </w:r>
                </w:p>
              </w:tc>
              <w:tc>
                <w:tcPr>
                  <w:tcW w:w="2792"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1"/>
                      <w:sz w:val="21"/>
                      <w:szCs w:val="22"/>
                    </w:rPr>
                    <w:t>最大直流输入电流（A）</w:t>
                  </w:r>
                </w:p>
              </w:tc>
              <w:tc>
                <w:tcPr>
                  <w:tcW w:w="11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2"/>
                      <w:sz w:val="21"/>
                      <w:szCs w:val="22"/>
                    </w:rPr>
                    <w:t>30*14</w:t>
                  </w:r>
                </w:p>
              </w:tc>
              <w:tc>
                <w:tcPr>
                  <w:tcW w:w="2386"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2"/>
                      <w:sz w:val="21"/>
                      <w:szCs w:val="22"/>
                    </w:rPr>
                    <w:t>功率因数调节分辨率</w:t>
                  </w:r>
                </w:p>
              </w:tc>
              <w:tc>
                <w:tcPr>
                  <w:tcW w:w="1368"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5"/>
                      <w:sz w:val="21"/>
                      <w:szCs w:val="22"/>
                    </w:rPr>
                    <w:t>≥±0.01</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jc w:val="center"/>
              </w:trPr>
              <w:tc>
                <w:tcPr>
                  <w:tcW w:w="823"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z w:val="21"/>
                      <w:szCs w:val="22"/>
                    </w:rPr>
                    <w:t>9</w:t>
                  </w:r>
                </w:p>
              </w:tc>
              <w:tc>
                <w:tcPr>
                  <w:tcW w:w="2792"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1"/>
                      <w:sz w:val="21"/>
                      <w:szCs w:val="22"/>
                    </w:rPr>
                    <w:t>输入支路额定电流（A）</w:t>
                  </w:r>
                </w:p>
              </w:tc>
              <w:tc>
                <w:tcPr>
                  <w:tcW w:w="11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2"/>
                      <w:sz w:val="21"/>
                      <w:szCs w:val="22"/>
                    </w:rPr>
                    <w:t>30*14</w:t>
                  </w:r>
                </w:p>
              </w:tc>
              <w:tc>
                <w:tcPr>
                  <w:tcW w:w="2386"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2"/>
                      <w:sz w:val="21"/>
                      <w:szCs w:val="22"/>
                    </w:rPr>
                    <w:t>功率因数</w:t>
                  </w:r>
                </w:p>
              </w:tc>
              <w:tc>
                <w:tcPr>
                  <w:tcW w:w="1368"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7"/>
                      <w:sz w:val="21"/>
                      <w:szCs w:val="22"/>
                    </w:rPr>
                    <w:t>±0.8</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jc w:val="center"/>
              </w:trPr>
              <w:tc>
                <w:tcPr>
                  <w:tcW w:w="823"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7"/>
                      <w:sz w:val="21"/>
                      <w:szCs w:val="22"/>
                    </w:rPr>
                    <w:t>10</w:t>
                  </w:r>
                </w:p>
              </w:tc>
              <w:tc>
                <w:tcPr>
                  <w:tcW w:w="2792"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1"/>
                      <w:sz w:val="21"/>
                      <w:szCs w:val="22"/>
                    </w:rPr>
                    <w:t>独立MPPT支路数</w:t>
                  </w:r>
                </w:p>
              </w:tc>
              <w:tc>
                <w:tcPr>
                  <w:tcW w:w="11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7"/>
                      <w:sz w:val="21"/>
                      <w:szCs w:val="22"/>
                    </w:rPr>
                    <w:t>14</w:t>
                  </w:r>
                </w:p>
              </w:tc>
              <w:tc>
                <w:tcPr>
                  <w:tcW w:w="2386"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2"/>
                      <w:sz w:val="21"/>
                      <w:szCs w:val="22"/>
                    </w:rPr>
                    <w:t>THDi</w:t>
                  </w:r>
                </w:p>
              </w:tc>
              <w:tc>
                <w:tcPr>
                  <w:tcW w:w="1368"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8"/>
                      <w:sz w:val="21"/>
                      <w:szCs w:val="22"/>
                    </w:rPr>
                    <w:t>＜3%</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823"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7"/>
                      <w:sz w:val="21"/>
                      <w:szCs w:val="22"/>
                    </w:rPr>
                    <w:t>11</w:t>
                  </w:r>
                </w:p>
              </w:tc>
              <w:tc>
                <w:tcPr>
                  <w:tcW w:w="2792"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2"/>
                      <w:sz w:val="21"/>
                      <w:szCs w:val="22"/>
                    </w:rPr>
                    <w:t>最大效率</w:t>
                  </w:r>
                </w:p>
              </w:tc>
              <w:tc>
                <w:tcPr>
                  <w:tcW w:w="11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4"/>
                      <w:sz w:val="21"/>
                      <w:szCs w:val="22"/>
                    </w:rPr>
                    <w:t>≥99.01%</w:t>
                  </w:r>
                </w:p>
              </w:tc>
              <w:tc>
                <w:tcPr>
                  <w:tcW w:w="2386"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7"/>
                      <w:sz w:val="21"/>
                      <w:szCs w:val="22"/>
                    </w:rPr>
                    <w:t>中国效率</w:t>
                  </w:r>
                </w:p>
              </w:tc>
              <w:tc>
                <w:tcPr>
                  <w:tcW w:w="1368"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szCs w:val="22"/>
                    </w:rPr>
                  </w:pPr>
                  <w:r>
                    <w:rPr>
                      <w:rFonts w:ascii="Times New Roman" w:hAnsi="Times New Roman" w:eastAsia="宋体"/>
                      <w:color w:val="auto"/>
                      <w:spacing w:val="-2"/>
                      <w:sz w:val="21"/>
                      <w:szCs w:val="22"/>
                    </w:rPr>
                    <w:t>98.53%</w:t>
                  </w:r>
                </w:p>
              </w:tc>
            </w:tr>
          </w:tbl>
          <w:p>
            <w:pPr>
              <w:adjustRightInd w:val="0"/>
              <w:snapToGrid w:val="0"/>
              <w:spacing w:line="360" w:lineRule="auto"/>
              <w:jc w:val="center"/>
              <w:rPr>
                <w:rFonts w:hint="eastAsia" w:ascii="宋体" w:hAnsi="宋体" w:eastAsia="宋体" w:cs="宋体"/>
                <w:b/>
                <w:bCs/>
                <w:color w:val="auto"/>
                <w:kern w:val="0"/>
                <w:szCs w:val="21"/>
              </w:rPr>
            </w:pPr>
          </w:p>
          <w:p>
            <w:pPr>
              <w:adjustRightInd w:val="0"/>
              <w:snapToGrid w:val="0"/>
              <w:spacing w:line="360" w:lineRule="auto"/>
              <w:ind w:firstLine="482" w:firstLineChars="200"/>
              <w:jc w:val="left"/>
              <w:rPr>
                <w:rFonts w:ascii="Times New Roman" w:hAnsi="Times New Roman" w:eastAsia="宋体" w:cs="Times New Roman"/>
                <w:b/>
                <w:color w:val="auto"/>
                <w:sz w:val="24"/>
              </w:rPr>
            </w:pPr>
            <w:r>
              <w:rPr>
                <w:rFonts w:hint="eastAsia" w:ascii="宋体" w:hAnsi="宋体" w:eastAsia="宋体" w:cs="宋体"/>
                <w:b/>
                <w:color w:val="auto"/>
                <w:kern w:val="0"/>
                <w:sz w:val="24"/>
              </w:rPr>
              <w:t>（4）</w:t>
            </w:r>
            <w:r>
              <w:rPr>
                <w:rFonts w:hint="eastAsia" w:ascii="Times New Roman" w:hAnsi="Times New Roman" w:eastAsia="宋体" w:cs="Times New Roman"/>
                <w:b/>
                <w:color w:val="auto"/>
                <w:sz w:val="24"/>
              </w:rPr>
              <w:t>就地升压变压器</w:t>
            </w:r>
          </w:p>
          <w:p>
            <w:pPr>
              <w:adjustRightInd w:val="0"/>
              <w:snapToGrid w:val="0"/>
              <w:spacing w:line="360" w:lineRule="auto"/>
              <w:ind w:firstLine="480" w:firstLineChars="200"/>
              <w:jc w:val="left"/>
              <w:rPr>
                <w:rFonts w:hint="eastAsia" w:ascii="宋体" w:hAnsi="宋体" w:eastAsia="宋体" w:cs="宋体"/>
                <w:b/>
                <w:bCs/>
                <w:color w:val="auto"/>
                <w:kern w:val="0"/>
                <w:szCs w:val="21"/>
              </w:rPr>
            </w:pPr>
            <w:r>
              <w:rPr>
                <w:rFonts w:hint="eastAsia" w:ascii="Times New Roman" w:hAnsi="Times New Roman" w:eastAsia="宋体" w:cs="Times New Roman"/>
                <w:color w:val="auto"/>
                <w:kern w:val="0"/>
                <w:sz w:val="24"/>
              </w:rPr>
              <w:t>光伏场区内选用容量为3150kVA/</w:t>
            </w:r>
            <w:r>
              <w:rPr>
                <w:rFonts w:hint="eastAsia" w:cs="Times New Roman"/>
                <w:color w:val="auto"/>
                <w:kern w:val="0"/>
                <w:sz w:val="24"/>
                <w:lang w:val="en-US" w:eastAsia="zh-CN"/>
              </w:rPr>
              <w:t>2000</w:t>
            </w:r>
            <w:r>
              <w:rPr>
                <w:rFonts w:ascii="Times New Roman" w:hAnsi="Times New Roman" w:eastAsia="宋体" w:cs="Times New Roman"/>
                <w:color w:val="auto"/>
                <w:kern w:val="0"/>
                <w:sz w:val="24"/>
              </w:rPr>
              <w:t>k</w:t>
            </w:r>
            <w:r>
              <w:rPr>
                <w:rFonts w:hint="eastAsia" w:ascii="Times New Roman" w:hAnsi="Times New Roman" w:eastAsia="宋体" w:cs="Times New Roman"/>
                <w:color w:val="auto"/>
                <w:kern w:val="0"/>
                <w:sz w:val="24"/>
              </w:rPr>
              <w:t>VA的箱变52/2台，每个方阵布置对应容量的箱变一台，共计54台。箱变主要技术参数如下：</w:t>
            </w:r>
          </w:p>
          <w:p>
            <w:pPr>
              <w:adjustRightInd w:val="0"/>
              <w:snapToGrid w:val="0"/>
              <w:spacing w:line="240" w:lineRule="auto"/>
              <w:jc w:val="center"/>
              <w:rPr>
                <w:rFonts w:hint="eastAsia" w:ascii="Times New Roman" w:hAnsi="Times New Roman" w:eastAsia="宋体" w:cs="Times New Roman"/>
                <w:b/>
                <w:bCs/>
                <w:color w:val="auto"/>
                <w:szCs w:val="28"/>
                <w:lang w:val="en-US" w:eastAsia="zh-CN"/>
              </w:rPr>
            </w:pPr>
            <w:r>
              <w:rPr>
                <w:rFonts w:hint="eastAsia" w:ascii="Times New Roman" w:hAnsi="Times New Roman" w:eastAsia="宋体" w:cs="Times New Roman"/>
                <w:b/>
                <w:bCs/>
                <w:color w:val="auto"/>
                <w:szCs w:val="28"/>
                <w:lang w:val="en-US" w:eastAsia="zh-CN"/>
              </w:rPr>
              <w:t>表2.4-4  箱变参数</w:t>
            </w:r>
          </w:p>
          <w:tbl>
            <w:tblPr>
              <w:tblStyle w:val="19"/>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4"/>
              <w:gridCol w:w="2864"/>
              <w:gridCol w:w="286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64" w:type="dxa"/>
                  <w:tcBorders>
                    <w:tl2br w:val="nil"/>
                    <w:tr2bl w:val="nil"/>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pacing w:val="-2"/>
                      <w:sz w:val="21"/>
                      <w:szCs w:val="22"/>
                      <w:lang w:val="en-US" w:eastAsia="zh-CN"/>
                    </w:rPr>
                  </w:pPr>
                </w:p>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olor w:val="auto"/>
                      <w:spacing w:val="-2"/>
                      <w:sz w:val="21"/>
                      <w:szCs w:val="22"/>
                      <w:lang w:val="en-US" w:eastAsia="zh-CN"/>
                    </w:rPr>
                  </w:pPr>
                  <w:r>
                    <w:rPr>
                      <w:rFonts w:hint="eastAsia" w:ascii="Times New Roman" w:hAnsi="Times New Roman" w:eastAsia="宋体"/>
                      <w:color w:val="auto"/>
                      <w:spacing w:val="-2"/>
                      <w:sz w:val="21"/>
                      <w:szCs w:val="22"/>
                      <w:lang w:val="en-US" w:eastAsia="zh-CN"/>
                    </w:rPr>
                    <w:t>参数</w:t>
                  </w:r>
                </w:p>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mc:AlternateContent>
                      <mc:Choice Requires="wpsCustomData">
                        <wpsCustomData:diagonalParaType/>
                      </mc:Choice>
                    </mc:AlternateContent>
                    <w:rPr>
                      <w:rFonts w:hint="default" w:ascii="Times New Roman" w:hAnsi="Times New Roman" w:eastAsia="宋体"/>
                      <w:color w:val="auto"/>
                      <w:spacing w:val="-2"/>
                      <w:sz w:val="21"/>
                      <w:szCs w:val="22"/>
                      <w:lang w:val="en-US" w:eastAsia="zh-CN"/>
                    </w:rPr>
                  </w:pPr>
                  <w:r>
                    <w:rPr>
                      <w:rFonts w:hint="eastAsia" w:ascii="Times New Roman" w:hAnsi="Times New Roman" w:eastAsia="宋体"/>
                      <w:color w:val="auto"/>
                      <w:spacing w:val="-2"/>
                      <w:sz w:val="21"/>
                      <w:szCs w:val="22"/>
                      <w:lang w:val="en-US" w:eastAsia="zh-CN"/>
                    </w:rPr>
                    <w:t>参数</w:t>
                  </w:r>
                </w:p>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pacing w:val="-2"/>
                      <w:sz w:val="21"/>
                      <w:szCs w:val="22"/>
                      <w:lang w:val="en-US" w:eastAsia="zh-CN"/>
                    </w:rPr>
                  </w:pPr>
                  <w:r>
                    <w:rPr>
                      <w:rFonts w:hint="eastAsia" w:ascii="Times New Roman" w:hAnsi="Times New Roman" w:eastAsia="宋体"/>
                      <w:color w:val="auto"/>
                      <w:spacing w:val="-2"/>
                      <w:sz w:val="21"/>
                      <w:szCs w:val="22"/>
                      <w:lang w:val="en-US" w:eastAsia="zh-CN"/>
                    </w:rPr>
                    <w:t>型号</w:t>
                  </w:r>
                </w:p>
              </w:tc>
              <w:tc>
                <w:tcPr>
                  <w:tcW w:w="28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pacing w:val="-2"/>
                      <w:sz w:val="21"/>
                      <w:szCs w:val="22"/>
                    </w:rPr>
                  </w:pPr>
                  <w:r>
                    <w:rPr>
                      <w:rFonts w:ascii="Times New Roman" w:hAnsi="Times New Roman" w:eastAsia="宋体"/>
                      <w:color w:val="auto"/>
                      <w:spacing w:val="6"/>
                      <w:position w:val="24"/>
                      <w:sz w:val="21"/>
                      <w:szCs w:val="25"/>
                    </w:rPr>
                    <w:t>3150</w:t>
                  </w:r>
                  <w:r>
                    <w:rPr>
                      <w:rFonts w:ascii="Times New Roman" w:hAnsi="Times New Roman" w:eastAsia="宋体"/>
                      <w:color w:val="auto"/>
                      <w:position w:val="24"/>
                      <w:sz w:val="21"/>
                      <w:szCs w:val="25"/>
                    </w:rPr>
                    <w:t>kVA</w:t>
                  </w:r>
                  <w:r>
                    <w:rPr>
                      <w:rFonts w:ascii="Times New Roman" w:hAnsi="Times New Roman" w:eastAsia="宋体"/>
                      <w:color w:val="auto"/>
                      <w:spacing w:val="6"/>
                      <w:position w:val="24"/>
                      <w:sz w:val="21"/>
                      <w:szCs w:val="25"/>
                    </w:rPr>
                    <w:t>箱变参数</w:t>
                  </w:r>
                </w:p>
              </w:tc>
              <w:tc>
                <w:tcPr>
                  <w:tcW w:w="28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pacing w:val="8"/>
                      <w:sz w:val="21"/>
                      <w:szCs w:val="25"/>
                    </w:rPr>
                  </w:pPr>
                  <w:r>
                    <w:rPr>
                      <w:rFonts w:ascii="Times New Roman" w:hAnsi="Times New Roman" w:eastAsia="宋体"/>
                      <w:color w:val="auto"/>
                      <w:spacing w:val="8"/>
                      <w:sz w:val="21"/>
                      <w:szCs w:val="25"/>
                    </w:rPr>
                    <w:t>2000kVA箱变参数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pacing w:val="-2"/>
                      <w:sz w:val="21"/>
                      <w:szCs w:val="22"/>
                    </w:rPr>
                  </w:pPr>
                  <w:r>
                    <w:rPr>
                      <w:rFonts w:ascii="Times New Roman" w:hAnsi="Times New Roman" w:eastAsia="宋体"/>
                      <w:color w:val="auto"/>
                      <w:spacing w:val="8"/>
                      <w:sz w:val="21"/>
                      <w:szCs w:val="25"/>
                    </w:rPr>
                    <w:t>额定容量</w:t>
                  </w:r>
                </w:p>
              </w:tc>
              <w:tc>
                <w:tcPr>
                  <w:tcW w:w="28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pacing w:val="-2"/>
                      <w:sz w:val="21"/>
                      <w:szCs w:val="22"/>
                    </w:rPr>
                  </w:pPr>
                  <w:r>
                    <w:rPr>
                      <w:rFonts w:ascii="Times New Roman" w:hAnsi="Times New Roman" w:eastAsia="宋体"/>
                      <w:color w:val="auto"/>
                      <w:spacing w:val="8"/>
                      <w:sz w:val="21"/>
                      <w:szCs w:val="25"/>
                    </w:rPr>
                    <w:t>3150</w:t>
                  </w:r>
                  <w:r>
                    <w:rPr>
                      <w:rFonts w:ascii="Times New Roman" w:hAnsi="Times New Roman" w:eastAsia="宋体"/>
                      <w:color w:val="auto"/>
                      <w:sz w:val="21"/>
                      <w:szCs w:val="25"/>
                    </w:rPr>
                    <w:t>kVA</w:t>
                  </w:r>
                </w:p>
              </w:tc>
              <w:tc>
                <w:tcPr>
                  <w:tcW w:w="28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pacing w:val="8"/>
                      <w:sz w:val="21"/>
                      <w:szCs w:val="25"/>
                    </w:rPr>
                  </w:pPr>
                  <w:r>
                    <w:rPr>
                      <w:rFonts w:ascii="Times New Roman" w:hAnsi="Times New Roman" w:eastAsia="宋体"/>
                      <w:color w:val="auto"/>
                      <w:spacing w:val="8"/>
                      <w:sz w:val="21"/>
                      <w:szCs w:val="25"/>
                    </w:rPr>
                    <w:t>2000kVA</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8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pacing w:val="8"/>
                      <w:sz w:val="21"/>
                      <w:szCs w:val="25"/>
                    </w:rPr>
                  </w:pPr>
                  <w:r>
                    <w:rPr>
                      <w:rFonts w:ascii="Times New Roman" w:hAnsi="Times New Roman" w:eastAsia="宋体"/>
                      <w:color w:val="auto"/>
                      <w:spacing w:val="8"/>
                      <w:sz w:val="21"/>
                      <w:szCs w:val="25"/>
                    </w:rPr>
                    <w:t>额定电压</w:t>
                  </w:r>
                </w:p>
              </w:tc>
              <w:tc>
                <w:tcPr>
                  <w:tcW w:w="28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pacing w:val="8"/>
                      <w:sz w:val="21"/>
                      <w:szCs w:val="25"/>
                    </w:rPr>
                  </w:pPr>
                  <w:r>
                    <w:rPr>
                      <w:rFonts w:ascii="Times New Roman" w:hAnsi="Times New Roman" w:eastAsia="宋体"/>
                      <w:color w:val="auto"/>
                      <w:spacing w:val="8"/>
                      <w:sz w:val="21"/>
                      <w:szCs w:val="25"/>
                    </w:rPr>
                    <w:t>37±2×2.5%/0.8</w:t>
                  </w:r>
                </w:p>
              </w:tc>
              <w:tc>
                <w:tcPr>
                  <w:tcW w:w="28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pacing w:val="8"/>
                      <w:sz w:val="21"/>
                      <w:szCs w:val="25"/>
                    </w:rPr>
                  </w:pPr>
                  <w:r>
                    <w:rPr>
                      <w:rFonts w:ascii="Times New Roman" w:hAnsi="Times New Roman" w:eastAsia="宋体"/>
                      <w:color w:val="auto"/>
                      <w:spacing w:val="8"/>
                      <w:sz w:val="21"/>
                      <w:szCs w:val="25"/>
                    </w:rPr>
                    <w:t>37±2×2.5%/0.8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pacing w:val="8"/>
                      <w:sz w:val="21"/>
                      <w:szCs w:val="25"/>
                    </w:rPr>
                  </w:pPr>
                  <w:r>
                    <w:rPr>
                      <w:rFonts w:ascii="Times New Roman" w:hAnsi="Times New Roman" w:eastAsia="宋体"/>
                      <w:color w:val="auto"/>
                      <w:spacing w:val="8"/>
                      <w:sz w:val="21"/>
                      <w:szCs w:val="25"/>
                    </w:rPr>
                    <w:t>联接组别</w:t>
                  </w:r>
                </w:p>
              </w:tc>
              <w:tc>
                <w:tcPr>
                  <w:tcW w:w="28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pacing w:val="8"/>
                      <w:sz w:val="21"/>
                      <w:szCs w:val="25"/>
                    </w:rPr>
                  </w:pPr>
                  <w:r>
                    <w:rPr>
                      <w:rFonts w:ascii="Times New Roman" w:hAnsi="Times New Roman" w:eastAsia="宋体"/>
                      <w:color w:val="auto"/>
                      <w:spacing w:val="8"/>
                      <w:sz w:val="21"/>
                      <w:szCs w:val="25"/>
                    </w:rPr>
                    <w:t>D，y11</w:t>
                  </w:r>
                </w:p>
              </w:tc>
              <w:tc>
                <w:tcPr>
                  <w:tcW w:w="28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pacing w:val="8"/>
                      <w:sz w:val="21"/>
                      <w:szCs w:val="25"/>
                    </w:rPr>
                  </w:pPr>
                  <w:r>
                    <w:rPr>
                      <w:rFonts w:ascii="Times New Roman" w:hAnsi="Times New Roman" w:eastAsia="宋体"/>
                      <w:color w:val="auto"/>
                      <w:spacing w:val="8"/>
                      <w:sz w:val="21"/>
                      <w:szCs w:val="25"/>
                    </w:rPr>
                    <w:t>D，y11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pacing w:val="8"/>
                      <w:sz w:val="21"/>
                      <w:szCs w:val="25"/>
                    </w:rPr>
                  </w:pPr>
                  <w:r>
                    <w:rPr>
                      <w:rFonts w:ascii="Times New Roman" w:hAnsi="Times New Roman" w:eastAsia="宋体"/>
                      <w:color w:val="auto"/>
                      <w:spacing w:val="8"/>
                      <w:sz w:val="21"/>
                      <w:szCs w:val="25"/>
                    </w:rPr>
                    <w:t>短路阻抗</w:t>
                  </w:r>
                </w:p>
              </w:tc>
              <w:tc>
                <w:tcPr>
                  <w:tcW w:w="28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pacing w:val="8"/>
                      <w:sz w:val="21"/>
                      <w:szCs w:val="25"/>
                    </w:rPr>
                  </w:pPr>
                  <w:r>
                    <w:rPr>
                      <w:rFonts w:ascii="Times New Roman" w:hAnsi="Times New Roman" w:eastAsia="宋体"/>
                      <w:color w:val="auto"/>
                      <w:spacing w:val="8"/>
                      <w:sz w:val="21"/>
                      <w:szCs w:val="25"/>
                    </w:rPr>
                    <w:t>Uk=7%</w:t>
                  </w:r>
                </w:p>
              </w:tc>
              <w:tc>
                <w:tcPr>
                  <w:tcW w:w="28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pacing w:val="8"/>
                      <w:sz w:val="21"/>
                      <w:szCs w:val="25"/>
                    </w:rPr>
                  </w:pPr>
                  <w:r>
                    <w:rPr>
                      <w:rFonts w:ascii="Times New Roman" w:hAnsi="Times New Roman" w:eastAsia="宋体"/>
                      <w:color w:val="auto"/>
                      <w:spacing w:val="8"/>
                      <w:sz w:val="21"/>
                      <w:szCs w:val="25"/>
                    </w:rPr>
                    <w:t>Uk=6.5%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pacing w:val="8"/>
                      <w:sz w:val="21"/>
                      <w:szCs w:val="25"/>
                    </w:rPr>
                  </w:pPr>
                  <w:r>
                    <w:rPr>
                      <w:rFonts w:ascii="Times New Roman" w:hAnsi="Times New Roman" w:eastAsia="宋体"/>
                      <w:color w:val="auto"/>
                      <w:spacing w:val="8"/>
                      <w:sz w:val="21"/>
                      <w:szCs w:val="25"/>
                    </w:rPr>
                    <w:t>冷却方式</w:t>
                  </w:r>
                </w:p>
              </w:tc>
              <w:tc>
                <w:tcPr>
                  <w:tcW w:w="28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pacing w:val="8"/>
                      <w:sz w:val="21"/>
                      <w:szCs w:val="25"/>
                    </w:rPr>
                  </w:pPr>
                  <w:r>
                    <w:rPr>
                      <w:rFonts w:ascii="Times New Roman" w:hAnsi="Times New Roman" w:eastAsia="宋体"/>
                      <w:color w:val="auto"/>
                      <w:spacing w:val="8"/>
                      <w:sz w:val="21"/>
                      <w:szCs w:val="25"/>
                    </w:rPr>
                    <w:t>ONAN</w:t>
                  </w:r>
                </w:p>
              </w:tc>
              <w:tc>
                <w:tcPr>
                  <w:tcW w:w="28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pacing w:val="8"/>
                      <w:sz w:val="21"/>
                      <w:szCs w:val="25"/>
                    </w:rPr>
                  </w:pPr>
                  <w:r>
                    <w:rPr>
                      <w:rFonts w:ascii="Times New Roman" w:hAnsi="Times New Roman" w:eastAsia="宋体"/>
                      <w:color w:val="auto"/>
                      <w:spacing w:val="8"/>
                      <w:sz w:val="21"/>
                      <w:szCs w:val="25"/>
                    </w:rPr>
                    <w:t>ONAN</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pacing w:val="8"/>
                      <w:sz w:val="21"/>
                      <w:szCs w:val="25"/>
                    </w:rPr>
                  </w:pPr>
                  <w:r>
                    <w:rPr>
                      <w:rFonts w:ascii="Times New Roman" w:hAnsi="Times New Roman" w:eastAsia="宋体"/>
                      <w:color w:val="auto"/>
                      <w:spacing w:val="8"/>
                      <w:sz w:val="21"/>
                      <w:szCs w:val="25"/>
                    </w:rPr>
                    <w:t>数量</w:t>
                  </w:r>
                </w:p>
              </w:tc>
              <w:tc>
                <w:tcPr>
                  <w:tcW w:w="28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pacing w:val="8"/>
                      <w:sz w:val="21"/>
                      <w:szCs w:val="25"/>
                    </w:rPr>
                  </w:pPr>
                  <w:r>
                    <w:rPr>
                      <w:rFonts w:ascii="Times New Roman" w:hAnsi="Times New Roman" w:eastAsia="宋体"/>
                      <w:color w:val="auto"/>
                      <w:spacing w:val="8"/>
                      <w:sz w:val="21"/>
                      <w:szCs w:val="25"/>
                    </w:rPr>
                    <w:t>52台</w:t>
                  </w:r>
                </w:p>
              </w:tc>
              <w:tc>
                <w:tcPr>
                  <w:tcW w:w="2864" w:type="dxa"/>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pacing w:val="8"/>
                      <w:sz w:val="21"/>
                      <w:szCs w:val="25"/>
                    </w:rPr>
                  </w:pPr>
                  <w:r>
                    <w:rPr>
                      <w:rFonts w:ascii="Times New Roman" w:hAnsi="Times New Roman" w:eastAsia="宋体"/>
                      <w:color w:val="auto"/>
                      <w:spacing w:val="8"/>
                      <w:sz w:val="21"/>
                      <w:szCs w:val="25"/>
                    </w:rPr>
                    <w:t>2台</w:t>
                  </w:r>
                </w:p>
              </w:tc>
            </w:tr>
          </w:tbl>
          <w:p>
            <w:pPr>
              <w:adjustRightInd w:val="0"/>
              <w:snapToGrid w:val="0"/>
              <w:spacing w:line="360" w:lineRule="auto"/>
              <w:ind w:firstLine="482" w:firstLineChars="200"/>
              <w:jc w:val="left"/>
              <w:rPr>
                <w:rFonts w:hint="eastAsia" w:ascii="宋体" w:hAnsi="宋体" w:eastAsia="宋体" w:cs="宋体"/>
                <w:b/>
                <w:bCs/>
                <w:color w:val="auto"/>
                <w:kern w:val="0"/>
                <w:sz w:val="24"/>
              </w:rPr>
            </w:pPr>
          </w:p>
          <w:p>
            <w:pPr>
              <w:adjustRightInd w:val="0"/>
              <w:snapToGrid w:val="0"/>
              <w:spacing w:line="360" w:lineRule="auto"/>
              <w:jc w:val="center"/>
              <w:rPr>
                <w:rFonts w:hint="eastAsia" w:ascii="Times New Roman" w:hAnsi="Times New Roman" w:eastAsia="宋体" w:cs="Times New Roman"/>
                <w:color w:val="auto"/>
                <w:szCs w:val="28"/>
              </w:rPr>
            </w:pPr>
            <w:r>
              <w:rPr>
                <w:rFonts w:ascii="Times New Roman" w:hAnsi="Times New Roman" w:eastAsia="宋体" w:cs="Times New Roman"/>
                <w:color w:val="auto"/>
              </w:rPr>
              <w:drawing>
                <wp:inline distT="0" distB="0" distL="114300" distR="114300">
                  <wp:extent cx="3287395" cy="1554480"/>
                  <wp:effectExtent l="0" t="0" r="8255" b="7620"/>
                  <wp:docPr id="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pic:cNvPicPr>
                            <a:picLocks noChangeAspect="1"/>
                          </pic:cNvPicPr>
                        </pic:nvPicPr>
                        <pic:blipFill>
                          <a:blip r:embed="rId11"/>
                          <a:srcRect t="9743" r="1224" b="3442"/>
                          <a:stretch>
                            <a:fillRect/>
                          </a:stretch>
                        </pic:blipFill>
                        <pic:spPr>
                          <a:xfrm>
                            <a:off x="0" y="0"/>
                            <a:ext cx="3287395" cy="1554480"/>
                          </a:xfrm>
                          <a:prstGeom prst="rect">
                            <a:avLst/>
                          </a:prstGeom>
                          <a:noFill/>
                          <a:ln>
                            <a:noFill/>
                          </a:ln>
                        </pic:spPr>
                      </pic:pic>
                    </a:graphicData>
                  </a:graphic>
                </wp:inline>
              </w:drawing>
            </w:r>
          </w:p>
          <w:p>
            <w:pPr>
              <w:adjustRightInd w:val="0"/>
              <w:snapToGrid w:val="0"/>
              <w:spacing w:line="240" w:lineRule="auto"/>
              <w:jc w:val="center"/>
              <w:rPr>
                <w:rFonts w:hint="eastAsia" w:ascii="Times New Roman" w:hAnsi="Times New Roman" w:eastAsia="宋体" w:cs="Times New Roman"/>
                <w:b/>
                <w:bCs/>
                <w:color w:val="auto"/>
                <w:szCs w:val="28"/>
                <w:lang w:val="en-US" w:eastAsia="zh-CN"/>
              </w:rPr>
            </w:pPr>
            <w:r>
              <w:rPr>
                <w:rFonts w:hint="eastAsia" w:ascii="Times New Roman" w:hAnsi="Times New Roman" w:eastAsia="宋体" w:cs="Times New Roman"/>
                <w:b/>
                <w:bCs/>
                <w:color w:val="auto"/>
                <w:szCs w:val="28"/>
                <w:lang w:val="en-US" w:eastAsia="zh-CN"/>
              </w:rPr>
              <w:t>图2.4-3  箱变基础体型图</w:t>
            </w:r>
          </w:p>
          <w:p>
            <w:pPr>
              <w:adjustRightInd w:val="0"/>
              <w:snapToGrid w:val="0"/>
              <w:spacing w:line="360" w:lineRule="auto"/>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箱变布置在各个子方阵的检修道路旁。箱变基础为钢筋混凝土箱形结构，基础顶板上预埋钢板，与变压器支座焊接固定；箱变基础底部埋深</w:t>
            </w:r>
            <w:r>
              <w:rPr>
                <w:rFonts w:ascii="宋体" w:hAnsi="宋体" w:eastAsia="宋体" w:cs="宋体"/>
                <w:color w:val="auto"/>
                <w:kern w:val="0"/>
                <w:sz w:val="24"/>
              </w:rPr>
              <w:t>1.0m</w:t>
            </w:r>
            <w:r>
              <w:rPr>
                <w:rFonts w:hint="eastAsia" w:ascii="宋体" w:hAnsi="宋体" w:eastAsia="宋体" w:cs="宋体"/>
                <w:color w:val="auto"/>
                <w:kern w:val="0"/>
                <w:sz w:val="24"/>
              </w:rPr>
              <w:t>，基础顶面高于地坪</w:t>
            </w:r>
            <w:r>
              <w:rPr>
                <w:rFonts w:ascii="宋体" w:hAnsi="宋体" w:eastAsia="宋体" w:cs="宋体"/>
                <w:color w:val="auto"/>
                <w:kern w:val="0"/>
                <w:sz w:val="24"/>
              </w:rPr>
              <w:t>0.8</w:t>
            </w:r>
            <w:r>
              <w:rPr>
                <w:rFonts w:hint="eastAsia" w:ascii="宋体" w:hAnsi="宋体" w:eastAsia="宋体" w:cs="宋体"/>
                <w:color w:val="auto"/>
                <w:kern w:val="0"/>
                <w:sz w:val="24"/>
              </w:rPr>
              <w:t>～</w:t>
            </w:r>
            <w:r>
              <w:rPr>
                <w:rFonts w:ascii="宋体" w:hAnsi="宋体" w:eastAsia="宋体" w:cs="宋体"/>
                <w:color w:val="auto"/>
                <w:kern w:val="0"/>
                <w:sz w:val="24"/>
              </w:rPr>
              <w:t>1.0m</w:t>
            </w:r>
            <w:r>
              <w:rPr>
                <w:rFonts w:hint="eastAsia" w:ascii="宋体" w:hAnsi="宋体" w:eastAsia="宋体" w:cs="宋体"/>
                <w:color w:val="auto"/>
                <w:kern w:val="0"/>
                <w:sz w:val="24"/>
              </w:rPr>
              <w:t>。箱变排油一侧设置集油坑，各集油池容积约0.1</w:t>
            </w:r>
            <w:r>
              <w:rPr>
                <w:rFonts w:ascii="宋体" w:hAnsi="宋体" w:eastAsia="宋体" w:cs="宋体"/>
                <w:color w:val="auto"/>
                <w:kern w:val="0"/>
                <w:sz w:val="24"/>
              </w:rPr>
              <w:t>m</w:t>
            </w:r>
            <w:r>
              <w:rPr>
                <w:rFonts w:ascii="宋体" w:hAnsi="宋体" w:eastAsia="宋体" w:cs="宋体"/>
                <w:color w:val="auto"/>
                <w:kern w:val="0"/>
                <w:sz w:val="24"/>
                <w:vertAlign w:val="superscript"/>
              </w:rPr>
              <w:t>3</w:t>
            </w:r>
            <w:r>
              <w:rPr>
                <w:rFonts w:hint="eastAsia" w:ascii="宋体" w:hAnsi="宋体" w:eastAsia="宋体" w:cs="宋体"/>
                <w:color w:val="auto"/>
                <w:kern w:val="0"/>
                <w:sz w:val="24"/>
              </w:rPr>
              <w:t>，可容纳事故状态下箱变泄漏的1</w:t>
            </w:r>
            <w:r>
              <w:rPr>
                <w:rFonts w:ascii="宋体" w:hAnsi="宋体" w:eastAsia="宋体" w:cs="宋体"/>
                <w:color w:val="auto"/>
                <w:kern w:val="0"/>
                <w:sz w:val="24"/>
              </w:rPr>
              <w:t>00%</w:t>
            </w:r>
            <w:r>
              <w:rPr>
                <w:rFonts w:hint="eastAsia" w:ascii="宋体" w:hAnsi="宋体" w:eastAsia="宋体" w:cs="宋体"/>
                <w:color w:val="auto"/>
                <w:kern w:val="0"/>
                <w:sz w:val="24"/>
              </w:rPr>
              <w:t>油量。</w:t>
            </w:r>
          </w:p>
          <w:p>
            <w:pPr>
              <w:adjustRightInd w:val="0"/>
              <w:snapToGrid w:val="0"/>
              <w:spacing w:line="360" w:lineRule="auto"/>
              <w:jc w:val="left"/>
              <w:rPr>
                <w:rFonts w:ascii="宋体" w:hAnsi="宋体" w:eastAsia="宋体" w:cs="宋体"/>
                <w:b/>
                <w:bCs/>
                <w:color w:val="auto"/>
                <w:kern w:val="0"/>
                <w:sz w:val="24"/>
              </w:rPr>
            </w:pPr>
            <w:r>
              <w:rPr>
                <w:rFonts w:hint="eastAsia" w:ascii="宋体" w:hAnsi="宋体" w:eastAsia="宋体" w:cs="宋体"/>
                <w:b/>
                <w:bCs/>
                <w:color w:val="auto"/>
                <w:kern w:val="0"/>
                <w:sz w:val="24"/>
              </w:rPr>
              <w:t>（5）方阵接线</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1）直流接线方案设计</w:t>
            </w: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en-US"/>
              </w:rPr>
            </w:pPr>
            <w:r>
              <w:rPr>
                <w:rFonts w:hint="eastAsia" w:ascii="Times New Roman" w:hAnsi="Times New Roman" w:eastAsia="宋体" w:cs="Times New Roman"/>
                <w:color w:val="auto"/>
                <w:sz w:val="24"/>
                <w:lang w:val="en-US" w:eastAsia="en-US"/>
              </w:rPr>
              <w:t>本项目采用52个3.15MW光伏方阵和2个2MW光伏方阵，项目光伏组件总容量为212.89002MW。每28块光伏组件电气连接组成一串，组串至逆变器采用1x4mm²铜芯光伏专用电缆。电缆敷设方式优先采用穿PE管敷设，可根据现场实际情况改为线槽或桥架敷设。每26～27串光伏组件接入1台320kW组串式逆变器， 经逆变器逆变为交流后，接入所属方阵内箱式变压器低压侧，升压至35kV。</w:t>
            </w: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en-US"/>
              </w:rPr>
              <w:t>当光伏方阵规划容量为3.15MW时，每个子系统接入10台320kW组串式逆变器；当光伏方阵规划容量为2MW时， 每个子系统接入6或7台320kW组串式逆变器。每个方阵最终接入组件的数量根据地块容量及方阵划分调整，升压箱变将电压升压至35kV后，由35kV集电线路引接至新建升压站的35kV侧。</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箱式变压器的升压方式</w:t>
            </w: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逆变器出口电压为800V，每个光伏单元配置一台箱式变压器。升压方式有两种方案，中压侧可选用35kV或10kV电压等级接升压站主变低压侧母线上。本工程装机容量大，逆变器数量多，且组件子阵布置间距相对较远。由于10kV电缆输电线路的输送容量一般仅为3MW～4MW，输送距离一般为3km～4km，且低压输电损耗较大，所以本工程中压采用35kV电压等级，即升压变压器将逆变器输出的800V电压直接升压至到35kV。</w:t>
            </w: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3）同一地块集电线路方案</w:t>
            </w: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本项目光伏组件布置于三个不同地块，对于同一地块，因布置规整、紧凑，各箱变分散布置于各方阵相对中心且靠近道路便于维修的位置。场区内电缆敷设采用直埋和电缆槽盒相结合方式。</w:t>
            </w: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4）不同地块之间集电线路方案</w:t>
            </w: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光伏电站共分阿郎、沙沟、松树湾三个不同地块，其中升压站位于沙沟地块，所以沙沟地块采用电缆地埋及槽盒相结合敷设方式，以35kV电缆接入接入升压站；而阿郎、松树湾地块采用35kV架空线路的方式接入升压站。</w:t>
            </w:r>
          </w:p>
          <w:p>
            <w:pPr>
              <w:adjustRightInd w:val="0"/>
              <w:snapToGrid w:val="0"/>
              <w:spacing w:line="360" w:lineRule="auto"/>
              <w:ind w:firstLine="480" w:firstLineChars="200"/>
              <w:rPr>
                <w:rFonts w:ascii="Times New Roman" w:hAnsi="Times New Roman" w:eastAsia="宋体" w:cs="Times New Roman"/>
                <w:color w:val="auto"/>
                <w:sz w:val="24"/>
              </w:rPr>
            </w:pPr>
            <w:r>
              <w:rPr>
                <w:rFonts w:hint="eastAsia" w:cs="Times New Roman"/>
                <w:color w:val="auto"/>
                <w:sz w:val="24"/>
                <w:lang w:val="en-US" w:eastAsia="zh-CN"/>
              </w:rPr>
              <w:t>5</w:t>
            </w:r>
            <w:r>
              <w:rPr>
                <w:rFonts w:hint="eastAsia" w:ascii="Times New Roman" w:hAnsi="Times New Roman" w:eastAsia="宋体" w:cs="Times New Roman"/>
                <w:color w:val="auto"/>
                <w:sz w:val="24"/>
              </w:rPr>
              <w:t>）光伏场区电缆敷设设计</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①每3.15MWp光伏发电系统的太阳电池方阵，组串直流输出电缆通道东西方向沿太阳能组件的安装支架进入组串式逆变器，南北方向电缆采用沿电缆穿保护管进入纵向设置的直埋壕沟或槽盒敷设至组串式逆变器。组串式逆变器出线交流电缆沿着纵向设置的电缆壕沟或槽盒敷设至方阵对应的箱变。</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②箱变高压侧电缆、分接箱进出线电缆及集电线路电缆沿场内道路边布置的电缆壕沟敷设至</w:t>
            </w:r>
            <w:r>
              <w:rPr>
                <w:rFonts w:hint="eastAsia" w:cs="Times New Roman"/>
                <w:color w:val="auto"/>
                <w:sz w:val="24"/>
                <w:lang w:val="en-US" w:eastAsia="zh-CN"/>
              </w:rPr>
              <w:t>11</w:t>
            </w:r>
            <w:r>
              <w:rPr>
                <w:rFonts w:ascii="Times New Roman" w:hAnsi="Times New Roman" w:eastAsia="宋体" w:cs="Times New Roman"/>
                <w:color w:val="auto"/>
                <w:sz w:val="24"/>
              </w:rPr>
              <w:t>0kV升压站35kV配电装置。</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③电缆过道路部分埋管敷设，埋管长度各伸出道路两侧不小于1.5m</w:t>
            </w:r>
            <w:r>
              <w:rPr>
                <w:rFonts w:hint="eastAsia" w:ascii="Times New Roman" w:hAnsi="Times New Roman" w:eastAsia="宋体" w:cs="Times New Roman"/>
                <w:color w:val="auto"/>
                <w:sz w:val="24"/>
              </w:rPr>
              <w:t>。</w:t>
            </w:r>
          </w:p>
          <w:p>
            <w:pPr>
              <w:spacing w:line="360" w:lineRule="auto"/>
              <w:rPr>
                <w:rFonts w:ascii="Times New Roman" w:hAnsi="Times New Roman" w:eastAsia="宋体" w:cs="Times New Roman"/>
                <w:b/>
                <w:bCs/>
                <w:color w:val="auto"/>
                <w:kern w:val="0"/>
                <w:sz w:val="24"/>
                <w:highlight w:val="red"/>
              </w:rPr>
            </w:pPr>
            <w:r>
              <w:rPr>
                <w:rFonts w:hint="eastAsia" w:ascii="Times New Roman" w:hAnsi="Times New Roman" w:eastAsia="宋体" w:cs="Times New Roman"/>
                <w:b/>
                <w:bCs/>
                <w:color w:val="auto"/>
                <w:kern w:val="0"/>
                <w:sz w:val="24"/>
                <w:highlight w:val="none"/>
              </w:rPr>
              <w:t>2.</w:t>
            </w:r>
            <w:r>
              <w:rPr>
                <w:rFonts w:hint="eastAsia" w:cs="Times New Roman"/>
                <w:b/>
                <w:bCs/>
                <w:color w:val="auto"/>
                <w:kern w:val="0"/>
                <w:sz w:val="24"/>
                <w:highlight w:val="none"/>
                <w:lang w:val="en-US" w:eastAsia="zh-CN"/>
              </w:rPr>
              <w:t>4</w:t>
            </w:r>
            <w:r>
              <w:rPr>
                <w:rFonts w:hint="eastAsia" w:ascii="Times New Roman" w:hAnsi="Times New Roman" w:eastAsia="宋体" w:cs="Times New Roman"/>
                <w:b/>
                <w:bCs/>
                <w:color w:val="auto"/>
                <w:kern w:val="0"/>
                <w:sz w:val="24"/>
                <w:highlight w:val="none"/>
              </w:rPr>
              <w:t>.1.2集电线路</w:t>
            </w: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（1）路径方案</w:t>
            </w: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根据项目初步设计报告，本工程通过现场收资和踏勘，最终确定本工程路径方案。</w:t>
            </w: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松树湾片区至马头地升压站35kV新建线路：</w:t>
            </w: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线路自松树湾片区外电缆终端塔起，线路向南方向走线至小月旧村，转向西跨过老成昆铁路、龙川江转向北，至大月旧村东北角转向西，钻越220kV谢元线及110kV元牟线后向北架设接入拟建马头地110kV升压站。线路长度约为 4.5km，全线单回路架设。见下图。</w:t>
            </w:r>
          </w:p>
          <w:p>
            <w:pPr>
              <w:adjustRightInd w:val="0"/>
              <w:snapToGrid w:val="0"/>
              <w:spacing w:line="360" w:lineRule="auto"/>
              <w:ind w:firstLine="420" w:firstLineChars="200"/>
              <w:rPr>
                <w:rFonts w:hint="default" w:ascii="Times New Roman" w:hAnsi="Times New Roman" w:eastAsia="宋体" w:cs="Times New Roman"/>
                <w:color w:val="auto"/>
                <w:sz w:val="24"/>
                <w:lang w:val="en-US" w:eastAsia="zh-CN"/>
              </w:rPr>
            </w:pPr>
            <w:r>
              <w:rPr>
                <w:color w:val="auto"/>
              </w:rPr>
              <w:drawing>
                <wp:inline distT="0" distB="0" distL="114300" distR="114300">
                  <wp:extent cx="4800600" cy="51206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4800600" cy="5120640"/>
                          </a:xfrm>
                          <a:prstGeom prst="rect">
                            <a:avLst/>
                          </a:prstGeom>
                          <a:noFill/>
                          <a:ln>
                            <a:noFill/>
                          </a:ln>
                        </pic:spPr>
                      </pic:pic>
                    </a:graphicData>
                  </a:graphic>
                </wp:inline>
              </w:drawing>
            </w:r>
          </w:p>
          <w:p>
            <w:pPr>
              <w:adjustRightInd w:val="0"/>
              <w:snapToGrid w:val="0"/>
              <w:spacing w:line="240" w:lineRule="auto"/>
              <w:jc w:val="center"/>
              <w:rPr>
                <w:rFonts w:hint="eastAsia" w:ascii="Times New Roman" w:hAnsi="Times New Roman" w:eastAsia="宋体" w:cs="Times New Roman"/>
                <w:b/>
                <w:bCs/>
                <w:color w:val="auto"/>
                <w:szCs w:val="28"/>
                <w:lang w:val="en-US" w:eastAsia="zh-CN"/>
              </w:rPr>
            </w:pPr>
            <w:r>
              <w:rPr>
                <w:rFonts w:hint="eastAsia" w:ascii="Times New Roman" w:hAnsi="Times New Roman" w:eastAsia="宋体" w:cs="Times New Roman"/>
                <w:b/>
                <w:bCs/>
                <w:color w:val="auto"/>
                <w:szCs w:val="28"/>
                <w:lang w:val="en-US" w:eastAsia="zh-CN"/>
              </w:rPr>
              <w:t>图2.4-4  松树湾片区至马头地升压站 35kV 新建线路路径示意图</w:t>
            </w: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阿郎片区至马头地升压站35kV新建线路：</w:t>
            </w:r>
          </w:p>
          <w:p>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本线路自阿郎片区外电缆终端塔起，向南敷设至沙沟片区外电缆终端。线路长度约为 2.8km，其中架空线路长度约为 1.4km，电缆线路长约1.4km。全线单回路架设。见下图。</w:t>
            </w:r>
          </w:p>
          <w:p>
            <w:pPr>
              <w:adjustRightInd w:val="0"/>
              <w:snapToGrid w:val="0"/>
              <w:spacing w:line="360" w:lineRule="auto"/>
              <w:ind w:left="0" w:leftChars="0" w:right="0" w:rightChars="0" w:firstLine="0" w:firstLineChars="0"/>
              <w:jc w:val="center"/>
              <w:rPr>
                <w:color w:val="auto"/>
              </w:rPr>
            </w:pPr>
            <w:r>
              <w:rPr>
                <w:color w:val="auto"/>
              </w:rPr>
              <w:drawing>
                <wp:inline distT="0" distB="0" distL="114300" distR="114300">
                  <wp:extent cx="3794760" cy="5326380"/>
                  <wp:effectExtent l="0" t="0" r="0" b="762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3"/>
                          <a:stretch>
                            <a:fillRect/>
                          </a:stretch>
                        </pic:blipFill>
                        <pic:spPr>
                          <a:xfrm>
                            <a:off x="0" y="0"/>
                            <a:ext cx="3794760" cy="5326380"/>
                          </a:xfrm>
                          <a:prstGeom prst="rect">
                            <a:avLst/>
                          </a:prstGeom>
                          <a:noFill/>
                          <a:ln>
                            <a:noFill/>
                          </a:ln>
                        </pic:spPr>
                      </pic:pic>
                    </a:graphicData>
                  </a:graphic>
                </wp:inline>
              </w:drawing>
            </w:r>
          </w:p>
          <w:p>
            <w:pPr>
              <w:adjustRightInd w:val="0"/>
              <w:snapToGrid w:val="0"/>
              <w:spacing w:line="240" w:lineRule="auto"/>
              <w:jc w:val="center"/>
              <w:rPr>
                <w:rFonts w:hint="eastAsia" w:ascii="Times New Roman" w:hAnsi="Times New Roman" w:eastAsia="宋体" w:cs="Times New Roman"/>
                <w:b/>
                <w:bCs/>
                <w:color w:val="auto"/>
                <w:szCs w:val="28"/>
                <w:lang w:val="en-US" w:eastAsia="zh-CN"/>
              </w:rPr>
            </w:pPr>
            <w:r>
              <w:rPr>
                <w:rFonts w:hint="eastAsia" w:ascii="Times New Roman" w:hAnsi="Times New Roman" w:eastAsia="宋体" w:cs="Times New Roman"/>
                <w:b/>
                <w:bCs/>
                <w:color w:val="auto"/>
                <w:szCs w:val="28"/>
                <w:lang w:val="en-US" w:eastAsia="zh-CN"/>
              </w:rPr>
              <w:t>图2.4-5  阿郎片区至马头地升压站 35kV 新建线路路径示意图</w:t>
            </w:r>
          </w:p>
          <w:p>
            <w:pPr>
              <w:adjustRightInd w:val="0"/>
              <w:snapToGrid w:val="0"/>
              <w:spacing w:line="360" w:lineRule="auto"/>
              <w:ind w:left="0" w:leftChars="0" w:right="0" w:rightChars="0" w:firstLine="0" w:firstLineChars="0"/>
              <w:jc w:val="center"/>
              <w:rPr>
                <w:rFonts w:hint="eastAsia"/>
                <w:color w:val="auto"/>
                <w:lang w:val="en-US" w:eastAsia="zh-CN"/>
              </w:rPr>
            </w:pP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马头地110kV升压站至物茂220kV升压站110kV新建线路：（不在本次评价范围内）</w:t>
            </w: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线路自马头地110kV升压站向北出线，经丙岭哨村西侧转向东，跨过龙川江、老成昆铁路、尹羊公路后平行沙沟至220V小米升压站35kV集电线路B线架设至220kV物茂升压站。线路长度约为10.1km，全线单回路架设。</w:t>
            </w:r>
          </w:p>
          <w:p>
            <w:pPr>
              <w:spacing w:line="360" w:lineRule="auto"/>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（2）直埋电缆</w:t>
            </w:r>
          </w:p>
          <w:p>
            <w:pPr>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直埋电缆采用直接在原地面进行开挖，直埋电缆开挖断面为</w:t>
            </w:r>
            <w:r>
              <w:rPr>
                <w:rFonts w:ascii="Times New Roman" w:hAnsi="Times New Roman" w:eastAsia="宋体" w:cs="Times New Roman"/>
                <w:color w:val="auto"/>
                <w:sz w:val="24"/>
              </w:rPr>
              <w:t>400</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800mm</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600</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800mm</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800</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800mm</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1000</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800mm</w:t>
            </w:r>
            <w:r>
              <w:rPr>
                <w:rFonts w:hint="eastAsia" w:ascii="Times New Roman" w:hAnsi="Times New Roman" w:eastAsia="宋体" w:cs="Times New Roman"/>
                <w:color w:val="auto"/>
                <w:sz w:val="24"/>
              </w:rPr>
              <w:t>，开挖完毕沟底部先铺设一定厚度级配砂，电缆敷设完毕后，上部再覆盖一层级配砂，实心砖压顶，最后回填。</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本项目集电电缆长度</w:t>
            </w:r>
            <w:r>
              <w:rPr>
                <w:rFonts w:hint="default" w:ascii="Times New Roman" w:hAnsi="Times New Roman" w:eastAsia="宋体" w:cs="Times New Roman"/>
                <w:color w:val="auto"/>
                <w:sz w:val="24"/>
                <w:lang w:val="en-US" w:eastAsia="zh-CN"/>
              </w:rPr>
              <w:t>35.33km</w:t>
            </w:r>
            <w:r>
              <w:rPr>
                <w:rFonts w:hint="eastAsia" w:ascii="Times New Roman" w:hAnsi="Times New Roman" w:eastAsia="宋体" w:cs="Times New Roman"/>
                <w:color w:val="auto"/>
                <w:sz w:val="24"/>
                <w:lang w:val="en-US" w:eastAsia="zh-CN"/>
              </w:rPr>
              <w:t>，其中直埋电缆按</w:t>
            </w:r>
            <w:r>
              <w:rPr>
                <w:rFonts w:hint="default" w:ascii="Times New Roman" w:hAnsi="Times New Roman" w:eastAsia="宋体" w:cs="Times New Roman"/>
                <w:color w:val="auto"/>
                <w:sz w:val="24"/>
                <w:lang w:val="en-US" w:eastAsia="zh-CN"/>
              </w:rPr>
              <w:t>60%</w:t>
            </w:r>
            <w:r>
              <w:rPr>
                <w:rFonts w:hint="eastAsia" w:ascii="Times New Roman" w:hAnsi="Times New Roman" w:eastAsia="宋体" w:cs="Times New Roman"/>
                <w:color w:val="auto"/>
                <w:sz w:val="24"/>
                <w:lang w:val="en-US" w:eastAsia="zh-CN"/>
              </w:rPr>
              <w:t>计约</w:t>
            </w:r>
            <w:r>
              <w:rPr>
                <w:rFonts w:hint="default" w:ascii="Times New Roman" w:hAnsi="Times New Roman" w:eastAsia="宋体" w:cs="Times New Roman"/>
                <w:color w:val="auto"/>
                <w:sz w:val="24"/>
                <w:lang w:val="en-US" w:eastAsia="zh-CN"/>
              </w:rPr>
              <w:t>12.73km</w:t>
            </w:r>
            <w:r>
              <w:rPr>
                <w:rFonts w:hint="eastAsia" w:ascii="Times New Roman" w:hAnsi="Times New Roman" w:eastAsia="宋体" w:cs="Times New Roman"/>
                <w:color w:val="auto"/>
                <w:sz w:val="24"/>
                <w:lang w:val="en-US" w:eastAsia="zh-CN"/>
              </w:rPr>
              <w:t>，扰动作业带按</w:t>
            </w:r>
            <w:r>
              <w:rPr>
                <w:rFonts w:hint="default" w:ascii="Times New Roman" w:hAnsi="Times New Roman" w:eastAsia="宋体" w:cs="Times New Roman"/>
                <w:color w:val="auto"/>
                <w:sz w:val="24"/>
                <w:lang w:val="en-US" w:eastAsia="zh-CN"/>
              </w:rPr>
              <w:t>1.50m</w:t>
            </w:r>
            <w:r>
              <w:rPr>
                <w:rFonts w:hint="eastAsia" w:ascii="Times New Roman" w:hAnsi="Times New Roman" w:eastAsia="宋体" w:cs="Times New Roman"/>
                <w:color w:val="auto"/>
                <w:sz w:val="24"/>
                <w:lang w:val="en-US" w:eastAsia="zh-CN"/>
              </w:rPr>
              <w:t>宽计，占地面积共计</w:t>
            </w:r>
            <w:r>
              <w:rPr>
                <w:rFonts w:hint="default" w:ascii="Times New Roman" w:hAnsi="Times New Roman" w:eastAsia="宋体" w:cs="Times New Roman"/>
                <w:color w:val="auto"/>
                <w:sz w:val="24"/>
                <w:lang w:val="en-US" w:eastAsia="zh-CN"/>
              </w:rPr>
              <w:t>1.91hm2</w:t>
            </w:r>
            <w:r>
              <w:rPr>
                <w:rFonts w:hint="eastAsia" w:ascii="Times New Roman" w:hAnsi="Times New Roman" w:eastAsia="宋体" w:cs="Times New Roman"/>
                <w:color w:val="auto"/>
                <w:sz w:val="24"/>
                <w:lang w:val="en-US" w:eastAsia="zh-CN"/>
              </w:rPr>
              <w:t>。采用槽盒挂接部分为不扰动地表，不计占地。</w:t>
            </w:r>
          </w:p>
          <w:p>
            <w:pPr>
              <w:widowControl/>
              <w:snapToGrid w:val="0"/>
              <w:spacing w:before="4" w:after="160" w:line="259" w:lineRule="auto"/>
              <w:ind w:left="0" w:leftChars="0" w:right="0" w:rightChars="0" w:firstLine="0" w:firstLineChars="0"/>
              <w:jc w:val="center"/>
              <w:rPr>
                <w:rFonts w:ascii="Times New Roman" w:hAnsi="Times New Roman" w:eastAsia="宋体" w:cs="Times New Roman"/>
                <w:color w:val="auto"/>
                <w:kern w:val="0"/>
                <w:sz w:val="18"/>
                <w:szCs w:val="18"/>
                <w:lang w:val="en-US" w:eastAsia="zh-CN" w:bidi="ar-SA"/>
              </w:rPr>
            </w:pPr>
            <w:r>
              <w:rPr>
                <w:rFonts w:ascii="Times New Roman" w:hAnsi="Times New Roman" w:eastAsia="宋体" w:cs="Times New Roman"/>
                <w:color w:val="auto"/>
                <w:kern w:val="0"/>
                <w:sz w:val="18"/>
                <w:szCs w:val="18"/>
                <w:lang w:val="en-US" w:eastAsia="zh-CN" w:bidi="ar-SA"/>
              </w:rPr>
              <w:drawing>
                <wp:inline distT="0" distB="0" distL="0" distR="0">
                  <wp:extent cx="4810760" cy="1783080"/>
                  <wp:effectExtent l="0" t="0" r="8890" b="7620"/>
                  <wp:docPr id="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0.jpeg"/>
                          <pic:cNvPicPr>
                            <a:picLocks noChangeAspect="1"/>
                          </pic:cNvPicPr>
                        </pic:nvPicPr>
                        <pic:blipFill>
                          <a:blip r:embed="rId14"/>
                          <a:stretch>
                            <a:fillRect/>
                          </a:stretch>
                        </pic:blipFill>
                        <pic:spPr>
                          <a:xfrm>
                            <a:off x="0" y="0"/>
                            <a:ext cx="4810760" cy="1783080"/>
                          </a:xfrm>
                          <a:prstGeom prst="rect">
                            <a:avLst/>
                          </a:prstGeom>
                          <a:noFill/>
                          <a:ln>
                            <a:noFill/>
                          </a:ln>
                        </pic:spPr>
                      </pic:pic>
                    </a:graphicData>
                  </a:graphic>
                </wp:inline>
              </w:drawing>
            </w:r>
          </w:p>
          <w:p>
            <w:pPr>
              <w:adjustRightInd w:val="0"/>
              <w:snapToGrid w:val="0"/>
              <w:spacing w:line="240" w:lineRule="auto"/>
              <w:jc w:val="center"/>
              <w:rPr>
                <w:rFonts w:hint="eastAsia" w:ascii="Times New Roman" w:hAnsi="Times New Roman" w:eastAsia="宋体" w:cs="Times New Roman"/>
                <w:b/>
                <w:bCs/>
                <w:color w:val="auto"/>
                <w:szCs w:val="28"/>
                <w:lang w:val="en-US" w:eastAsia="zh-CN"/>
              </w:rPr>
            </w:pPr>
            <w:r>
              <w:rPr>
                <w:rFonts w:hint="eastAsia" w:ascii="Times New Roman" w:hAnsi="Times New Roman" w:eastAsia="宋体" w:cs="Times New Roman"/>
                <w:b/>
                <w:bCs/>
                <w:color w:val="auto"/>
                <w:szCs w:val="28"/>
                <w:lang w:val="en-US" w:eastAsia="zh-CN"/>
              </w:rPr>
              <w:t>图2.4-6   直埋壕沟断面示意图          图 2.4-7 现浇钢筋混凝土掏挖式基础示意图</w:t>
            </w:r>
          </w:p>
          <w:p>
            <w:pPr>
              <w:spacing w:line="360" w:lineRule="auto"/>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（3）架空线路</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lang w:val="en-US" w:eastAsia="zh-CN"/>
              </w:rPr>
              <w:t>本项目集电线路架空线路铁塔与基础的连接采用插入角钢和地脚螺栓两种连接方式；杆塔采用自立式铁塔，基础采用钢筋混凝土基础。工程架空线路全线拟采用直立式角钢塔架设，杆塔基础设置强度等级为</w:t>
            </w:r>
            <w:r>
              <w:rPr>
                <w:rFonts w:hint="default" w:ascii="Times New Roman" w:hAnsi="Times New Roman" w:eastAsia="宋体" w:cs="Times New Roman"/>
                <w:color w:val="auto"/>
                <w:sz w:val="24"/>
                <w:lang w:val="en-US" w:eastAsia="zh-CN"/>
              </w:rPr>
              <w:t>C15</w:t>
            </w:r>
            <w:r>
              <w:rPr>
                <w:rFonts w:ascii="Times New Roman" w:hAnsi="Times New Roman" w:eastAsia="宋体" w:cs="Times New Roman"/>
                <w:color w:val="auto"/>
                <w:sz w:val="24"/>
                <w:lang w:val="en-US" w:eastAsia="zh-CN"/>
              </w:rPr>
              <w:t>的素混凝土保护帽。埋入土中的铁构件，除需热浸镀锌外，辅以涂刷环氧锌黄底漆和沥青面漆防腐。</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lang w:val="en-US" w:eastAsia="zh-CN"/>
              </w:rPr>
              <w:t>架空线路总长</w:t>
            </w:r>
            <w:r>
              <w:rPr>
                <w:rFonts w:hint="default" w:ascii="Times New Roman" w:hAnsi="Times New Roman" w:eastAsia="宋体" w:cs="Times New Roman"/>
                <w:color w:val="auto"/>
                <w:sz w:val="24"/>
                <w:lang w:val="en-US" w:eastAsia="zh-CN"/>
              </w:rPr>
              <w:t>5.63km</w:t>
            </w:r>
            <w:r>
              <w:rPr>
                <w:rFonts w:ascii="Times New Roman" w:hAnsi="Times New Roman" w:eastAsia="宋体" w:cs="Times New Roman"/>
                <w:color w:val="auto"/>
                <w:sz w:val="24"/>
                <w:lang w:val="en-US" w:eastAsia="zh-CN"/>
              </w:rPr>
              <w:t>，塔杆数量</w:t>
            </w:r>
            <w:r>
              <w:rPr>
                <w:rFonts w:hint="default" w:ascii="Times New Roman" w:hAnsi="Times New Roman" w:eastAsia="宋体" w:cs="Times New Roman"/>
                <w:color w:val="auto"/>
                <w:sz w:val="24"/>
                <w:lang w:val="en-US" w:eastAsia="zh-CN"/>
              </w:rPr>
              <w:t>21</w:t>
            </w:r>
            <w:r>
              <w:rPr>
                <w:rFonts w:ascii="Times New Roman" w:hAnsi="Times New Roman" w:eastAsia="宋体" w:cs="Times New Roman"/>
                <w:color w:val="auto"/>
                <w:sz w:val="24"/>
                <w:lang w:val="en-US" w:eastAsia="zh-CN"/>
              </w:rPr>
              <w:t>基，塔基基础占地面积共计</w:t>
            </w:r>
            <w:r>
              <w:rPr>
                <w:rFonts w:hint="default" w:ascii="Times New Roman" w:hAnsi="Times New Roman" w:eastAsia="宋体" w:cs="Times New Roman"/>
                <w:color w:val="auto"/>
                <w:sz w:val="24"/>
                <w:lang w:val="en-US" w:eastAsia="zh-CN"/>
              </w:rPr>
              <w:t>0.01hm</w:t>
            </w:r>
            <w:r>
              <w:rPr>
                <w:rFonts w:hint="default" w:ascii="Times New Roman" w:hAnsi="Times New Roman" w:eastAsia="宋体" w:cs="Times New Roman"/>
                <w:color w:val="auto"/>
                <w:sz w:val="24"/>
                <w:vertAlign w:val="superscript"/>
                <w:lang w:val="en-US" w:eastAsia="zh-CN"/>
              </w:rPr>
              <w:t>2</w:t>
            </w:r>
            <w:r>
              <w:rPr>
                <w:rFonts w:ascii="Times New Roman" w:hAnsi="Times New Roman" w:eastAsia="宋体" w:cs="Times New Roman"/>
                <w:color w:val="auto"/>
                <w:sz w:val="24"/>
                <w:lang w:val="en-US" w:eastAsia="zh-CN"/>
              </w:rPr>
              <w:t>。塔基施工场地按照</w:t>
            </w:r>
            <w:r>
              <w:rPr>
                <w:rFonts w:hint="default" w:ascii="Times New Roman" w:hAnsi="Times New Roman" w:eastAsia="宋体" w:cs="Times New Roman"/>
                <w:color w:val="auto"/>
                <w:sz w:val="24"/>
                <w:lang w:val="en-US" w:eastAsia="zh-CN"/>
              </w:rPr>
              <w:t>100m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w:t>
            </w:r>
            <w:r>
              <w:rPr>
                <w:rFonts w:ascii="Times New Roman" w:hAnsi="Times New Roman" w:eastAsia="宋体" w:cs="Times New Roman"/>
                <w:color w:val="auto"/>
                <w:sz w:val="24"/>
                <w:lang w:val="en-US" w:eastAsia="zh-CN"/>
              </w:rPr>
              <w:t>塔计列，占地面积</w:t>
            </w:r>
            <w:r>
              <w:rPr>
                <w:rFonts w:hint="default" w:ascii="Times New Roman" w:hAnsi="Times New Roman" w:eastAsia="宋体" w:cs="Times New Roman"/>
                <w:color w:val="auto"/>
                <w:sz w:val="24"/>
                <w:lang w:val="en-US" w:eastAsia="zh-CN"/>
              </w:rPr>
              <w:t>0.21hm</w:t>
            </w:r>
            <w:r>
              <w:rPr>
                <w:rFonts w:hint="default" w:ascii="Times New Roman" w:hAnsi="Times New Roman" w:eastAsia="宋体" w:cs="Times New Roman"/>
                <w:color w:val="auto"/>
                <w:sz w:val="24"/>
                <w:vertAlign w:val="superscript"/>
                <w:lang w:val="en-US" w:eastAsia="zh-CN"/>
              </w:rPr>
              <w:t>2</w:t>
            </w:r>
            <w:r>
              <w:rPr>
                <w:rFonts w:ascii="Times New Roman" w:hAnsi="Times New Roman" w:eastAsia="宋体" w:cs="Times New Roman"/>
                <w:color w:val="auto"/>
                <w:sz w:val="24"/>
                <w:lang w:val="en-US" w:eastAsia="zh-CN"/>
              </w:rPr>
              <w:t>。</w:t>
            </w:r>
          </w:p>
          <w:p>
            <w:pPr>
              <w:spacing w:line="360" w:lineRule="auto"/>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2.</w:t>
            </w:r>
            <w:r>
              <w:rPr>
                <w:rFonts w:hint="eastAsia" w:cs="Times New Roman"/>
                <w:b/>
                <w:bCs/>
                <w:color w:val="auto"/>
                <w:kern w:val="0"/>
                <w:sz w:val="24"/>
                <w:lang w:val="en-US" w:eastAsia="zh-CN"/>
              </w:rPr>
              <w:t>4</w:t>
            </w:r>
            <w:r>
              <w:rPr>
                <w:rFonts w:hint="eastAsia" w:ascii="Times New Roman" w:hAnsi="Times New Roman" w:eastAsia="宋体" w:cs="Times New Roman"/>
                <w:b/>
                <w:bCs/>
                <w:color w:val="auto"/>
                <w:kern w:val="0"/>
                <w:sz w:val="24"/>
              </w:rPr>
              <w:t>.2公辅工程</w:t>
            </w:r>
          </w:p>
          <w:p>
            <w:pPr>
              <w:spacing w:line="360" w:lineRule="auto"/>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sz w:val="24"/>
              </w:rPr>
              <w:t xml:space="preserve"> </w:t>
            </w:r>
            <w:r>
              <w:rPr>
                <w:rFonts w:hint="eastAsia" w:ascii="Times New Roman" w:hAnsi="Times New Roman" w:eastAsia="宋体" w:cs="Times New Roman"/>
                <w:b/>
                <w:bCs/>
                <w:color w:val="auto"/>
                <w:kern w:val="0"/>
                <w:sz w:val="24"/>
              </w:rPr>
              <w:t>2.</w:t>
            </w:r>
            <w:r>
              <w:rPr>
                <w:rFonts w:hint="eastAsia" w:cs="Times New Roman"/>
                <w:b/>
                <w:bCs/>
                <w:color w:val="auto"/>
                <w:kern w:val="0"/>
                <w:sz w:val="24"/>
                <w:lang w:val="en-US" w:eastAsia="zh-CN"/>
              </w:rPr>
              <w:t>4</w:t>
            </w:r>
            <w:r>
              <w:rPr>
                <w:rFonts w:hint="eastAsia" w:ascii="Times New Roman" w:hAnsi="Times New Roman" w:eastAsia="宋体" w:cs="Times New Roman"/>
                <w:b/>
                <w:bCs/>
                <w:color w:val="auto"/>
                <w:kern w:val="0"/>
                <w:sz w:val="24"/>
              </w:rPr>
              <w:t>.</w:t>
            </w:r>
            <w:r>
              <w:rPr>
                <w:rFonts w:hint="eastAsia" w:cs="Times New Roman"/>
                <w:b/>
                <w:bCs/>
                <w:color w:val="auto"/>
                <w:kern w:val="0"/>
                <w:sz w:val="24"/>
                <w:lang w:val="en-US" w:eastAsia="zh-CN"/>
              </w:rPr>
              <w:t>2</w:t>
            </w:r>
            <w:r>
              <w:rPr>
                <w:rFonts w:hint="eastAsia" w:ascii="Times New Roman" w:hAnsi="Times New Roman" w:eastAsia="宋体" w:cs="Times New Roman"/>
                <w:b/>
                <w:bCs/>
                <w:color w:val="auto"/>
                <w:kern w:val="0"/>
                <w:sz w:val="24"/>
              </w:rPr>
              <w:t>.1围栏</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ascii="Times New Roman" w:hAnsi="Times New Roman" w:eastAsia="宋体" w:cs="Times New Roman"/>
                <w:color w:val="auto"/>
                <w:sz w:val="24"/>
              </w:rPr>
              <w:t>本工程围栏（墙）包括场区围栏及升压站围墙。场地围栏采用钢丝网防护栏， 高度</w:t>
            </w:r>
            <w:r>
              <w:rPr>
                <w:rFonts w:hint="eastAsia" w:cs="Times New Roman"/>
                <w:color w:val="auto"/>
                <w:sz w:val="24"/>
                <w:lang w:val="en-US" w:eastAsia="zh-CN"/>
              </w:rPr>
              <w:t>1.8</w:t>
            </w:r>
            <w:r>
              <w:rPr>
                <w:rFonts w:ascii="Times New Roman" w:hAnsi="Times New Roman" w:eastAsia="宋体" w:cs="Times New Roman"/>
                <w:color w:val="auto"/>
                <w:sz w:val="24"/>
              </w:rPr>
              <w:t>m；升压站围栏采用砖围墙，高度</w:t>
            </w:r>
            <w:r>
              <w:rPr>
                <w:rFonts w:hint="eastAsia" w:cs="Times New Roman"/>
                <w:color w:val="auto"/>
                <w:sz w:val="24"/>
                <w:lang w:val="en-US" w:eastAsia="zh-CN"/>
              </w:rPr>
              <w:t>1.8</w:t>
            </w:r>
            <w:r>
              <w:rPr>
                <w:rFonts w:ascii="Times New Roman" w:hAnsi="Times New Roman" w:eastAsia="宋体" w:cs="Times New Roman"/>
                <w:color w:val="auto"/>
                <w:sz w:val="24"/>
              </w:rPr>
              <w:t>m。考虑电站运行安全及管护需求，所以针对整个电站不同区域，每个区域仅设置一个出入口，经规划布置：场址钢丝网防护栏总长度为 16194m，砖围墙总长度为 564.8m。围栏（墙）占地统计入各区中不单独计列。</w:t>
            </w:r>
          </w:p>
          <w:p>
            <w:pPr>
              <w:spacing w:line="360" w:lineRule="auto"/>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2.</w:t>
            </w:r>
            <w:r>
              <w:rPr>
                <w:rFonts w:hint="eastAsia" w:cs="Times New Roman"/>
                <w:b/>
                <w:bCs/>
                <w:color w:val="auto"/>
                <w:kern w:val="0"/>
                <w:sz w:val="24"/>
                <w:lang w:val="en-US" w:eastAsia="zh-CN"/>
              </w:rPr>
              <w:t>4.2</w:t>
            </w:r>
            <w:r>
              <w:rPr>
                <w:rFonts w:hint="eastAsia" w:ascii="Times New Roman" w:hAnsi="Times New Roman" w:eastAsia="宋体" w:cs="Times New Roman"/>
                <w:b/>
                <w:bCs/>
                <w:color w:val="auto"/>
                <w:kern w:val="0"/>
                <w:sz w:val="24"/>
              </w:rPr>
              <w:t>.2给水设计</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w:t>
            </w:r>
            <w:r>
              <w:rPr>
                <w:rFonts w:ascii="Times New Roman" w:hAnsi="Times New Roman" w:eastAsia="宋体" w:cs="Times New Roman"/>
                <w:color w:val="auto"/>
                <w:sz w:val="24"/>
                <w:szCs w:val="24"/>
              </w:rPr>
              <w:t>升压站用水</w:t>
            </w:r>
          </w:p>
          <w:p>
            <w:pPr>
              <w:adjustRightInd w:val="0"/>
              <w:snapToGrid w:val="0"/>
              <w:spacing w:line="360" w:lineRule="auto"/>
              <w:ind w:firstLine="480" w:firstLineChars="200"/>
              <w:rPr>
                <w:rFonts w:ascii="Times New Roman" w:hAnsi="Times New Roman" w:eastAsia="宋体" w:cs="Times New Roman"/>
                <w:color w:val="auto"/>
                <w:sz w:val="24"/>
                <w:szCs w:val="24"/>
                <w:lang w:eastAsia="en-US"/>
              </w:rPr>
            </w:pPr>
            <w:r>
              <w:rPr>
                <w:rFonts w:ascii="Times New Roman" w:hAnsi="Times New Roman" w:eastAsia="宋体" w:cs="Times New Roman"/>
                <w:color w:val="auto"/>
                <w:sz w:val="24"/>
                <w:szCs w:val="24"/>
                <w:lang w:eastAsia="en-US"/>
              </w:rPr>
              <w:t>①升压站用水</w:t>
            </w:r>
          </w:p>
          <w:p>
            <w:pPr>
              <w:adjustRightInd w:val="0"/>
              <w:snapToGrid w:val="0"/>
              <w:spacing w:line="360" w:lineRule="auto"/>
              <w:ind w:firstLine="480" w:firstLineChars="200"/>
              <w:rPr>
                <w:rFonts w:ascii="Times New Roman" w:hAnsi="Times New Roman" w:eastAsia="宋体" w:cs="Times New Roman"/>
                <w:color w:val="auto"/>
                <w:sz w:val="24"/>
                <w:szCs w:val="24"/>
                <w:lang w:eastAsia="en-US"/>
              </w:rPr>
            </w:pPr>
            <w:r>
              <w:rPr>
                <w:rFonts w:ascii="Times New Roman" w:hAnsi="Times New Roman" w:eastAsia="宋体" w:cs="Times New Roman"/>
                <w:color w:val="auto"/>
                <w:sz w:val="24"/>
                <w:szCs w:val="24"/>
                <w:lang w:eastAsia="en-US"/>
              </w:rPr>
              <w:t>本工程用水包括消防用水、道路冲洗用水、未预见用水和管网漏失水量等。本工程在升压站新建一座一体化消防水箱及泵房，占地面积162m</w:t>
            </w:r>
            <w:r>
              <w:rPr>
                <w:rFonts w:ascii="Times New Roman" w:hAnsi="Times New Roman" w:eastAsia="宋体" w:cs="Times New Roman"/>
                <w:color w:val="auto"/>
                <w:sz w:val="24"/>
                <w:szCs w:val="24"/>
                <w:vertAlign w:val="superscript"/>
                <w:lang w:eastAsia="en-US"/>
              </w:rPr>
              <w:t>2</w:t>
            </w:r>
            <w:r>
              <w:rPr>
                <w:rFonts w:ascii="Times New Roman" w:hAnsi="Times New Roman" w:eastAsia="宋体" w:cs="Times New Roman"/>
                <w:color w:val="auto"/>
                <w:sz w:val="24"/>
                <w:szCs w:val="24"/>
                <w:lang w:eastAsia="en-US"/>
              </w:rPr>
              <w:t>。采用站外打井取水，消防用水及道路冲洗用水水质应符合《城市污水再生利用城市杂用水水质》水质标准GB/T18920-2020的规定。站区内用水从深井中抽出井水送至消防水池，满足消防用水要求，打井施工占地面积计入变电站外围边坡面积不单独计列。</w:t>
            </w:r>
          </w:p>
          <w:p>
            <w:pPr>
              <w:adjustRightInd w:val="0"/>
              <w:snapToGrid w:val="0"/>
              <w:spacing w:line="360" w:lineRule="auto"/>
              <w:ind w:firstLine="480" w:firstLineChars="200"/>
              <w:rPr>
                <w:rFonts w:ascii="Times New Roman" w:hAnsi="Times New Roman" w:eastAsia="宋体" w:cs="Times New Roman"/>
                <w:color w:val="auto"/>
                <w:sz w:val="24"/>
                <w:szCs w:val="24"/>
                <w:lang w:eastAsia="en-US"/>
              </w:rPr>
            </w:pPr>
            <w:r>
              <w:rPr>
                <w:rFonts w:ascii="Times New Roman" w:hAnsi="Times New Roman" w:eastAsia="宋体" w:cs="Times New Roman"/>
                <w:color w:val="auto"/>
                <w:sz w:val="24"/>
                <w:szCs w:val="24"/>
                <w:lang w:eastAsia="en-US"/>
              </w:rPr>
              <w:t>站内用水主要是职工生活用水，日最大用水量为6.38m</w:t>
            </w:r>
            <w:r>
              <w:rPr>
                <w:rFonts w:ascii="Times New Roman" w:hAnsi="Times New Roman" w:eastAsia="宋体" w:cs="Times New Roman"/>
                <w:color w:val="auto"/>
                <w:sz w:val="24"/>
                <w:szCs w:val="24"/>
                <w:vertAlign w:val="superscript"/>
                <w:lang w:eastAsia="en-US"/>
              </w:rPr>
              <w:t>3</w:t>
            </w:r>
            <w:r>
              <w:rPr>
                <w:rFonts w:ascii="Times New Roman" w:hAnsi="Times New Roman" w:eastAsia="宋体" w:cs="Times New Roman"/>
                <w:color w:val="auto"/>
                <w:sz w:val="24"/>
                <w:szCs w:val="24"/>
                <w:lang w:eastAsia="en-US"/>
              </w:rPr>
              <w:t>/d。站内生产用水主要为绿化及道路浇洒用水量、冲洗汽车等，日最大用水量为0.99m</w:t>
            </w:r>
            <w:r>
              <w:rPr>
                <w:rFonts w:ascii="Times New Roman" w:hAnsi="Times New Roman" w:eastAsia="宋体" w:cs="Times New Roman"/>
                <w:color w:val="auto"/>
                <w:sz w:val="24"/>
                <w:szCs w:val="24"/>
                <w:vertAlign w:val="superscript"/>
                <w:lang w:eastAsia="en-US"/>
              </w:rPr>
              <w:t>3</w:t>
            </w:r>
            <w:r>
              <w:rPr>
                <w:rFonts w:ascii="Times New Roman" w:hAnsi="Times New Roman" w:eastAsia="宋体" w:cs="Times New Roman"/>
                <w:color w:val="auto"/>
                <w:sz w:val="24"/>
                <w:szCs w:val="24"/>
                <w:lang w:eastAsia="en-US"/>
              </w:rPr>
              <w:t>/d。</w:t>
            </w:r>
          </w:p>
          <w:p>
            <w:pPr>
              <w:adjustRightInd w:val="0"/>
              <w:snapToGrid w:val="0"/>
              <w:spacing w:line="360" w:lineRule="auto"/>
              <w:ind w:firstLine="480" w:firstLineChars="200"/>
              <w:rPr>
                <w:rFonts w:ascii="Times New Roman" w:hAnsi="Times New Roman" w:eastAsia="宋体" w:cs="Times New Roman"/>
                <w:color w:val="auto"/>
                <w:sz w:val="24"/>
                <w:szCs w:val="24"/>
                <w:lang w:eastAsia="en-US"/>
              </w:rPr>
            </w:pPr>
            <w:r>
              <w:rPr>
                <w:rFonts w:ascii="Times New Roman" w:hAnsi="Times New Roman" w:eastAsia="宋体" w:cs="Times New Roman"/>
                <w:color w:val="auto"/>
                <w:sz w:val="24"/>
                <w:szCs w:val="24"/>
                <w:lang w:eastAsia="en-US"/>
              </w:rPr>
              <w:t>②光伏板冲洗用水</w:t>
            </w:r>
          </w:p>
          <w:p>
            <w:pPr>
              <w:adjustRightInd w:val="0"/>
              <w:snapToGrid w:val="0"/>
              <w:spacing w:line="360" w:lineRule="auto"/>
              <w:ind w:firstLine="480" w:firstLineChars="200"/>
              <w:rPr>
                <w:rFonts w:ascii="Times New Roman" w:hAnsi="Times New Roman" w:eastAsia="宋体" w:cs="Times New Roman"/>
                <w:color w:val="auto"/>
                <w:sz w:val="24"/>
                <w:szCs w:val="24"/>
                <w:lang w:eastAsia="en-US"/>
              </w:rPr>
            </w:pPr>
            <w:r>
              <w:rPr>
                <w:rFonts w:ascii="Times New Roman" w:hAnsi="Times New Roman" w:eastAsia="宋体" w:cs="Times New Roman"/>
                <w:color w:val="auto"/>
                <w:sz w:val="24"/>
                <w:szCs w:val="24"/>
                <w:lang w:eastAsia="en-US"/>
              </w:rPr>
              <w:t>根据光伏电站场区气候特点，组件板面污染物主要是以浮灰为主，但是也有雨后灰浆粘结物，以及昼夜温差引起的组件板面结露后产生的灰尘粘结。考虑到本项目山地特点和当地气象条件，拟采取人工进行擦洗，擦洗用水通过水车运输至方阵区域。</w:t>
            </w:r>
          </w:p>
          <w:p>
            <w:pPr>
              <w:spacing w:line="360" w:lineRule="auto"/>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2.</w:t>
            </w:r>
            <w:r>
              <w:rPr>
                <w:rFonts w:hint="eastAsia" w:cs="Times New Roman"/>
                <w:b/>
                <w:bCs/>
                <w:color w:val="auto"/>
                <w:kern w:val="0"/>
                <w:sz w:val="24"/>
                <w:lang w:val="en-US" w:eastAsia="zh-CN"/>
              </w:rPr>
              <w:t>4.2.</w:t>
            </w:r>
            <w:r>
              <w:rPr>
                <w:rFonts w:hint="eastAsia" w:ascii="Times New Roman" w:hAnsi="Times New Roman" w:eastAsia="宋体" w:cs="Times New Roman"/>
                <w:b/>
                <w:bCs/>
                <w:color w:val="auto"/>
                <w:kern w:val="0"/>
                <w:sz w:val="24"/>
              </w:rPr>
              <w:t>3排水设计</w:t>
            </w:r>
          </w:p>
          <w:p>
            <w:pPr>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（1）</w:t>
            </w:r>
            <w:r>
              <w:rPr>
                <w:rFonts w:ascii="Times New Roman" w:hAnsi="Times New Roman" w:eastAsia="宋体" w:cs="Times New Roman"/>
                <w:color w:val="auto"/>
                <w:sz w:val="24"/>
              </w:rPr>
              <w:t>光伏发电区排水</w:t>
            </w:r>
          </w:p>
          <w:p>
            <w:pPr>
              <w:adjustRightInd w:val="0"/>
              <w:snapToGrid w:val="0"/>
              <w:spacing w:line="360" w:lineRule="auto"/>
              <w:ind w:firstLine="480" w:firstLineChars="200"/>
              <w:rPr>
                <w:rFonts w:hint="eastAsia" w:ascii="Times New Roman" w:hAnsi="Times New Roman" w:eastAsia="宋体" w:cs="Times New Roman"/>
                <w:color w:val="auto"/>
                <w:sz w:val="24"/>
                <w:szCs w:val="24"/>
              </w:rPr>
            </w:pPr>
            <w:r>
              <w:rPr>
                <w:rFonts w:ascii="Times New Roman" w:hAnsi="Times New Roman" w:eastAsia="宋体" w:cs="Times New Roman"/>
                <w:color w:val="auto"/>
                <w:sz w:val="24"/>
                <w:szCs w:val="24"/>
              </w:rPr>
              <w:t>太阳电池方阵主要随地形布置，对场地原始地形地貌改变很小，场地雨水可利用原有的自然排水通道，进入场地内天然排水系统。太阳能电池组件至生产道路排水沟路段设置排水沟，道路排水依地势布设，多为横向排水沟，可对上游径流起到一定拦截作用，排水出口为下部沟箐，最终排出项目区外。</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升压站排水</w:t>
            </w: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ascii="Times New Roman" w:hAnsi="Times New Roman" w:eastAsia="宋体" w:cs="Times New Roman"/>
                <w:color w:val="auto"/>
                <w:sz w:val="24"/>
                <w:szCs w:val="24"/>
                <w:lang w:val="en-US" w:eastAsia="zh-CN"/>
              </w:rPr>
              <w:t>升压站内的排水主要考虑雨水及少量生活污水，排水系统采用雨污分流制排水系统。雨水的排放考虑利用升压站场地的自然坡度，在围墙及各建构（筑）物的四周设置排水沟，将雨水收集后排至场外自然沟箐。生活污水经污水管道汇集至自建一体化污水处理设备，经处理设备处理后，回用于周围场地的绿化浇洒，不外排。</w:t>
            </w:r>
          </w:p>
          <w:p>
            <w:pPr>
              <w:spacing w:line="360" w:lineRule="auto"/>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2.</w:t>
            </w:r>
            <w:r>
              <w:rPr>
                <w:rFonts w:hint="eastAsia" w:cs="Times New Roman"/>
                <w:b/>
                <w:bCs/>
                <w:color w:val="auto"/>
                <w:kern w:val="0"/>
                <w:sz w:val="24"/>
                <w:lang w:val="en-US" w:eastAsia="zh-CN"/>
              </w:rPr>
              <w:t>4.2</w:t>
            </w:r>
            <w:r>
              <w:rPr>
                <w:rFonts w:hint="eastAsia" w:ascii="Times New Roman" w:hAnsi="Times New Roman" w:eastAsia="宋体" w:cs="Times New Roman"/>
                <w:b/>
                <w:bCs/>
                <w:color w:val="auto"/>
                <w:kern w:val="0"/>
                <w:sz w:val="24"/>
              </w:rPr>
              <w:t>.4</w:t>
            </w:r>
            <w:r>
              <w:rPr>
                <w:rFonts w:ascii="Times New Roman" w:hAnsi="Times New Roman" w:eastAsia="宋体" w:cs="Times New Roman"/>
                <w:b/>
                <w:bCs/>
                <w:color w:val="auto"/>
                <w:kern w:val="0"/>
                <w:sz w:val="24"/>
              </w:rPr>
              <w:t>供能</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项目运营期全部以电能供能，采暖采用分体式空调，不设锅炉；厨房采取电炊方式。升压站0.4kV站用电在站内设置1台35/0.4kV站用变压器，电源自35kV配电段母线引接。同时保留施工变作为站用备用变。</w:t>
            </w:r>
          </w:p>
          <w:p>
            <w:pPr>
              <w:spacing w:line="360" w:lineRule="auto"/>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2.</w:t>
            </w:r>
            <w:r>
              <w:rPr>
                <w:rFonts w:hint="eastAsia" w:cs="Times New Roman"/>
                <w:b/>
                <w:bCs/>
                <w:color w:val="auto"/>
                <w:kern w:val="0"/>
                <w:sz w:val="24"/>
                <w:lang w:val="en-US" w:eastAsia="zh-CN"/>
              </w:rPr>
              <w:t>4.2</w:t>
            </w:r>
            <w:r>
              <w:rPr>
                <w:rFonts w:hint="eastAsia" w:ascii="Times New Roman" w:hAnsi="Times New Roman" w:eastAsia="宋体" w:cs="Times New Roman"/>
                <w:b/>
                <w:bCs/>
                <w:color w:val="auto"/>
                <w:kern w:val="0"/>
                <w:sz w:val="24"/>
              </w:rPr>
              <w:t>.5消防</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升压站在各重要电气设备、电缆层等主要防火场所设置火灾自动探测器，并在中控室设置1台壁挂式火灾报警控制器（联动型）进行集中报警控制。站内消防采取水消防、化学灭火器及干砂辅助灭火相结合的方式。在升压站室外保持间距不大于60m布设室外消火栓、主变配套自动水喷雾灭火系统、综合楼内设室内消防栓，消防用水由站内250m3生产、生活、消防共用水池提供。主变压器旁、无功补偿装置场地、综合楼、仓库、水泵房分别配套移动式磷酸铵盐干粉灭火器。主变压器旁进一步配套设置2个砂箱。</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光伏场区每个光伏方阵设为独立的防火分区，设计安装火灾监测自动报警装置，视频监控系统范围涵盖全部区域，监控信号实时传输至升压站控制室。光伏方阵的每台箱变附近均设置足量的移动式磷酸铵盐干粉灭火器。</w:t>
            </w:r>
          </w:p>
          <w:p>
            <w:pPr>
              <w:spacing w:line="360" w:lineRule="auto"/>
              <w:rPr>
                <w:rFonts w:ascii="宋体" w:hAnsi="宋体" w:eastAsia="宋体" w:cs="宋体"/>
                <w:b/>
                <w:bCs/>
                <w:color w:val="auto"/>
                <w:kern w:val="0"/>
                <w:sz w:val="24"/>
              </w:rPr>
            </w:pPr>
            <w:r>
              <w:rPr>
                <w:rFonts w:hint="eastAsia" w:ascii="Times New Roman" w:hAnsi="Times New Roman" w:eastAsia="宋体" w:cs="Times New Roman"/>
                <w:b/>
                <w:bCs/>
                <w:color w:val="auto"/>
                <w:kern w:val="0"/>
                <w:sz w:val="24"/>
              </w:rPr>
              <w:t>2.</w:t>
            </w:r>
            <w:r>
              <w:rPr>
                <w:rFonts w:hint="eastAsia" w:cs="Times New Roman"/>
                <w:b/>
                <w:bCs/>
                <w:color w:val="auto"/>
                <w:kern w:val="0"/>
                <w:sz w:val="24"/>
                <w:lang w:val="en-US" w:eastAsia="zh-CN"/>
              </w:rPr>
              <w:t>4.2</w:t>
            </w:r>
            <w:r>
              <w:rPr>
                <w:rFonts w:hint="eastAsia" w:ascii="Times New Roman" w:hAnsi="Times New Roman" w:eastAsia="宋体" w:cs="Times New Roman"/>
                <w:b/>
                <w:bCs/>
                <w:color w:val="auto"/>
                <w:kern w:val="0"/>
                <w:sz w:val="24"/>
              </w:rPr>
              <w:t>.6消防</w:t>
            </w:r>
            <w:r>
              <w:rPr>
                <w:rFonts w:hint="eastAsia" w:ascii="宋体" w:hAnsi="宋体" w:eastAsia="宋体" w:cs="宋体"/>
                <w:b/>
                <w:bCs/>
                <w:color w:val="auto"/>
                <w:kern w:val="0"/>
                <w:sz w:val="24"/>
              </w:rPr>
              <w:t>组件清洗</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光伏阵列的电池组件表面清洗可分为定期清洗和不定期清洗。定期清洗一般每季度进行一次，制定清洗路线。清洗时间安排在日出前或日落后。不定期清洗分为恶劣气候后的清洗和季节性清洗。</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恶劣气候分为大风、沙尘或雨雪后的清洗。每次大风或沙尘天气后应及时清洗。雨雪后应及时巡查，对落在电池组件表面的泥点和积雪应予及时清洗。</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季节性清洗主要至春秋位于候鸟迁徙路线下的发电区域，对候鸟粪便的清洗。在此季节应每天巡视，发现电池组件被污染的应及时清洗。</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日常维护主要是每日巡查电池组件的清洁程度。不符合要求的应及时清洗，确保电池面组件的清洁。</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本项目利用厂区原有高位水池，厂区敷设冲洗管网。每隔一段距离设置引接阀门，光伏区给水管网取水点间排距不大于100m。分区域进行，清洗水量约0.5L/m2，每个季度清洗一次，一周全部清洗完毕。高位水池水量满足冲洗需求。</w:t>
            </w:r>
          </w:p>
          <w:p>
            <w:pPr>
              <w:spacing w:line="360" w:lineRule="auto"/>
              <w:rPr>
                <w:rFonts w:hint="eastAsia" w:ascii="宋体" w:hAnsi="宋体" w:eastAsia="宋体" w:cs="宋体"/>
                <w:b/>
                <w:bCs/>
                <w:color w:val="auto"/>
                <w:kern w:val="0"/>
                <w:sz w:val="24"/>
              </w:rPr>
            </w:pPr>
            <w:r>
              <w:rPr>
                <w:rFonts w:hint="eastAsia" w:ascii="Times New Roman" w:hAnsi="Times New Roman" w:eastAsia="宋体" w:cs="Times New Roman"/>
                <w:b/>
                <w:bCs/>
                <w:color w:val="auto"/>
                <w:kern w:val="0"/>
                <w:sz w:val="24"/>
              </w:rPr>
              <w:t>2.</w:t>
            </w:r>
            <w:r>
              <w:rPr>
                <w:rFonts w:hint="eastAsia" w:cs="Times New Roman"/>
                <w:b/>
                <w:bCs/>
                <w:color w:val="auto"/>
                <w:kern w:val="0"/>
                <w:sz w:val="24"/>
                <w:lang w:val="en-US" w:eastAsia="zh-CN"/>
              </w:rPr>
              <w:t>4.2</w:t>
            </w:r>
            <w:r>
              <w:rPr>
                <w:rFonts w:hint="eastAsia" w:ascii="Times New Roman" w:hAnsi="Times New Roman" w:eastAsia="宋体" w:cs="Times New Roman"/>
                <w:b/>
                <w:bCs/>
                <w:color w:val="auto"/>
                <w:kern w:val="0"/>
                <w:sz w:val="24"/>
              </w:rPr>
              <w:t>.7</w:t>
            </w:r>
            <w:r>
              <w:rPr>
                <w:rFonts w:ascii="Times New Roman" w:hAnsi="Times New Roman" w:eastAsia="宋体" w:cs="Times New Roman"/>
                <w:b/>
                <w:bCs/>
                <w:color w:val="auto"/>
                <w:kern w:val="0"/>
                <w:sz w:val="24"/>
              </w:rPr>
              <w:t xml:space="preserve"> </w:t>
            </w:r>
            <w:r>
              <w:rPr>
                <w:rFonts w:hint="eastAsia" w:ascii="宋体" w:hAnsi="宋体" w:eastAsia="宋体" w:cs="宋体"/>
                <w:b/>
                <w:bCs/>
                <w:color w:val="auto"/>
                <w:kern w:val="0"/>
                <w:sz w:val="24"/>
              </w:rPr>
              <w:t>防洪设计</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本工程为光伏组件下缘离地高度均不小于2.0m，且组件基本布置与山顶及山坡上，组件完全避让开洪水。</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支架基础洪水设计标准重现期按50年一遇的标准设计，根据地形及设计原则，在总平面规划布置时，固定支架尽可能避开冲沟和集水部位，避免洪水威胁。柔性支架基础设置时，均考虑设置在沟谷两侧的沟壁及岸坡上。</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少数基础受洪水影响时，可在基础外侧修建相应的排水沟及截洪沟，排水沟或截水沟排水坡度大于 10%时设置浆砌石消力坎，排水沟或截水沟每隔一段距离设置一座砖砌沉砂池。截排水沟进出水口设置一定长度的护坦及护面。</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道路建设，应结合当地的水文、地质气候条件和沿线筑路材料供应情况，因地制宜地采用有效可行的防护措施，以满足防洪要求，确保路基的安全稳定。道路挖方边坡侧设置浆砌石排水沟。</w:t>
            </w:r>
          </w:p>
          <w:p>
            <w:pPr>
              <w:spacing w:line="360" w:lineRule="auto"/>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2.</w:t>
            </w:r>
            <w:r>
              <w:rPr>
                <w:rFonts w:hint="eastAsia" w:cs="Times New Roman"/>
                <w:b/>
                <w:bCs/>
                <w:color w:val="auto"/>
                <w:kern w:val="0"/>
                <w:sz w:val="24"/>
                <w:lang w:val="en-US" w:eastAsia="zh-CN"/>
              </w:rPr>
              <w:t>4.3</w:t>
            </w:r>
            <w:r>
              <w:rPr>
                <w:rFonts w:hint="eastAsia" w:ascii="Times New Roman" w:hAnsi="Times New Roman" w:eastAsia="宋体" w:cs="Times New Roman"/>
                <w:b/>
                <w:bCs/>
                <w:color w:val="auto"/>
                <w:kern w:val="0"/>
                <w:sz w:val="24"/>
              </w:rPr>
              <w:t>交通工程</w:t>
            </w:r>
          </w:p>
          <w:p>
            <w:pPr>
              <w:adjustRightInd w:val="0"/>
              <w:snapToGrid w:val="0"/>
              <w:spacing w:line="360" w:lineRule="auto"/>
              <w:jc w:val="left"/>
              <w:rPr>
                <w:rFonts w:hint="eastAsia" w:ascii="宋体" w:hAnsi="宋体" w:eastAsia="宋体" w:cs="宋体"/>
                <w:b/>
                <w:bCs/>
                <w:color w:val="auto"/>
                <w:kern w:val="0"/>
                <w:sz w:val="24"/>
              </w:rPr>
            </w:pPr>
            <w:r>
              <w:rPr>
                <w:rFonts w:hint="eastAsia" w:ascii="Times New Roman" w:hAnsi="Times New Roman" w:eastAsia="宋体" w:cs="Times New Roman"/>
                <w:b/>
                <w:bCs/>
                <w:color w:val="auto"/>
                <w:kern w:val="0"/>
                <w:sz w:val="24"/>
              </w:rPr>
              <w:t>2.</w:t>
            </w:r>
            <w:r>
              <w:rPr>
                <w:rFonts w:hint="eastAsia" w:cs="Times New Roman"/>
                <w:b/>
                <w:bCs/>
                <w:color w:val="auto"/>
                <w:kern w:val="0"/>
                <w:sz w:val="24"/>
                <w:lang w:val="en-US" w:eastAsia="zh-CN"/>
              </w:rPr>
              <w:t>4.3</w:t>
            </w:r>
            <w:r>
              <w:rPr>
                <w:rFonts w:hint="eastAsia" w:ascii="Times New Roman" w:hAnsi="Times New Roman" w:eastAsia="宋体" w:cs="Times New Roman"/>
                <w:b/>
                <w:bCs/>
                <w:color w:val="auto"/>
                <w:kern w:val="0"/>
                <w:sz w:val="24"/>
              </w:rPr>
              <w:t>.1</w:t>
            </w:r>
            <w:r>
              <w:rPr>
                <w:rFonts w:hint="eastAsia" w:ascii="宋体" w:hAnsi="宋体" w:eastAsia="宋体" w:cs="宋体"/>
                <w:b/>
                <w:bCs/>
                <w:color w:val="auto"/>
                <w:kern w:val="0"/>
                <w:sz w:val="24"/>
              </w:rPr>
              <w:t>进场道路</w:t>
            </w:r>
          </w:p>
          <w:p>
            <w:pPr>
              <w:adjustRightInd w:val="0"/>
              <w:snapToGrid w:val="0"/>
              <w:spacing w:line="360" w:lineRule="auto"/>
              <w:ind w:firstLine="480" w:firstLineChars="200"/>
              <w:rPr>
                <w:rFonts w:hint="eastAsia" w:ascii="宋体" w:hAnsi="宋体" w:eastAsia="宋体" w:cs="宋体"/>
                <w:color w:val="auto"/>
                <w:kern w:val="0"/>
                <w:sz w:val="24"/>
              </w:rPr>
            </w:pPr>
            <w:r>
              <w:rPr>
                <w:rFonts w:hint="eastAsia" w:ascii="Times New Roman" w:hAnsi="Times New Roman" w:eastAsia="宋体" w:cs="Times New Roman"/>
                <w:color w:val="auto"/>
                <w:sz w:val="24"/>
              </w:rPr>
              <w:t>进站道路长约 800m，道路宽度：4.5m，路面为 20cm 混凝土路面，路面横坡：3%，路基压实度：≥94%。设计速度：20km/h。进站道路占地 0.24hm</w:t>
            </w:r>
            <w:r>
              <w:rPr>
                <w:rFonts w:hint="eastAsia" w:ascii="Times New Roman" w:hAnsi="Times New Roman" w:eastAsia="宋体" w:cs="Times New Roman"/>
                <w:color w:val="auto"/>
                <w:sz w:val="24"/>
                <w:vertAlign w:val="superscript"/>
              </w:rPr>
              <w:t>2</w:t>
            </w:r>
            <w:r>
              <w:rPr>
                <w:rFonts w:hint="eastAsia" w:ascii="Times New Roman" w:hAnsi="Times New Roman" w:eastAsia="宋体" w:cs="Times New Roman"/>
                <w:color w:val="auto"/>
                <w:sz w:val="24"/>
              </w:rPr>
              <w:t>。</w:t>
            </w:r>
          </w:p>
          <w:p>
            <w:pPr>
              <w:adjustRightInd w:val="0"/>
              <w:snapToGrid w:val="0"/>
              <w:spacing w:line="360" w:lineRule="auto"/>
              <w:jc w:val="left"/>
              <w:rPr>
                <w:rFonts w:hint="eastAsia" w:ascii="宋体" w:hAnsi="宋体" w:eastAsia="宋体" w:cs="宋体"/>
                <w:b/>
                <w:bCs/>
                <w:color w:val="auto"/>
                <w:kern w:val="0"/>
                <w:sz w:val="24"/>
              </w:rPr>
            </w:pPr>
            <w:r>
              <w:rPr>
                <w:rFonts w:hint="eastAsia" w:ascii="Times New Roman" w:hAnsi="Times New Roman" w:eastAsia="宋体" w:cs="Times New Roman"/>
                <w:b/>
                <w:bCs/>
                <w:color w:val="auto"/>
                <w:kern w:val="0"/>
                <w:sz w:val="24"/>
              </w:rPr>
              <w:t>2.</w:t>
            </w:r>
            <w:r>
              <w:rPr>
                <w:rFonts w:hint="eastAsia" w:cs="Times New Roman"/>
                <w:b/>
                <w:bCs/>
                <w:color w:val="auto"/>
                <w:kern w:val="0"/>
                <w:sz w:val="24"/>
                <w:lang w:val="en-US" w:eastAsia="zh-CN"/>
              </w:rPr>
              <w:t>4.3</w:t>
            </w:r>
            <w:r>
              <w:rPr>
                <w:rFonts w:hint="eastAsia" w:ascii="Times New Roman" w:hAnsi="Times New Roman" w:eastAsia="宋体" w:cs="Times New Roman"/>
                <w:b/>
                <w:bCs/>
                <w:color w:val="auto"/>
                <w:kern w:val="0"/>
                <w:sz w:val="24"/>
              </w:rPr>
              <w:t>.2</w:t>
            </w:r>
            <w:r>
              <w:rPr>
                <w:rFonts w:hint="eastAsia" w:ascii="宋体" w:hAnsi="宋体" w:eastAsia="宋体" w:cs="宋体"/>
                <w:b/>
                <w:bCs/>
                <w:color w:val="auto"/>
                <w:kern w:val="0"/>
                <w:sz w:val="24"/>
              </w:rPr>
              <w:t>场内道路</w:t>
            </w: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en-US"/>
              </w:rPr>
            </w:pPr>
            <w:r>
              <w:rPr>
                <w:rFonts w:hint="eastAsia" w:ascii="Times New Roman" w:hAnsi="Times New Roman" w:eastAsia="宋体" w:cs="Times New Roman"/>
                <w:color w:val="auto"/>
                <w:sz w:val="24"/>
                <w:lang w:val="en-US" w:eastAsia="en-US"/>
              </w:rPr>
              <w:t>整个场区共3个地块，场址用地范围跨度相对较集中，各地块之间均有乡道、县道连通至场区，因此，各地块对外交通及场内交通道路充分利用场内现有道路。场内道路采用30cm石渣路面，为方便施工期间的运输及运营后的检修，场内检修道路引致各方阵区，箱变基础及逆变基础均布置于道路两侧，满足检修需求。场内3个地块共新建道路17.89km，其中新建进站道路0.69km，新建检修道路约17.20km，改扩建道路长度4.85km，修建临时施工便道1.22km。其中沙沟地块新修检修道路长度14.33km，改扩建道路长度2.11km；松树湾片区新建检修道路1.38km，改扩建0.46km；阿郎片区新建检修道路1.48km，改扩建道路2.28km；整个项目区</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en-US"/>
              </w:rPr>
              <w:t>设计新修临时施工便道1.22km。场内道路总占地面积20.37hm</w:t>
            </w:r>
            <w:r>
              <w:rPr>
                <w:rFonts w:hint="eastAsia" w:ascii="Times New Roman" w:hAnsi="Times New Roman" w:eastAsia="宋体" w:cs="Times New Roman"/>
                <w:color w:val="auto"/>
                <w:sz w:val="24"/>
                <w:vertAlign w:val="superscript"/>
                <w:lang w:val="en-US" w:eastAsia="en-US"/>
              </w:rPr>
              <w:t>2</w:t>
            </w:r>
            <w:r>
              <w:rPr>
                <w:rFonts w:hint="eastAsia" w:ascii="Times New Roman" w:hAnsi="Times New Roman" w:eastAsia="宋体" w:cs="Times New Roman"/>
                <w:color w:val="auto"/>
                <w:sz w:val="24"/>
                <w:lang w:val="en-US" w:eastAsia="en-US"/>
              </w:rPr>
              <w:t>。</w:t>
            </w:r>
          </w:p>
          <w:p>
            <w:pPr>
              <w:adjustRightInd w:val="0"/>
              <w:snapToGrid w:val="0"/>
              <w:spacing w:line="360" w:lineRule="auto"/>
              <w:jc w:val="left"/>
              <w:rPr>
                <w:rFonts w:hint="eastAsia" w:cs="Times New Roman"/>
                <w:b/>
                <w:bCs/>
                <w:color w:val="auto"/>
                <w:kern w:val="0"/>
                <w:sz w:val="24"/>
                <w:lang w:val="en-US" w:eastAsia="zh-CN"/>
              </w:rPr>
            </w:pPr>
            <w:r>
              <w:rPr>
                <w:rFonts w:hint="eastAsia" w:cs="Times New Roman"/>
                <w:b/>
                <w:bCs/>
                <w:color w:val="auto"/>
                <w:kern w:val="0"/>
                <w:sz w:val="24"/>
                <w:lang w:val="en-US" w:eastAsia="zh-CN"/>
              </w:rPr>
              <w:t>检修道路</w:t>
            </w: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en-US"/>
              </w:rPr>
            </w:pPr>
            <w:r>
              <w:rPr>
                <w:rFonts w:hint="eastAsia" w:ascii="Times New Roman" w:hAnsi="Times New Roman" w:eastAsia="宋体" w:cs="Times New Roman"/>
                <w:color w:val="auto"/>
                <w:sz w:val="24"/>
                <w:lang w:val="en-US" w:eastAsia="en-US"/>
              </w:rPr>
              <w:t>（1）新建道路</w:t>
            </w: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en-US"/>
              </w:rPr>
            </w:pPr>
            <w:r>
              <w:rPr>
                <w:rFonts w:hint="eastAsia" w:ascii="Times New Roman" w:hAnsi="Times New Roman" w:eastAsia="宋体" w:cs="Times New Roman"/>
                <w:color w:val="auto"/>
                <w:sz w:val="24"/>
                <w:lang w:val="en-US" w:eastAsia="en-US"/>
              </w:rPr>
              <w:t>场内方阵无道路通行区域新建施工道路至各光伏方阵，新建道路为能满足通行要求的简易道路，不进行高挖深填，对地形较陡区域开挖及回填边坡区域采取浆砌石挡墙挡护。新建检修道路约17.20km，道路设计速度为15km/h，路面宽3.50m，路基宽度4.00m，纵向坡度按≤15%设计，局部陡峭及急转弯区域按≤20%，转弯半径按15m设计，局部陡峭及穿越冲沟区域转弯半径按9m设计，碎石路面(碎石可采用级配山皮石)。道路占地面积共计14.95hm</w:t>
            </w:r>
            <w:r>
              <w:rPr>
                <w:rFonts w:hint="eastAsia" w:ascii="Times New Roman" w:hAnsi="Times New Roman" w:eastAsia="宋体" w:cs="Times New Roman"/>
                <w:color w:val="auto"/>
                <w:sz w:val="24"/>
                <w:vertAlign w:val="superscript"/>
                <w:lang w:val="en-US" w:eastAsia="en-US"/>
              </w:rPr>
              <w:t>2</w:t>
            </w:r>
            <w:r>
              <w:rPr>
                <w:rFonts w:hint="eastAsia" w:ascii="Times New Roman" w:hAnsi="Times New Roman" w:eastAsia="宋体" w:cs="Times New Roman"/>
                <w:color w:val="auto"/>
                <w:sz w:val="24"/>
                <w:lang w:val="en-US" w:eastAsia="en-US"/>
              </w:rPr>
              <w:t>。</w:t>
            </w: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en-US"/>
              </w:rPr>
            </w:pPr>
            <w:r>
              <w:rPr>
                <w:rFonts w:hint="eastAsia" w:ascii="Times New Roman" w:hAnsi="Times New Roman" w:eastAsia="宋体" w:cs="Times New Roman"/>
                <w:color w:val="auto"/>
                <w:sz w:val="24"/>
                <w:lang w:val="en-US" w:eastAsia="en-US"/>
              </w:rPr>
              <w:t>（2）改扩建道路</w:t>
            </w:r>
          </w:p>
          <w:p>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en-US"/>
              </w:rPr>
              <w:t>改扩建道路区域主要为现状简易土质路面，路面较窄、较差，本工程将对其进行改扩建，主要为对现状道路局部拓宽路面进行整平、铺设石渣路面，不新形成较大的开挖、回填边坡，对于现状道路形成的较大开挖及回填边坡区域采取浆砌石挡墙挡护。改扩建道路长约4.85km，设计速度为15km/h，路面宽4.0m，路基宽度6.0m，纵向坡度按≤15%设计，局部陡峭及急转弯区域按≤20%，转弯半径按15m设计，局部陡峭及穿越冲沟区域转弯半径按9m设计，碎石路面(碎石可采用级配山皮石)。道路占地面积共计2.91hm</w:t>
            </w:r>
            <w:r>
              <w:rPr>
                <w:rFonts w:hint="eastAsia" w:ascii="Times New Roman" w:hAnsi="Times New Roman" w:eastAsia="宋体" w:cs="Times New Roman"/>
                <w:color w:val="auto"/>
                <w:sz w:val="24"/>
                <w:vertAlign w:val="superscript"/>
                <w:lang w:val="en-US" w:eastAsia="en-US"/>
              </w:rPr>
              <w:t>2</w:t>
            </w:r>
            <w:r>
              <w:rPr>
                <w:rFonts w:hint="eastAsia" w:ascii="Times New Roman" w:hAnsi="Times New Roman" w:eastAsia="宋体" w:cs="Times New Roman"/>
                <w:color w:val="auto"/>
                <w:sz w:val="24"/>
                <w:lang w:val="en-US" w:eastAsia="en-US"/>
              </w:rPr>
              <w:t>。</w:t>
            </w:r>
          </w:p>
          <w:p>
            <w:pPr>
              <w:adjustRightInd w:val="0"/>
              <w:snapToGrid w:val="0"/>
              <w:spacing w:line="360" w:lineRule="auto"/>
              <w:jc w:val="left"/>
              <w:rPr>
                <w:rFonts w:hint="eastAsia" w:ascii="宋体" w:hAnsi="宋体" w:eastAsia="宋体" w:cs="宋体"/>
                <w:b/>
                <w:bCs/>
                <w:color w:val="auto"/>
                <w:kern w:val="0"/>
                <w:sz w:val="24"/>
              </w:rPr>
            </w:pPr>
            <w:r>
              <w:rPr>
                <w:rFonts w:hint="eastAsia" w:ascii="Times New Roman" w:hAnsi="Times New Roman" w:eastAsia="宋体" w:cs="Times New Roman"/>
                <w:b/>
                <w:bCs/>
                <w:color w:val="auto"/>
                <w:kern w:val="0"/>
                <w:sz w:val="24"/>
              </w:rPr>
              <w:t>2.</w:t>
            </w:r>
            <w:r>
              <w:rPr>
                <w:rFonts w:hint="eastAsia" w:cs="Times New Roman"/>
                <w:b/>
                <w:bCs/>
                <w:color w:val="auto"/>
                <w:kern w:val="0"/>
                <w:sz w:val="24"/>
                <w:lang w:val="en-US" w:eastAsia="zh-CN"/>
              </w:rPr>
              <w:t>4.3</w:t>
            </w:r>
            <w:r>
              <w:rPr>
                <w:rFonts w:hint="eastAsia" w:ascii="Times New Roman" w:hAnsi="Times New Roman" w:eastAsia="宋体" w:cs="Times New Roman"/>
                <w:b/>
                <w:bCs/>
                <w:color w:val="auto"/>
                <w:kern w:val="0"/>
                <w:sz w:val="24"/>
              </w:rPr>
              <w:t>.2</w:t>
            </w:r>
            <w:r>
              <w:rPr>
                <w:rFonts w:hint="eastAsia" w:ascii="宋体" w:hAnsi="宋体" w:eastAsia="宋体" w:cs="宋体"/>
                <w:b/>
                <w:bCs/>
                <w:color w:val="auto"/>
                <w:kern w:val="0"/>
                <w:sz w:val="24"/>
              </w:rPr>
              <w:t>升压站交通运输</w:t>
            </w: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en-US"/>
              </w:rPr>
              <w:t>进站道路从北侧引接，引接至光伏区检修道路，进站道路长 0.69km ，设计速度 为 15km/h，路面宽 4m，路基宽 6.5m，转弯半径 15m ，道路标准断面结构自上而下 分别为：25cmC30 混凝土面层，40cm 级配碎石基层，压实路基。道路占地面积共计 1.55hm</w:t>
            </w:r>
            <w:r>
              <w:rPr>
                <w:rFonts w:hint="eastAsia" w:ascii="Times New Roman" w:hAnsi="Times New Roman" w:eastAsia="宋体" w:cs="Times New Roman"/>
                <w:color w:val="auto"/>
                <w:sz w:val="24"/>
                <w:vertAlign w:val="superscript"/>
                <w:lang w:val="en-US" w:eastAsia="en-US"/>
              </w:rPr>
              <w:t>2</w:t>
            </w:r>
            <w:r>
              <w:rPr>
                <w:rFonts w:hint="eastAsia" w:ascii="Times New Roman" w:hAnsi="Times New Roman" w:eastAsia="宋体" w:cs="Times New Roman"/>
                <w:color w:val="auto"/>
                <w:sz w:val="24"/>
                <w:lang w:val="en-US" w:eastAsia="en-US"/>
              </w:rPr>
              <w:t>。</w:t>
            </w:r>
          </w:p>
          <w:p>
            <w:pPr>
              <w:adjustRightInd w:val="0"/>
              <w:snapToGrid w:val="0"/>
              <w:spacing w:line="360" w:lineRule="auto"/>
              <w:rPr>
                <w:rFonts w:hint="eastAsia"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rPr>
              <w:t>2.</w:t>
            </w:r>
            <w:r>
              <w:rPr>
                <w:rFonts w:hint="eastAsia" w:cs="Times New Roman"/>
                <w:b/>
                <w:bCs/>
                <w:color w:val="auto"/>
                <w:sz w:val="28"/>
                <w:szCs w:val="28"/>
                <w:lang w:val="en-US" w:eastAsia="zh-CN"/>
              </w:rPr>
              <w:t>5</w:t>
            </w:r>
            <w:r>
              <w:rPr>
                <w:rFonts w:hint="eastAsia" w:ascii="Times New Roman" w:hAnsi="Times New Roman" w:eastAsia="宋体" w:cs="Times New Roman"/>
                <w:b/>
                <w:bCs/>
                <w:color w:val="auto"/>
                <w:sz w:val="28"/>
                <w:szCs w:val="28"/>
              </w:rPr>
              <w:t>区域太阳能资源概述</w:t>
            </w:r>
          </w:p>
          <w:p>
            <w:pPr>
              <w:spacing w:line="360" w:lineRule="auto"/>
              <w:ind w:firstLine="482" w:firstLineChars="200"/>
              <w:jc w:val="left"/>
              <w:outlineLvl w:val="1"/>
              <w:rPr>
                <w:rFonts w:ascii="Times New Roman" w:hAnsi="Times New Roman" w:eastAsia="宋体" w:cs="Times New Roman"/>
                <w:b/>
                <w:bCs/>
                <w:color w:val="auto"/>
                <w:kern w:val="0"/>
                <w:sz w:val="24"/>
              </w:rPr>
            </w:pPr>
            <w:r>
              <w:rPr>
                <w:rFonts w:hint="eastAsia" w:ascii="宋体" w:hAnsi="宋体" w:eastAsia="宋体" w:cs="宋体"/>
                <w:b/>
                <w:bCs/>
                <w:color w:val="auto"/>
                <w:kern w:val="0"/>
                <w:sz w:val="24"/>
              </w:rPr>
              <w:t>（1）</w:t>
            </w:r>
            <w:r>
              <w:rPr>
                <w:rFonts w:ascii="Times New Roman" w:hAnsi="Times New Roman" w:eastAsia="宋体" w:cs="Times New Roman"/>
                <w:b/>
                <w:bCs/>
                <w:color w:val="auto"/>
                <w:kern w:val="0"/>
                <w:sz w:val="24"/>
              </w:rPr>
              <w:t>云南省太阳能资源总述</w:t>
            </w:r>
          </w:p>
          <w:p>
            <w:pPr>
              <w:adjustRightInd w:val="0"/>
              <w:snapToGrid w:val="0"/>
              <w:spacing w:line="360" w:lineRule="auto"/>
              <w:ind w:firstLine="480" w:firstLineChars="200"/>
              <w:jc w:val="left"/>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云南地处低纬高原，北回归线贯穿于省内南部，各地海拔相对较高，加之所处地理位置的特殊性，使得全年可接受的太阳辐射能比较充裕，全年太阳高度角变化幅度不大，冬夏半年太阳可照时数差别较小，一年中太阳辐射能量差异不大，季节分配比较均匀，四季温暖，年气温差较小。</w:t>
            </w:r>
            <w:r>
              <w:rPr>
                <w:rFonts w:ascii="Times New Roman" w:hAnsi="Times New Roman" w:eastAsia="宋体" w:cs="Times New Roman"/>
                <w:color w:val="auto"/>
                <w:sz w:val="24"/>
              </w:rPr>
              <w:t>云南全省国土均位于北纬30度以南的区域，许多地区海拔都在2000m左右，分属热带山原或低纬高原。境内大部分地区地势较高，山地、高原占全省总面积的94%，地表上空大气层厚度较薄，空气密度小而大气透明度高，太阳辐射获取量比平原地区多。云南的太阳能资源仅次于西藏、青海等省区，是中国最丰富的省份之一。云南北部的金沙江河谷地区干旱少雨，日照充足，是全省太阳总辐射量最多的地区。</w:t>
            </w:r>
          </w:p>
          <w:p>
            <w:pPr>
              <w:spacing w:line="360" w:lineRule="auto"/>
              <w:ind w:firstLine="480" w:firstLineChars="200"/>
              <w:jc w:val="left"/>
              <w:outlineLvl w:val="1"/>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根据《云南省太阳能资源评价报告》，在综合考虑太阳总辐射、日照时数、日照百分率三个要素的基础上，《云南省太阳能资源评价报告》将云南省太阳能资源开发区划分为四类区域：最佳开发区、较佳开发区、可开发区、一般区</w:t>
            </w:r>
            <w:r>
              <w:rPr>
                <w:rFonts w:hint="eastAsia" w:ascii="Times New Roman" w:hAnsi="Times New Roman" w:eastAsia="宋体" w:cs="Times New Roman"/>
                <w:color w:val="auto"/>
                <w:kern w:val="0"/>
                <w:sz w:val="24"/>
              </w:rPr>
              <w:t>。本项目位于最佳开发区，即</w:t>
            </w:r>
            <w:r>
              <w:rPr>
                <w:rFonts w:ascii="Times New Roman" w:hAnsi="Times New Roman" w:eastAsia="宋体" w:cs="Times New Roman"/>
                <w:color w:val="auto"/>
                <w:kern w:val="0"/>
                <w:sz w:val="24"/>
              </w:rPr>
              <w:t>最佳开发区区域内年太阳总辐射在6000 MJ/m</w:t>
            </w:r>
            <w:r>
              <w:rPr>
                <w:rFonts w:ascii="Times New Roman" w:hAnsi="Times New Roman" w:eastAsia="宋体" w:cs="Times New Roman"/>
                <w:color w:val="auto"/>
                <w:kern w:val="0"/>
                <w:sz w:val="24"/>
                <w:vertAlign w:val="superscript"/>
              </w:rPr>
              <w:t>2</w:t>
            </w:r>
            <w:r>
              <w:rPr>
                <w:rFonts w:ascii="Times New Roman" w:hAnsi="Times New Roman" w:eastAsia="宋体" w:cs="Times New Roman"/>
                <w:color w:val="auto"/>
                <w:kern w:val="0"/>
                <w:sz w:val="24"/>
              </w:rPr>
              <w:t>.a以上，年日照时数在2300hr以上，年日照百分率在61%～53%之间。主要分布在丽江市中部和东部，大理州东部，楚雄州西部和北部。此区域内有永仁、宾川、弥渡、元谋、华坪、祥云、丽江、南涧、保山、大姚、洱源和姚安共12个县，国土总面积为36603 km</w:t>
            </w:r>
            <w:r>
              <w:rPr>
                <w:rFonts w:ascii="Times New Roman" w:hAnsi="Times New Roman" w:eastAsia="宋体" w:cs="Times New Roman"/>
                <w:color w:val="auto"/>
                <w:kern w:val="0"/>
                <w:sz w:val="24"/>
                <w:vertAlign w:val="superscript"/>
              </w:rPr>
              <w:t>2</w:t>
            </w:r>
            <w:r>
              <w:rPr>
                <w:rFonts w:ascii="Times New Roman" w:hAnsi="Times New Roman" w:eastAsia="宋体" w:cs="Times New Roman"/>
                <w:color w:val="auto"/>
                <w:kern w:val="0"/>
                <w:sz w:val="24"/>
              </w:rPr>
              <w:t>，占全省总面积的9.29%。</w:t>
            </w:r>
          </w:p>
          <w:p>
            <w:pPr>
              <w:spacing w:before="120" w:beforeLines="50" w:line="360" w:lineRule="auto"/>
              <w:ind w:firstLine="482" w:firstLineChars="200"/>
              <w:jc w:val="left"/>
              <w:outlineLvl w:val="1"/>
              <w:rPr>
                <w:rFonts w:hint="eastAsia" w:ascii="宋体" w:hAnsi="宋体" w:eastAsia="宋体" w:cs="宋体"/>
                <w:b/>
                <w:bCs/>
                <w:color w:val="auto"/>
                <w:kern w:val="0"/>
                <w:sz w:val="24"/>
              </w:rPr>
            </w:pPr>
            <w:r>
              <w:rPr>
                <w:rFonts w:hint="eastAsia" w:ascii="宋体" w:hAnsi="宋体" w:eastAsia="宋体" w:cs="宋体"/>
                <w:b/>
                <w:bCs/>
                <w:color w:val="auto"/>
                <w:kern w:val="0"/>
                <w:sz w:val="24"/>
              </w:rPr>
              <w:t>（2）元谋县太阳能资源概况</w:t>
            </w:r>
          </w:p>
          <w:p>
            <w:pPr>
              <w:spacing w:line="360" w:lineRule="auto"/>
              <w:ind w:firstLine="480" w:firstLineChars="200"/>
              <w:jc w:val="left"/>
              <w:outlineLvl w:val="1"/>
              <w:rPr>
                <w:rFonts w:hint="eastAsia" w:ascii="宋体" w:hAnsi="宋体" w:eastAsia="宋体" w:cs="宋体"/>
                <w:b/>
                <w:bCs/>
                <w:color w:val="auto"/>
                <w:kern w:val="0"/>
                <w:sz w:val="24"/>
              </w:rPr>
            </w:pPr>
            <w:r>
              <w:rPr>
                <w:rFonts w:hint="eastAsia" w:ascii="Times New Roman" w:hAnsi="Times New Roman" w:eastAsia="宋体" w:cs="Times New Roman"/>
                <w:color w:val="auto"/>
                <w:sz w:val="24"/>
              </w:rPr>
              <w:t>元谋县位于楚雄州北部，是云南省太阳能资源最佳开发区域中的一个县，其年平均太阳总辐射为</w:t>
            </w:r>
            <w:r>
              <w:rPr>
                <w:rFonts w:ascii="Times New Roman" w:hAnsi="Times New Roman" w:eastAsia="宋体" w:cs="Times New Roman"/>
                <w:color w:val="auto"/>
                <w:sz w:val="24"/>
              </w:rPr>
              <w:t>6439.2MJ/m</w:t>
            </w:r>
            <w:r>
              <w:rPr>
                <w:rFonts w:ascii="Times New Roman" w:hAnsi="Times New Roman" w:eastAsia="宋体" w:cs="Times New Roman"/>
                <w:color w:val="auto"/>
                <w:sz w:val="24"/>
                <w:vertAlign w:val="superscript"/>
              </w:rPr>
              <w:t>2</w:t>
            </w:r>
            <w:r>
              <w:rPr>
                <w:rFonts w:ascii="Times New Roman" w:hAnsi="Times New Roman" w:eastAsia="宋体" w:cs="Times New Roman"/>
                <w:color w:val="auto"/>
                <w:sz w:val="24"/>
              </w:rPr>
              <w:t>.a</w:t>
            </w:r>
            <w:r>
              <w:rPr>
                <w:rFonts w:hint="eastAsia" w:ascii="Times New Roman" w:hAnsi="Times New Roman" w:eastAsia="宋体" w:cs="Times New Roman"/>
                <w:color w:val="auto"/>
                <w:sz w:val="24"/>
              </w:rPr>
              <w:t>，年平均日照时数为</w:t>
            </w:r>
            <w:r>
              <w:rPr>
                <w:rFonts w:ascii="Times New Roman" w:hAnsi="Times New Roman" w:eastAsia="宋体" w:cs="Times New Roman"/>
                <w:color w:val="auto"/>
                <w:sz w:val="24"/>
              </w:rPr>
              <w:t>2593.1hr</w:t>
            </w:r>
            <w:r>
              <w:rPr>
                <w:rFonts w:hint="eastAsia" w:ascii="Times New Roman" w:hAnsi="Times New Roman" w:eastAsia="宋体" w:cs="Times New Roman"/>
                <w:color w:val="auto"/>
                <w:sz w:val="24"/>
              </w:rPr>
              <w:t>，年平均日照百分率为</w:t>
            </w:r>
            <w:r>
              <w:rPr>
                <w:rFonts w:ascii="Times New Roman" w:hAnsi="Times New Roman" w:eastAsia="宋体" w:cs="Times New Roman"/>
                <w:color w:val="auto"/>
                <w:sz w:val="24"/>
              </w:rPr>
              <w:t>59%</w:t>
            </w:r>
            <w:r>
              <w:rPr>
                <w:rFonts w:hint="eastAsia" w:ascii="Times New Roman" w:hAnsi="Times New Roman" w:eastAsia="宋体" w:cs="Times New Roman"/>
                <w:color w:val="auto"/>
                <w:sz w:val="24"/>
              </w:rPr>
              <w:t>。元谋县境内无地形影响的大部分地区的日照丰富，太阳辐射能量较高，坝子周边地形海拔一般在</w:t>
            </w:r>
            <w:r>
              <w:rPr>
                <w:rFonts w:ascii="Times New Roman" w:hAnsi="Times New Roman" w:eastAsia="宋体" w:cs="Times New Roman"/>
                <w:color w:val="auto"/>
                <w:sz w:val="24"/>
              </w:rPr>
              <w:t>1100m</w:t>
            </w:r>
            <w:r>
              <w:rPr>
                <w:rFonts w:hint="eastAsia" w:ascii="Times New Roman" w:hAnsi="Times New Roman" w:eastAsia="宋体" w:cs="Times New Roman"/>
                <w:color w:val="auto"/>
                <w:sz w:val="24"/>
              </w:rPr>
              <w:t>以上，空气透明度高，太阳辐射在大气中的损耗较少，太阳总辐射值最高月与最低月之比在</w:t>
            </w:r>
            <w:r>
              <w:rPr>
                <w:rFonts w:ascii="Times New Roman" w:hAnsi="Times New Roman" w:eastAsia="宋体" w:cs="Times New Roman"/>
                <w:color w:val="auto"/>
                <w:sz w:val="24"/>
              </w:rPr>
              <w:t>1.49</w:t>
            </w:r>
            <w:r>
              <w:rPr>
                <w:rFonts w:hint="eastAsia" w:ascii="Times New Roman" w:hAnsi="Times New Roman" w:eastAsia="宋体" w:cs="Times New Roman"/>
                <w:color w:val="auto"/>
                <w:sz w:val="24"/>
              </w:rPr>
              <w:t>以下，年内月太阳总辐射值变化基本平稳，工程开发利用价值较高，有利于太阳能能源的稳定输出。元谋县是云南省太阳能资源最佳开发区域之一，其境内大部分地区年平均太阳总辐射在6300MJ/m</w:t>
            </w:r>
            <w:r>
              <w:rPr>
                <w:rFonts w:hint="eastAsia" w:ascii="Times New Roman" w:hAnsi="Times New Roman" w:eastAsia="宋体" w:cs="Times New Roman"/>
                <w:color w:val="auto"/>
                <w:sz w:val="24"/>
                <w:vertAlign w:val="superscript"/>
              </w:rPr>
              <w:t>2</w:t>
            </w:r>
            <w:r>
              <w:rPr>
                <w:rFonts w:hint="eastAsia" w:ascii="Times New Roman" w:hAnsi="Times New Roman" w:eastAsia="宋体" w:cs="Times New Roman"/>
                <w:color w:val="auto"/>
                <w:sz w:val="24"/>
              </w:rPr>
              <w:t>以上，年平均日照时数在之间为2500hr以上。元谋县太阳能资源总储量为1.2853×10</w:t>
            </w:r>
            <w:r>
              <w:rPr>
                <w:rFonts w:hint="eastAsia" w:ascii="Times New Roman" w:hAnsi="Times New Roman" w:eastAsia="宋体" w:cs="Times New Roman"/>
                <w:color w:val="auto"/>
                <w:sz w:val="24"/>
                <w:vertAlign w:val="superscript"/>
              </w:rPr>
              <w:t>13</w:t>
            </w:r>
            <w:r>
              <w:rPr>
                <w:rFonts w:hint="eastAsia" w:ascii="Times New Roman" w:hAnsi="Times New Roman" w:eastAsia="宋体" w:cs="Times New Roman"/>
                <w:color w:val="auto"/>
                <w:sz w:val="24"/>
              </w:rPr>
              <w:t>MJ/a，相当于标准煤4.39亿t/a。</w:t>
            </w:r>
          </w:p>
          <w:p>
            <w:pPr>
              <w:spacing w:before="120" w:beforeLines="50" w:line="360" w:lineRule="auto"/>
              <w:ind w:firstLine="482" w:firstLineChars="200"/>
              <w:jc w:val="left"/>
              <w:outlineLvl w:val="1"/>
              <w:rPr>
                <w:rFonts w:hint="eastAsia" w:ascii="宋体" w:hAnsi="宋体" w:eastAsia="宋体" w:cs="宋体"/>
                <w:b/>
                <w:bCs/>
                <w:color w:val="auto"/>
                <w:kern w:val="0"/>
                <w:sz w:val="24"/>
              </w:rPr>
            </w:pPr>
            <w:r>
              <w:rPr>
                <w:rFonts w:hint="eastAsia" w:ascii="宋体" w:hAnsi="宋体" w:eastAsia="宋体" w:cs="宋体"/>
                <w:b/>
                <w:bCs/>
                <w:color w:val="auto"/>
                <w:kern w:val="0"/>
                <w:sz w:val="24"/>
              </w:rPr>
              <w:t>（3）马头地光伏场区太阳能资源概况</w:t>
            </w:r>
          </w:p>
          <w:p>
            <w:pPr>
              <w:spacing w:line="360" w:lineRule="auto"/>
              <w:ind w:firstLine="480" w:firstLineChars="200"/>
              <w:jc w:val="left"/>
              <w:outlineLvl w:val="1"/>
              <w:rPr>
                <w:rFonts w:hint="eastAsia" w:ascii="宋体" w:hAnsi="宋体" w:eastAsia="宋体" w:cs="宋体"/>
                <w:b/>
                <w:bCs/>
                <w:color w:val="auto"/>
                <w:kern w:val="0"/>
                <w:sz w:val="24"/>
              </w:rPr>
            </w:pPr>
            <w:r>
              <w:rPr>
                <w:rFonts w:hint="eastAsia" w:ascii="Times New Roman" w:hAnsi="Times New Roman" w:eastAsia="宋体" w:cs="Times New Roman"/>
                <w:color w:val="auto"/>
                <w:sz w:val="24"/>
              </w:rPr>
              <w:t>根据《太阳能资源评估方法》（GB/T 37526-2019）评估，马头地光伏电站太阳能总辐射为6034.7MJ/m</w:t>
            </w:r>
            <w:r>
              <w:rPr>
                <w:rFonts w:hint="eastAsia" w:ascii="Times New Roman" w:hAnsi="Times New Roman" w:eastAsia="宋体" w:cs="Times New Roman"/>
                <w:color w:val="auto"/>
                <w:sz w:val="24"/>
                <w:vertAlign w:val="superscript"/>
              </w:rPr>
              <w:t>2</w:t>
            </w:r>
            <w:r>
              <w:rPr>
                <w:rFonts w:hint="eastAsia" w:ascii="Times New Roman" w:hAnsi="Times New Roman" w:eastAsia="宋体" w:cs="Times New Roman"/>
                <w:color w:val="auto"/>
                <w:sz w:val="24"/>
              </w:rPr>
              <w:t>，据此判定其太阳能资源属于很丰富区，太阳能资源丰富等级为B；马头地光伏电站工程所在区域空气质量好，透明度高，太阳辐射在大气中的损耗较少，根据SolarGIS 软件拟合数据知，最小月与最大月比值为0.67，根据《太阳能资源评估方法》（GB/T 37526—2019）（见2.3.3-3），年内月太阳总辐射值变化为A级，等级名称为很稳定，有利于太阳能能源的稳定输出；根据提取的拟合分析数据，场址区域的SolarGIS数据直射比为0.54。场址区域的太阳能资源直射比（DHRR）等级为B级，等级名称为高，直射辐射较多。</w:t>
            </w:r>
          </w:p>
          <w:p>
            <w:pPr>
              <w:adjustRightInd w:val="0"/>
              <w:snapToGrid w:val="0"/>
              <w:spacing w:line="360" w:lineRule="auto"/>
              <w:ind w:firstLine="400" w:firstLineChars="200"/>
              <w:rPr>
                <w:rFonts w:ascii="Times New Roman" w:hAnsi="Times New Roman" w:eastAsia="宋体" w:cs="Times New Roman"/>
                <w:color w:val="auto"/>
                <w:sz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426" w:type="dxa"/>
            <w:noWrap w:val="0"/>
            <w:vAlign w:val="center"/>
          </w:tcPr>
          <w:p>
            <w:pPr>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总平面及现场布置</w:t>
            </w:r>
          </w:p>
        </w:tc>
        <w:tc>
          <w:tcPr>
            <w:tcW w:w="8808" w:type="dxa"/>
            <w:noWrap w:val="0"/>
            <w:vAlign w:val="center"/>
          </w:tcPr>
          <w:p>
            <w:pPr>
              <w:adjustRightInd w:val="0"/>
              <w:snapToGrid w:val="0"/>
              <w:spacing w:line="360" w:lineRule="auto"/>
              <w:jc w:val="left"/>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sz w:val="28"/>
                <w:szCs w:val="28"/>
              </w:rPr>
              <w:t>2.</w:t>
            </w:r>
            <w:r>
              <w:rPr>
                <w:rFonts w:hint="eastAsia" w:ascii="Times New Roman" w:hAnsi="Times New Roman" w:eastAsia="宋体" w:cs="Times New Roman"/>
                <w:b/>
                <w:bCs/>
                <w:color w:val="auto"/>
                <w:sz w:val="28"/>
                <w:szCs w:val="28"/>
                <w:lang w:val="en-US" w:eastAsia="zh-CN"/>
              </w:rPr>
              <w:t>6</w:t>
            </w:r>
            <w:r>
              <w:rPr>
                <w:rFonts w:hint="eastAsia" w:ascii="Times New Roman" w:hAnsi="Times New Roman" w:eastAsia="宋体" w:cs="Times New Roman"/>
                <w:b/>
                <w:bCs/>
                <w:color w:val="auto"/>
                <w:sz w:val="28"/>
                <w:szCs w:val="28"/>
              </w:rPr>
              <w:t>总平面及现场布置</w:t>
            </w:r>
          </w:p>
          <w:p>
            <w:pPr>
              <w:adjustRightInd w:val="0"/>
              <w:snapToGrid w:val="0"/>
              <w:spacing w:line="360" w:lineRule="auto"/>
              <w:jc w:val="left"/>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2.</w:t>
            </w:r>
            <w:r>
              <w:rPr>
                <w:rFonts w:hint="eastAsia" w:cs="Times New Roman"/>
                <w:b/>
                <w:bCs/>
                <w:color w:val="auto"/>
                <w:kern w:val="0"/>
                <w:sz w:val="24"/>
                <w:lang w:val="en-US" w:eastAsia="zh-CN"/>
              </w:rPr>
              <w:t>6</w:t>
            </w:r>
            <w:r>
              <w:rPr>
                <w:rFonts w:hint="eastAsia" w:ascii="Times New Roman" w:hAnsi="Times New Roman" w:eastAsia="宋体" w:cs="Times New Roman"/>
                <w:b/>
                <w:bCs/>
                <w:color w:val="auto"/>
                <w:kern w:val="0"/>
                <w:sz w:val="24"/>
              </w:rPr>
              <w:t>.1</w:t>
            </w:r>
            <w:r>
              <w:rPr>
                <w:rFonts w:ascii="Times New Roman" w:hAnsi="Times New Roman" w:eastAsia="宋体" w:cs="Times New Roman"/>
                <w:b/>
                <w:bCs/>
                <w:color w:val="auto"/>
                <w:kern w:val="0"/>
                <w:sz w:val="24"/>
              </w:rPr>
              <w:t>项目</w:t>
            </w:r>
            <w:r>
              <w:rPr>
                <w:rFonts w:hint="eastAsia" w:ascii="Times New Roman" w:hAnsi="Times New Roman" w:eastAsia="宋体" w:cs="Times New Roman"/>
                <w:b/>
                <w:bCs/>
                <w:color w:val="auto"/>
                <w:kern w:val="0"/>
                <w:sz w:val="24"/>
              </w:rPr>
              <w:t>总平面布置</w:t>
            </w:r>
          </w:p>
          <w:p>
            <w:pPr>
              <w:spacing w:line="360" w:lineRule="auto"/>
              <w:ind w:firstLine="480" w:firstLineChars="200"/>
              <w:jc w:val="left"/>
              <w:outlineLvl w:val="1"/>
              <w:rPr>
                <w:rFonts w:hint="eastAsia" w:ascii="Times New Roman" w:hAnsi="Times New Roman" w:eastAsia="宋体" w:cs="Times New Roman"/>
                <w:color w:val="auto"/>
                <w:sz w:val="24"/>
                <w:lang w:eastAsia="en-US"/>
              </w:rPr>
            </w:pPr>
            <w:r>
              <w:rPr>
                <w:rFonts w:hint="eastAsia" w:ascii="Times New Roman" w:hAnsi="Times New Roman" w:eastAsia="宋体" w:cs="Times New Roman"/>
                <w:color w:val="auto"/>
                <w:sz w:val="24"/>
                <w:lang w:val="en-US" w:eastAsia="zh-CN"/>
              </w:rPr>
              <w:t>本项目场区总体规划分为六部分：升压站、光伏阵列、箱变、组串式逆变器、集电线路、道路。总体规划考虑了拟选场址地形条件，光伏阵列布置，进站道路，场区周围交通情况，接入升压站位置等各方面因素，在尽量节约占地面积的前提下，统筹安排，总体规划。其中升压站站区主要建(构)筑物包括辅助用房、一体化消防水箱、储能装置、35kV配电装置及二次设备预制舱、主变压器、事故油池、中性点成套装置、SVG、GIS、接地变小电阻成套装置、独立避雷针等相关建(构)筑物。总体考虑进站道路，升压站内设置4m宽的环形道路。考虑进出线走廊、站内消防和生产区合理距离等各方面因素，在节约用地的前提下，统筹安排，总体规划。</w:t>
            </w:r>
          </w:p>
          <w:p>
            <w:pPr>
              <w:spacing w:line="360" w:lineRule="auto"/>
              <w:ind w:firstLine="482" w:firstLineChars="200"/>
              <w:jc w:val="left"/>
              <w:outlineLvl w:val="1"/>
              <w:rPr>
                <w:rFonts w:hint="eastAsia" w:ascii="宋体" w:hAnsi="宋体" w:eastAsia="宋体" w:cs="宋体"/>
                <w:b/>
                <w:bCs/>
                <w:color w:val="auto"/>
                <w:kern w:val="0"/>
                <w:sz w:val="24"/>
              </w:rPr>
            </w:pPr>
            <w:r>
              <w:rPr>
                <w:rFonts w:hint="eastAsia" w:ascii="宋体" w:hAnsi="宋体" w:eastAsia="宋体" w:cs="宋体"/>
                <w:b/>
                <w:bCs/>
                <w:color w:val="auto"/>
                <w:kern w:val="0"/>
                <w:sz w:val="24"/>
              </w:rPr>
              <w:t>（1）平面布置</w:t>
            </w:r>
          </w:p>
          <w:p>
            <w:pPr>
              <w:spacing w:line="360" w:lineRule="auto"/>
              <w:ind w:firstLine="480" w:firstLineChars="200"/>
              <w:jc w:val="left"/>
              <w:outlineLvl w:val="1"/>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en-US"/>
              </w:rPr>
              <w:t>场址分为3个片区，共设计54个方阵，共212.89002MWp(交流侧170MW)。本工程地形相对较复杂，为了最大限度经济利用地块，采用2×14规格固定支架。场区道路大部分利用原有机耕道路，部分路段扩宽原有道路，新建检修道路，检修道路从周边已建道路引接，穿插于各光伏发电，进站道路从新建道路引接，连接升压站站区内部道路；升压站布置在沙沟片区东侧路古么公路及老元勐线2#道路一侧。本项目新建场内道路由北侧方阵接入站内，进站坡度约4.3%，转弯半径为15m，站内道路采用郊区型路面。站址中部布置35kV成品预制仓和主变压器、事故油池、接地变及小电阻成套装置等；东侧布置110kV配电装置及出线构架、SVG设备等。整个场地采用碎石地坪（100mm厚碎石），一体化地埋消防水池顶采用植草地坪。站内道路宽4m，转弯半径9m，围绕主要电气设备区域呈环形布置，道路路面为混凝土路面，满足消防需求。110kV向东架空出线，35kV为全电缆出线。大门入口位于站区北侧，一体化消防水池和辅助用房布置在站内大门的西侧。</w:t>
            </w:r>
          </w:p>
          <w:p>
            <w:pPr>
              <w:spacing w:before="120" w:beforeLines="50" w:line="360" w:lineRule="auto"/>
              <w:ind w:firstLine="482" w:firstLineChars="200"/>
              <w:jc w:val="left"/>
              <w:outlineLvl w:val="1"/>
              <w:rPr>
                <w:rFonts w:hint="eastAsia" w:ascii="宋体" w:hAnsi="宋体" w:eastAsia="宋体" w:cs="宋体"/>
                <w:b/>
                <w:bCs/>
                <w:color w:val="auto"/>
                <w:kern w:val="0"/>
                <w:sz w:val="24"/>
              </w:rPr>
            </w:pPr>
            <w:r>
              <w:rPr>
                <w:rFonts w:hint="eastAsia" w:ascii="宋体" w:hAnsi="宋体" w:eastAsia="宋体" w:cs="宋体"/>
                <w:b/>
                <w:bCs/>
                <w:color w:val="auto"/>
                <w:kern w:val="0"/>
                <w:sz w:val="24"/>
              </w:rPr>
              <w:t>（2）竖向布置</w:t>
            </w:r>
          </w:p>
          <w:p>
            <w:pPr>
              <w:spacing w:line="360" w:lineRule="auto"/>
              <w:ind w:firstLine="480" w:firstLineChars="200"/>
              <w:jc w:val="left"/>
              <w:outlineLvl w:val="1"/>
              <w:rPr>
                <w:rFonts w:hint="eastAsia" w:ascii="Times New Roman" w:hAnsi="Times New Roman" w:eastAsia="宋体" w:cs="Times New Roman"/>
                <w:color w:val="auto"/>
                <w:sz w:val="24"/>
                <w:lang w:eastAsia="en-US"/>
              </w:rPr>
            </w:pPr>
            <w:r>
              <w:rPr>
                <w:rFonts w:hint="eastAsia" w:ascii="Times New Roman" w:hAnsi="Times New Roman" w:eastAsia="宋体" w:cs="Times New Roman"/>
                <w:color w:val="auto"/>
                <w:sz w:val="24"/>
                <w:lang w:eastAsia="en-US"/>
              </w:rPr>
              <w:t>项目区场区内海拔高程在1250～1839m之间，最大相对高差约580m左右；本工程场地条件简单，山顶处地势平缓，南向坡及东南向坡坡面连续，对太阳电池组件的布置无较大影响，太阳电池方阵区对场地不做平整，竖向主要采用自然地形高程，不进行分台竖向布置。</w:t>
            </w:r>
          </w:p>
          <w:p>
            <w:pPr>
              <w:spacing w:line="360" w:lineRule="auto"/>
              <w:ind w:firstLine="480" w:firstLineChars="200"/>
              <w:jc w:val="left"/>
              <w:outlineLvl w:val="1"/>
              <w:rPr>
                <w:rFonts w:hint="eastAsia" w:ascii="Times New Roman" w:hAnsi="Times New Roman" w:eastAsia="宋体" w:cs="Times New Roman"/>
                <w:color w:val="auto"/>
                <w:sz w:val="24"/>
                <w:lang w:eastAsia="en-US"/>
              </w:rPr>
            </w:pPr>
            <w:r>
              <w:rPr>
                <w:rFonts w:hint="eastAsia" w:ascii="Times New Roman" w:hAnsi="Times New Roman" w:eastAsia="宋体" w:cs="Times New Roman"/>
                <w:color w:val="auto"/>
                <w:sz w:val="24"/>
                <w:lang w:eastAsia="en-US"/>
              </w:rPr>
              <w:t>本工程升压站选址自然地面高程在1183～1216m之间，周边开阔、无遮挡。站址整体呈西北高、东南低地势，坡度较陡，东南角处较平。场地平整采用半挖半填的方式，场址内最大开挖深度为4m，最大回填边坡高度约为2m。场平后挖、填方区边坡脚采用挡墙拦挡，边坡采用浆砌石护坡。根据站址的站内外衔接、建构筑物布置特点，设计场地采用平坡式布置，主要建构筑物室内外设计高差0.3m。设计场地坡度1%，采用重力式浆砌毛石挡墙对挖、填方区进行支护处理。</w:t>
            </w:r>
          </w:p>
          <w:p>
            <w:pPr>
              <w:spacing w:line="360" w:lineRule="auto"/>
              <w:ind w:firstLine="480" w:firstLineChars="200"/>
              <w:jc w:val="left"/>
              <w:outlineLvl w:val="1"/>
              <w:rPr>
                <w:rFonts w:hint="eastAsia" w:ascii="Times New Roman" w:hAnsi="Times New Roman" w:eastAsia="宋体" w:cs="Times New Roman"/>
                <w:color w:val="auto"/>
                <w:sz w:val="24"/>
                <w:lang w:eastAsia="en-US"/>
              </w:rPr>
            </w:pPr>
            <w:r>
              <w:rPr>
                <w:rFonts w:hint="eastAsia" w:ascii="Times New Roman" w:hAnsi="Times New Roman" w:eastAsia="宋体" w:cs="Times New Roman"/>
                <w:color w:val="auto"/>
                <w:sz w:val="24"/>
                <w:lang w:eastAsia="en-US"/>
              </w:rPr>
              <w:t>场区光伏方阵通过围墙与周边过渡，场区道路通过开挖放坡与周边过渡，升压站通过拦挡和护坡与周边过渡，各区域道路排水沟最终排入周边沟箐或接至周边道路排水沟。</w:t>
            </w:r>
          </w:p>
          <w:p>
            <w:pPr>
              <w:spacing w:line="360" w:lineRule="auto"/>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2.</w:t>
            </w:r>
            <w:r>
              <w:rPr>
                <w:rFonts w:hint="eastAsia" w:cs="Times New Roman"/>
                <w:b/>
                <w:bCs/>
                <w:color w:val="auto"/>
                <w:kern w:val="0"/>
                <w:sz w:val="24"/>
                <w:lang w:val="en-US" w:eastAsia="zh-CN"/>
              </w:rPr>
              <w:t>6</w:t>
            </w:r>
            <w:r>
              <w:rPr>
                <w:rFonts w:hint="eastAsia" w:ascii="Times New Roman" w:hAnsi="Times New Roman" w:eastAsia="宋体" w:cs="Times New Roman"/>
                <w:b/>
                <w:bCs/>
                <w:color w:val="auto"/>
                <w:kern w:val="0"/>
                <w:sz w:val="24"/>
              </w:rPr>
              <w:t xml:space="preserve">.2 </w:t>
            </w:r>
            <w:r>
              <w:rPr>
                <w:rFonts w:hint="eastAsia" w:ascii="Times New Roman" w:hAnsi="Times New Roman" w:eastAsia="宋体" w:cs="Times New Roman"/>
                <w:b/>
                <w:bCs/>
                <w:color w:val="auto"/>
                <w:kern w:val="0"/>
                <w:sz w:val="24"/>
                <w:lang w:val="en-US" w:eastAsia="zh-CN"/>
              </w:rPr>
              <w:t>11</w:t>
            </w:r>
            <w:r>
              <w:rPr>
                <w:rFonts w:hint="eastAsia" w:ascii="Times New Roman" w:hAnsi="Times New Roman" w:eastAsia="宋体" w:cs="Times New Roman"/>
                <w:b/>
                <w:bCs/>
                <w:color w:val="auto"/>
                <w:kern w:val="0"/>
                <w:sz w:val="24"/>
              </w:rPr>
              <w:t>0kV升压站</w:t>
            </w:r>
          </w:p>
          <w:p>
            <w:pPr>
              <w:spacing w:before="120" w:beforeLines="50" w:line="360" w:lineRule="auto"/>
              <w:ind w:firstLine="482" w:firstLineChars="200"/>
              <w:jc w:val="left"/>
              <w:outlineLvl w:val="1"/>
              <w:rPr>
                <w:rFonts w:hint="eastAsia" w:ascii="宋体" w:hAnsi="宋体" w:eastAsia="宋体" w:cs="宋体"/>
                <w:b/>
                <w:bCs/>
                <w:color w:val="auto"/>
                <w:kern w:val="0"/>
                <w:sz w:val="24"/>
              </w:rPr>
            </w:pPr>
            <w:r>
              <w:rPr>
                <w:rFonts w:hint="eastAsia" w:ascii="宋体" w:hAnsi="宋体" w:eastAsia="宋体" w:cs="宋体"/>
                <w:b/>
                <w:bCs/>
                <w:color w:val="auto"/>
                <w:kern w:val="0"/>
                <w:sz w:val="24"/>
              </w:rPr>
              <w:t>（1）平面布置</w:t>
            </w:r>
          </w:p>
          <w:p>
            <w:pPr>
              <w:adjustRightInd w:val="0"/>
              <w:snapToGrid w:val="0"/>
              <w:spacing w:line="360" w:lineRule="auto"/>
              <w:ind w:firstLine="480" w:firstLineChars="200"/>
              <w:rPr>
                <w:rFonts w:ascii="Times New Roman" w:hAnsi="Times New Roman" w:eastAsia="宋体" w:cs="Times New Roman"/>
                <w:color w:val="auto"/>
                <w:sz w:val="24"/>
                <w:lang w:val="en-US" w:eastAsia="zh-CN"/>
              </w:rPr>
            </w:pPr>
            <w:r>
              <w:rPr>
                <w:rFonts w:ascii="Times New Roman" w:hAnsi="Times New Roman" w:eastAsia="宋体" w:cs="Times New Roman"/>
                <w:color w:val="auto"/>
                <w:sz w:val="24"/>
                <w:lang w:val="en-US" w:eastAsia="zh-CN"/>
              </w:rPr>
              <w:t>本项目升压站布设于</w:t>
            </w:r>
            <w:r>
              <w:rPr>
                <w:rFonts w:hint="eastAsia" w:ascii="Times New Roman" w:hAnsi="Times New Roman" w:eastAsia="宋体" w:cs="Times New Roman"/>
                <w:color w:val="auto"/>
                <w:sz w:val="24"/>
                <w:lang w:val="en-US" w:eastAsia="zh-CN"/>
              </w:rPr>
              <w:t>沙沟</w:t>
            </w:r>
            <w:r>
              <w:rPr>
                <w:rFonts w:ascii="Times New Roman" w:hAnsi="Times New Roman" w:eastAsia="宋体" w:cs="Times New Roman"/>
                <w:color w:val="auto"/>
                <w:sz w:val="24"/>
                <w:lang w:val="en-US" w:eastAsia="zh-CN"/>
              </w:rPr>
              <w:t>片区东部。</w:t>
            </w:r>
            <w:r>
              <w:rPr>
                <w:rFonts w:hint="eastAsia" w:ascii="Times New Roman" w:hAnsi="Times New Roman" w:eastAsia="宋体" w:cs="Times New Roman"/>
                <w:color w:val="auto"/>
                <w:sz w:val="24"/>
                <w:lang w:val="en-US" w:eastAsia="zh-CN"/>
              </w:rPr>
              <w:t>站址总平面北偏东20度布置，整个110kV升压站站区均为生产区。站址西侧布置储能装置，中部布置35kV成品预制仓和主变压器、事故油池、接地变及小电阻成套装置等；东侧布置110kV配电装置及出线构架、SVG设备等，并预留远期滤波装置场地。整个场地采用碎石地坪（100mm厚碎石），辅助用房前坪采用水泥硬化地坪。站内道路宽4m，转弯半径9m，围绕主要电气设备区域呈环形布置，道路路面为混凝土路面，满足消防需求。110kV向东架空出线，35kV为全电缆出线。围墙尺寸东西向104.3m，南北向54.0m，围墙内占地0.56322hm²。大门入口位于站区西侧，一体化消防水池和辅助用房布置在站内大门的北侧。进站道路从西面引进，进站坡度约8%，转弯半径为15m，站内道路采用郊区型路面。</w:t>
            </w:r>
          </w:p>
          <w:p>
            <w:pPr>
              <w:spacing w:before="120" w:beforeLines="50" w:line="360" w:lineRule="auto"/>
              <w:ind w:firstLine="482" w:firstLineChars="200"/>
              <w:jc w:val="left"/>
              <w:outlineLvl w:val="1"/>
              <w:rPr>
                <w:rFonts w:hint="eastAsia" w:ascii="宋体" w:hAnsi="宋体" w:eastAsia="宋体" w:cs="宋体"/>
                <w:b/>
                <w:bCs/>
                <w:color w:val="auto"/>
                <w:kern w:val="0"/>
                <w:sz w:val="24"/>
              </w:rPr>
            </w:pPr>
            <w:r>
              <w:rPr>
                <w:rFonts w:hint="eastAsia" w:ascii="宋体" w:hAnsi="宋体" w:eastAsia="宋体" w:cs="宋体"/>
                <w:b/>
                <w:bCs/>
                <w:color w:val="auto"/>
                <w:kern w:val="0"/>
                <w:sz w:val="24"/>
              </w:rPr>
              <w:t>（2）竖向布置</w:t>
            </w:r>
          </w:p>
          <w:p>
            <w:pPr>
              <w:adjustRightInd w:val="0"/>
              <w:snapToGrid w:val="0"/>
              <w:spacing w:line="360" w:lineRule="auto"/>
              <w:ind w:firstLine="480" w:firstLineChars="200"/>
              <w:rPr>
                <w:rFonts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升压站四周设置2.3m高的砖砌围墙，围墙外1.5m处开始设置边坡。站址挖方区土质边坡按1:1.25放坡,每5m高设一宽1.5m的马道，挖方区岩层边坡按1：1放坡,首级按8m高设一宽1.5m的马道，第二级按5m高设一宽1.5m的马道。填方区首级边坡按1:1.75坡率放坡,5m高设一宽1.5m的马道，超过5米的填方边坡，第二级开始在坡脚设置1：0.5加筋土处理护坡。挖方区岩质边坡采用PM-S护坡，填方区采用混凝土骨架植草护坡。挖方区边坡坡底均设置0.4mx0.4m的排水沟，站址西侧挖方区边坡顶设置有0.4mx0.4m截水沟，并附加盖板，防止雨水汇集至升压站；截洪沟将布置至光伏区用地红线外，避免所截雨水冲刷光伏区组件。</w:t>
            </w:r>
          </w:p>
          <w:p>
            <w:pPr>
              <w:keepNext w:val="0"/>
              <w:keepLines w:val="0"/>
              <w:widowControl/>
              <w:suppressLineNumbers w:val="0"/>
              <w:jc w:val="left"/>
              <w:rPr>
                <w:rFonts w:hint="default" w:ascii="Times New Roman" w:hAnsi="Times New Roman" w:eastAsia="宋体" w:cs="Times New Roman"/>
                <w:color w:val="auto"/>
                <w:lang w:val="en-US"/>
              </w:rPr>
            </w:pPr>
            <w:r>
              <w:rPr>
                <w:rFonts w:ascii="仿宋_GB2312" w:hAnsi="仿宋_GB2312" w:eastAsia="仿宋_GB2312" w:cs="仿宋_GB2312"/>
                <w:color w:val="auto"/>
                <w:kern w:val="0"/>
                <w:sz w:val="24"/>
                <w:szCs w:val="24"/>
                <w:lang w:val="en-US" w:eastAsia="zh-CN" w:bidi="ar"/>
              </w:rPr>
              <w:t>升压站特性见表</w:t>
            </w:r>
            <w:r>
              <w:rPr>
                <w:rFonts w:hint="eastAsia" w:ascii="仿宋_GB2312" w:hAnsi="仿宋_GB2312" w:eastAsia="仿宋_GB2312" w:cs="仿宋_GB2312"/>
                <w:color w:val="auto"/>
                <w:kern w:val="0"/>
                <w:sz w:val="24"/>
                <w:szCs w:val="24"/>
                <w:lang w:val="en-US" w:eastAsia="zh-CN" w:bidi="ar"/>
              </w:rPr>
              <w:t>2.6-1</w:t>
            </w:r>
          </w:p>
          <w:p>
            <w:pPr>
              <w:adjustRightInd w:val="0"/>
              <w:snapToGrid w:val="0"/>
              <w:spacing w:line="240" w:lineRule="auto"/>
              <w:jc w:val="center"/>
              <w:rPr>
                <w:rFonts w:hint="eastAsia" w:ascii="Times New Roman" w:hAnsi="Times New Roman" w:eastAsia="宋体" w:cs="Times New Roman"/>
                <w:b/>
                <w:bCs/>
                <w:color w:val="auto"/>
                <w:szCs w:val="28"/>
                <w:lang w:val="en-US" w:eastAsia="zh-CN"/>
              </w:rPr>
            </w:pPr>
            <w:r>
              <w:rPr>
                <w:rFonts w:hint="eastAsia" w:ascii="Times New Roman" w:hAnsi="Times New Roman" w:eastAsia="宋体" w:cs="Times New Roman"/>
                <w:b/>
                <w:bCs/>
                <w:color w:val="auto"/>
                <w:szCs w:val="28"/>
                <w:lang w:val="en-US" w:eastAsia="zh-CN"/>
              </w:rPr>
              <w:t>表2.6-1  升压站特性表</w:t>
            </w:r>
          </w:p>
          <w:tbl>
            <w:tblPr>
              <w:tblStyle w:val="32"/>
              <w:tblW w:w="4998" w:type="pct"/>
              <w:jc w:val="center"/>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autofit"/>
              <w:tblCellMar>
                <w:top w:w="0" w:type="dxa"/>
                <w:left w:w="0" w:type="dxa"/>
                <w:bottom w:w="0" w:type="dxa"/>
                <w:right w:w="0" w:type="dxa"/>
              </w:tblCellMar>
            </w:tblPr>
            <w:tblGrid>
              <w:gridCol w:w="590"/>
              <w:gridCol w:w="2243"/>
              <w:gridCol w:w="577"/>
              <w:gridCol w:w="1001"/>
              <w:gridCol w:w="4231"/>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91" w:hRule="atLeast"/>
                <w:jc w:val="center"/>
              </w:trPr>
              <w:tc>
                <w:tcPr>
                  <w:tcW w:w="341" w:type="pct"/>
                  <w:vMerge w:val="restart"/>
                  <w:tcBorders>
                    <w:right w:val="single" w:color="000000" w:sz="2" w:space="0"/>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pacing w:val="2"/>
                      <w:sz w:val="21"/>
                    </w:rPr>
                  </w:pPr>
                  <w:r>
                    <w:rPr>
                      <w:rFonts w:ascii="Times New Roman" w:hAnsi="Times New Roman" w:eastAsia="宋体"/>
                      <w:color w:val="auto"/>
                      <w:spacing w:val="2"/>
                      <w:sz w:val="21"/>
                    </w:rPr>
                    <w:t>序</w:t>
                  </w:r>
                </w:p>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olor w:val="auto"/>
                      <w:sz w:val="21"/>
                    </w:rPr>
                    <w:t>号</w:t>
                  </w:r>
                </w:p>
              </w:tc>
              <w:tc>
                <w:tcPr>
                  <w:tcW w:w="1297" w:type="pct"/>
                  <w:vMerge w:val="restart"/>
                  <w:tcBorders>
                    <w:left w:val="single" w:color="000000" w:sz="2" w:space="0"/>
                    <w:right w:val="single" w:color="000000" w:sz="2" w:space="0"/>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6"/>
                      <w:sz w:val="21"/>
                    </w:rPr>
                    <w:t>工程名称</w:t>
                  </w:r>
                </w:p>
              </w:tc>
              <w:tc>
                <w:tcPr>
                  <w:tcW w:w="3360" w:type="pct"/>
                  <w:gridSpan w:val="3"/>
                  <w:tcBorders>
                    <w:left w:val="single" w:color="000000" w:sz="2" w:space="0"/>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3"/>
                      <w:sz w:val="21"/>
                    </w:rPr>
                    <w:t>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jc w:val="center"/>
              </w:trPr>
              <w:tc>
                <w:tcPr>
                  <w:tcW w:w="341" w:type="pct"/>
                  <w:vMerge w:val="continue"/>
                  <w:tcBorders>
                    <w:right w:val="single" w:color="000000" w:sz="2" w:space="0"/>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p>
              </w:tc>
              <w:tc>
                <w:tcPr>
                  <w:tcW w:w="1297" w:type="pct"/>
                  <w:vMerge w:val="continue"/>
                  <w:tcBorders>
                    <w:left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rPr>
                  </w:pPr>
                </w:p>
              </w:tc>
              <w:tc>
                <w:tcPr>
                  <w:tcW w:w="334" w:type="pct"/>
                  <w:tcBorders>
                    <w:top w:val="single" w:color="000000" w:sz="10" w:space="0"/>
                  </w:tcBorders>
                  <w:textDirection w:val="tbRlV"/>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7"/>
                      <w:sz w:val="21"/>
                    </w:rPr>
                    <w:t>单</w:t>
                  </w:r>
                  <w:r>
                    <w:rPr>
                      <w:rFonts w:ascii="Times New Roman" w:hAnsi="Times New Roman" w:eastAsia="宋体"/>
                      <w:color w:val="auto"/>
                      <w:spacing w:val="-36"/>
                      <w:sz w:val="21"/>
                    </w:rPr>
                    <w:t xml:space="preserve"> </w:t>
                  </w:r>
                  <w:r>
                    <w:rPr>
                      <w:rFonts w:ascii="Times New Roman" w:hAnsi="Times New Roman" w:eastAsia="宋体"/>
                      <w:color w:val="auto"/>
                      <w:spacing w:val="7"/>
                      <w:sz w:val="21"/>
                    </w:rPr>
                    <w:t>位</w:t>
                  </w:r>
                </w:p>
              </w:tc>
              <w:tc>
                <w:tcPr>
                  <w:tcW w:w="579" w:type="pct"/>
                  <w:tcBorders>
                    <w:top w:val="single" w:color="000000" w:sz="10" w:space="0"/>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3"/>
                      <w:sz w:val="21"/>
                    </w:rPr>
                    <w:t>面积</w:t>
                  </w:r>
                  <w:r>
                    <w:rPr>
                      <w:rFonts w:ascii="Times New Roman" w:hAnsi="Times New Roman" w:eastAsia="宋体" w:cs="Times New Roman"/>
                      <w:color w:val="auto"/>
                      <w:spacing w:val="3"/>
                      <w:sz w:val="21"/>
                    </w:rPr>
                    <w:t>/</w:t>
                  </w:r>
                  <w:r>
                    <w:rPr>
                      <w:rFonts w:ascii="Times New Roman" w:hAnsi="Times New Roman" w:eastAsia="宋体"/>
                      <w:color w:val="auto"/>
                      <w:spacing w:val="3"/>
                      <w:sz w:val="21"/>
                    </w:rPr>
                    <w:t>数</w:t>
                  </w:r>
                  <w:r>
                    <w:rPr>
                      <w:rFonts w:ascii="Times New Roman" w:hAnsi="Times New Roman" w:eastAsia="宋体"/>
                      <w:color w:val="auto"/>
                      <w:sz w:val="21"/>
                    </w:rPr>
                    <w:t xml:space="preserve"> 量</w:t>
                  </w:r>
                </w:p>
              </w:tc>
              <w:tc>
                <w:tcPr>
                  <w:tcW w:w="2446" w:type="pct"/>
                  <w:tcBorders>
                    <w:top w:val="single" w:color="000000" w:sz="10" w:space="0"/>
                    <w:right w:val="single" w:color="000000" w:sz="10" w:space="0"/>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3"/>
                      <w:sz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jc w:val="center"/>
              </w:trPr>
              <w:tc>
                <w:tcPr>
                  <w:tcW w:w="341" w:type="pct"/>
                  <w:tcBorders>
                    <w:left w:val="single" w:color="000000" w:sz="10"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z w:val="21"/>
                      <w:szCs w:val="20"/>
                    </w:rPr>
                    <w:t>1</w:t>
                  </w:r>
                </w:p>
              </w:tc>
              <w:tc>
                <w:tcPr>
                  <w:tcW w:w="1297"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7"/>
                      <w:sz w:val="21"/>
                    </w:rPr>
                    <w:t>站址总用地面积</w:t>
                  </w:r>
                </w:p>
              </w:tc>
              <w:tc>
                <w:tcPr>
                  <w:tcW w:w="3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pacing w:val="5"/>
                      <w:sz w:val="21"/>
                      <w:szCs w:val="20"/>
                    </w:rPr>
                    <w:t>m</w:t>
                  </w:r>
                  <w:r>
                    <w:rPr>
                      <w:rFonts w:ascii="Times New Roman" w:hAnsi="Times New Roman" w:eastAsia="宋体" w:cs="Times New Roman"/>
                      <w:color w:val="auto"/>
                      <w:spacing w:val="5"/>
                      <w:sz w:val="21"/>
                      <w:szCs w:val="20"/>
                      <w:vertAlign w:val="superscript"/>
                    </w:rPr>
                    <w:t>2</w:t>
                  </w:r>
                </w:p>
              </w:tc>
              <w:tc>
                <w:tcPr>
                  <w:tcW w:w="57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pacing w:val="3"/>
                      <w:sz w:val="21"/>
                      <w:szCs w:val="20"/>
                    </w:rPr>
                    <w:t>0.8341</w:t>
                  </w:r>
                </w:p>
              </w:tc>
              <w:tc>
                <w:tcPr>
                  <w:tcW w:w="2446" w:type="pct"/>
                  <w:tcBorders>
                    <w:right w:val="single" w:color="000000" w:sz="10"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jc w:val="center"/>
              </w:trPr>
              <w:tc>
                <w:tcPr>
                  <w:tcW w:w="341" w:type="pct"/>
                  <w:tcBorders>
                    <w:left w:val="single" w:color="000000" w:sz="10"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z w:val="21"/>
                      <w:szCs w:val="20"/>
                    </w:rPr>
                    <w:t>2</w:t>
                  </w:r>
                </w:p>
              </w:tc>
              <w:tc>
                <w:tcPr>
                  <w:tcW w:w="1297"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7"/>
                      <w:sz w:val="21"/>
                    </w:rPr>
                    <w:t>建筑面积</w:t>
                  </w:r>
                </w:p>
              </w:tc>
              <w:tc>
                <w:tcPr>
                  <w:tcW w:w="3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pacing w:val="5"/>
                      <w:sz w:val="21"/>
                      <w:szCs w:val="20"/>
                    </w:rPr>
                    <w:t>m</w:t>
                  </w:r>
                  <w:r>
                    <w:rPr>
                      <w:rFonts w:ascii="Times New Roman" w:hAnsi="Times New Roman" w:eastAsia="宋体" w:cs="Times New Roman"/>
                      <w:color w:val="auto"/>
                      <w:spacing w:val="5"/>
                      <w:sz w:val="21"/>
                      <w:szCs w:val="20"/>
                      <w:vertAlign w:val="superscript"/>
                    </w:rPr>
                    <w:t>2</w:t>
                  </w:r>
                </w:p>
              </w:tc>
              <w:tc>
                <w:tcPr>
                  <w:tcW w:w="57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rPr>
                  </w:pPr>
                </w:p>
              </w:tc>
              <w:tc>
                <w:tcPr>
                  <w:tcW w:w="2446" w:type="pct"/>
                  <w:tcBorders>
                    <w:right w:val="single" w:color="000000" w:sz="10"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jc w:val="center"/>
              </w:trPr>
              <w:tc>
                <w:tcPr>
                  <w:tcW w:w="341" w:type="pct"/>
                  <w:tcBorders>
                    <w:left w:val="single" w:color="000000" w:sz="10"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pacing w:val="1"/>
                      <w:sz w:val="21"/>
                      <w:szCs w:val="20"/>
                    </w:rPr>
                    <w:t>2.1</w:t>
                  </w:r>
                </w:p>
              </w:tc>
              <w:tc>
                <w:tcPr>
                  <w:tcW w:w="1297"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6"/>
                      <w:sz w:val="21"/>
                    </w:rPr>
                    <w:t>辅助用房</w:t>
                  </w:r>
                </w:p>
              </w:tc>
              <w:tc>
                <w:tcPr>
                  <w:tcW w:w="3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pacing w:val="5"/>
                      <w:sz w:val="21"/>
                      <w:szCs w:val="20"/>
                    </w:rPr>
                    <w:t>m</w:t>
                  </w:r>
                  <w:r>
                    <w:rPr>
                      <w:rFonts w:ascii="Times New Roman" w:hAnsi="Times New Roman" w:eastAsia="宋体" w:cs="Times New Roman"/>
                      <w:color w:val="auto"/>
                      <w:spacing w:val="5"/>
                      <w:sz w:val="21"/>
                      <w:szCs w:val="20"/>
                      <w:vertAlign w:val="superscript"/>
                    </w:rPr>
                    <w:t>2</w:t>
                  </w:r>
                </w:p>
              </w:tc>
              <w:tc>
                <w:tcPr>
                  <w:tcW w:w="57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z w:val="21"/>
                      <w:szCs w:val="20"/>
                    </w:rPr>
                    <w:t>108.16</w:t>
                  </w:r>
                </w:p>
              </w:tc>
              <w:tc>
                <w:tcPr>
                  <w:tcW w:w="2446" w:type="pct"/>
                  <w:tcBorders>
                    <w:right w:val="single" w:color="000000" w:sz="10" w:space="0"/>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9"/>
                      <w:sz w:val="21"/>
                    </w:rPr>
                    <w:t>单层框架结构，含辅助用房、休息室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jc w:val="center"/>
              </w:trPr>
              <w:tc>
                <w:tcPr>
                  <w:tcW w:w="341" w:type="pct"/>
                  <w:tcBorders>
                    <w:left w:val="single" w:color="000000" w:sz="10"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pacing w:val="2"/>
                      <w:sz w:val="21"/>
                      <w:szCs w:val="20"/>
                    </w:rPr>
                    <w:t>2.2</w:t>
                  </w:r>
                </w:p>
              </w:tc>
              <w:tc>
                <w:tcPr>
                  <w:tcW w:w="1297"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s="Times New Roman"/>
                      <w:color w:val="auto"/>
                      <w:spacing w:val="6"/>
                      <w:sz w:val="21"/>
                    </w:rPr>
                    <w:t>35</w:t>
                  </w:r>
                  <w:r>
                    <w:rPr>
                      <w:rFonts w:ascii="Times New Roman" w:hAnsi="Times New Roman" w:eastAsia="宋体" w:cs="Times New Roman"/>
                      <w:color w:val="auto"/>
                      <w:sz w:val="21"/>
                    </w:rPr>
                    <w:t>kV</w:t>
                  </w:r>
                  <w:r>
                    <w:rPr>
                      <w:rFonts w:ascii="Times New Roman" w:hAnsi="Times New Roman" w:eastAsia="宋体" w:cs="Times New Roman"/>
                      <w:color w:val="auto"/>
                      <w:spacing w:val="6"/>
                      <w:sz w:val="21"/>
                    </w:rPr>
                    <w:t xml:space="preserve"> </w:t>
                  </w:r>
                  <w:r>
                    <w:rPr>
                      <w:rFonts w:ascii="Times New Roman" w:hAnsi="Times New Roman" w:eastAsia="宋体"/>
                      <w:color w:val="auto"/>
                      <w:spacing w:val="6"/>
                      <w:sz w:val="21"/>
                    </w:rPr>
                    <w:t>成品预制舱</w:t>
                  </w:r>
                </w:p>
              </w:tc>
              <w:tc>
                <w:tcPr>
                  <w:tcW w:w="3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pacing w:val="5"/>
                      <w:sz w:val="21"/>
                      <w:szCs w:val="20"/>
                    </w:rPr>
                    <w:t>m</w:t>
                  </w:r>
                  <w:r>
                    <w:rPr>
                      <w:rFonts w:ascii="Times New Roman" w:hAnsi="Times New Roman" w:eastAsia="宋体" w:cs="Times New Roman"/>
                      <w:color w:val="auto"/>
                      <w:spacing w:val="5"/>
                      <w:sz w:val="21"/>
                      <w:szCs w:val="20"/>
                      <w:vertAlign w:val="superscript"/>
                    </w:rPr>
                    <w:t>2</w:t>
                  </w:r>
                </w:p>
              </w:tc>
              <w:tc>
                <w:tcPr>
                  <w:tcW w:w="57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pacing w:val="3"/>
                      <w:sz w:val="21"/>
                      <w:szCs w:val="20"/>
                    </w:rPr>
                    <w:t>234</w:t>
                  </w:r>
                </w:p>
              </w:tc>
              <w:tc>
                <w:tcPr>
                  <w:tcW w:w="2446" w:type="pct"/>
                  <w:tcBorders>
                    <w:right w:val="single" w:color="000000" w:sz="10" w:space="0"/>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3"/>
                      <w:sz w:val="21"/>
                    </w:rPr>
                    <w:t>含</w:t>
                  </w:r>
                  <w:r>
                    <w:rPr>
                      <w:rFonts w:ascii="Times New Roman" w:hAnsi="Times New Roman" w:eastAsia="宋体"/>
                      <w:color w:val="auto"/>
                      <w:spacing w:val="-23"/>
                      <w:sz w:val="21"/>
                    </w:rPr>
                    <w:t xml:space="preserve"> </w:t>
                  </w:r>
                  <w:r>
                    <w:rPr>
                      <w:rFonts w:ascii="Times New Roman" w:hAnsi="Times New Roman" w:eastAsia="宋体" w:cs="Times New Roman"/>
                      <w:color w:val="auto"/>
                      <w:spacing w:val="3"/>
                      <w:sz w:val="21"/>
                    </w:rPr>
                    <w:t>1#</w:t>
                  </w:r>
                  <w:r>
                    <w:rPr>
                      <w:rFonts w:ascii="Times New Roman" w:hAnsi="Times New Roman" w:eastAsia="宋体"/>
                      <w:color w:val="auto"/>
                      <w:spacing w:val="3"/>
                      <w:sz w:val="21"/>
                    </w:rPr>
                    <w:t>站用变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jc w:val="center"/>
              </w:trPr>
              <w:tc>
                <w:tcPr>
                  <w:tcW w:w="341" w:type="pct"/>
                  <w:tcBorders>
                    <w:left w:val="single" w:color="000000" w:sz="10"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pacing w:val="2"/>
                      <w:sz w:val="21"/>
                      <w:szCs w:val="20"/>
                    </w:rPr>
                    <w:t>2.3</w:t>
                  </w:r>
                </w:p>
              </w:tc>
              <w:tc>
                <w:tcPr>
                  <w:tcW w:w="1297"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6"/>
                      <w:sz w:val="21"/>
                    </w:rPr>
                    <w:t>主变及油池</w:t>
                  </w:r>
                </w:p>
              </w:tc>
              <w:tc>
                <w:tcPr>
                  <w:tcW w:w="3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pacing w:val="5"/>
                      <w:sz w:val="21"/>
                      <w:szCs w:val="20"/>
                    </w:rPr>
                    <w:t>m</w:t>
                  </w:r>
                  <w:r>
                    <w:rPr>
                      <w:rFonts w:ascii="Times New Roman" w:hAnsi="Times New Roman" w:eastAsia="宋体" w:cs="Times New Roman"/>
                      <w:color w:val="auto"/>
                      <w:spacing w:val="5"/>
                      <w:sz w:val="21"/>
                      <w:szCs w:val="20"/>
                      <w:vertAlign w:val="superscript"/>
                    </w:rPr>
                    <w:t>2</w:t>
                  </w:r>
                </w:p>
              </w:tc>
              <w:tc>
                <w:tcPr>
                  <w:tcW w:w="57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pacing w:val="2"/>
                      <w:sz w:val="21"/>
                      <w:szCs w:val="20"/>
                    </w:rPr>
                    <w:t>380</w:t>
                  </w:r>
                </w:p>
              </w:tc>
              <w:tc>
                <w:tcPr>
                  <w:tcW w:w="2446" w:type="pct"/>
                  <w:tcBorders>
                    <w:right w:val="single" w:color="000000" w:sz="10"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jc w:val="center"/>
              </w:trPr>
              <w:tc>
                <w:tcPr>
                  <w:tcW w:w="341" w:type="pct"/>
                  <w:tcBorders>
                    <w:left w:val="single" w:color="000000" w:sz="10"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pacing w:val="2"/>
                      <w:sz w:val="21"/>
                      <w:szCs w:val="20"/>
                    </w:rPr>
                    <w:t>2.4</w:t>
                  </w:r>
                </w:p>
              </w:tc>
              <w:tc>
                <w:tcPr>
                  <w:tcW w:w="1297"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pacing w:val="1"/>
                      <w:sz w:val="21"/>
                      <w:szCs w:val="20"/>
                    </w:rPr>
                    <w:t>SVG</w:t>
                  </w:r>
                </w:p>
              </w:tc>
              <w:tc>
                <w:tcPr>
                  <w:tcW w:w="334"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4"/>
                      <w:sz w:val="21"/>
                    </w:rPr>
                    <w:t>座</w:t>
                  </w:r>
                </w:p>
              </w:tc>
              <w:tc>
                <w:tcPr>
                  <w:tcW w:w="57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z w:val="21"/>
                      <w:szCs w:val="20"/>
                    </w:rPr>
                    <w:t>1</w:t>
                  </w:r>
                </w:p>
              </w:tc>
              <w:tc>
                <w:tcPr>
                  <w:tcW w:w="2446" w:type="pct"/>
                  <w:tcBorders>
                    <w:right w:val="single" w:color="000000" w:sz="10"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jc w:val="center"/>
              </w:trPr>
              <w:tc>
                <w:tcPr>
                  <w:tcW w:w="341" w:type="pct"/>
                  <w:tcBorders>
                    <w:left w:val="single" w:color="000000" w:sz="10"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pacing w:val="2"/>
                      <w:sz w:val="21"/>
                      <w:szCs w:val="20"/>
                    </w:rPr>
                    <w:t>2.5</w:t>
                  </w:r>
                </w:p>
              </w:tc>
              <w:tc>
                <w:tcPr>
                  <w:tcW w:w="1297"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5"/>
                      <w:sz w:val="21"/>
                    </w:rPr>
                    <w:t>滤波装置</w:t>
                  </w:r>
                </w:p>
              </w:tc>
              <w:tc>
                <w:tcPr>
                  <w:tcW w:w="334"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4"/>
                      <w:sz w:val="21"/>
                    </w:rPr>
                    <w:t>座</w:t>
                  </w:r>
                </w:p>
              </w:tc>
              <w:tc>
                <w:tcPr>
                  <w:tcW w:w="57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z w:val="21"/>
                      <w:szCs w:val="20"/>
                    </w:rPr>
                    <w:t>2</w:t>
                  </w:r>
                </w:p>
              </w:tc>
              <w:tc>
                <w:tcPr>
                  <w:tcW w:w="2446" w:type="pct"/>
                  <w:tcBorders>
                    <w:right w:val="single" w:color="000000" w:sz="10"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jc w:val="center"/>
              </w:trPr>
              <w:tc>
                <w:tcPr>
                  <w:tcW w:w="341" w:type="pct"/>
                  <w:tcBorders>
                    <w:left w:val="single" w:color="000000" w:sz="10"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pacing w:val="2"/>
                      <w:sz w:val="21"/>
                      <w:szCs w:val="20"/>
                    </w:rPr>
                    <w:t>2.6</w:t>
                  </w:r>
                </w:p>
              </w:tc>
              <w:tc>
                <w:tcPr>
                  <w:tcW w:w="1297"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s="Times New Roman"/>
                      <w:color w:val="auto"/>
                      <w:spacing w:val="3"/>
                      <w:sz w:val="21"/>
                    </w:rPr>
                    <w:t>110</w:t>
                  </w:r>
                  <w:r>
                    <w:rPr>
                      <w:rFonts w:ascii="Times New Roman" w:hAnsi="Times New Roman" w:eastAsia="宋体" w:cs="Times New Roman"/>
                      <w:color w:val="auto"/>
                      <w:sz w:val="21"/>
                    </w:rPr>
                    <w:t>kV</w:t>
                  </w:r>
                  <w:r>
                    <w:rPr>
                      <w:rFonts w:ascii="Times New Roman" w:hAnsi="Times New Roman" w:eastAsia="宋体" w:cs="Times New Roman"/>
                      <w:color w:val="auto"/>
                      <w:spacing w:val="3"/>
                      <w:sz w:val="21"/>
                    </w:rPr>
                    <w:t xml:space="preserve"> </w:t>
                  </w:r>
                  <w:r>
                    <w:rPr>
                      <w:rFonts w:ascii="Times New Roman" w:hAnsi="Times New Roman" w:eastAsia="宋体"/>
                      <w:color w:val="auto"/>
                      <w:spacing w:val="3"/>
                      <w:sz w:val="21"/>
                    </w:rPr>
                    <w:t>配电装置</w:t>
                  </w:r>
                </w:p>
              </w:tc>
              <w:tc>
                <w:tcPr>
                  <w:tcW w:w="3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rPr>
                  </w:pPr>
                </w:p>
              </w:tc>
              <w:tc>
                <w:tcPr>
                  <w:tcW w:w="57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pacing w:val="4"/>
                      <w:sz w:val="21"/>
                      <w:szCs w:val="20"/>
                    </w:rPr>
                    <w:t>450</w:t>
                  </w:r>
                </w:p>
              </w:tc>
              <w:tc>
                <w:tcPr>
                  <w:tcW w:w="2446" w:type="pct"/>
                  <w:tcBorders>
                    <w:right w:val="single" w:color="000000" w:sz="10"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jc w:val="center"/>
              </w:trPr>
              <w:tc>
                <w:tcPr>
                  <w:tcW w:w="341" w:type="pct"/>
                  <w:tcBorders>
                    <w:left w:val="single" w:color="000000" w:sz="10"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pacing w:val="2"/>
                      <w:sz w:val="21"/>
                      <w:szCs w:val="20"/>
                    </w:rPr>
                    <w:t>2.7</w:t>
                  </w:r>
                </w:p>
              </w:tc>
              <w:tc>
                <w:tcPr>
                  <w:tcW w:w="1297"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5"/>
                      <w:sz w:val="21"/>
                    </w:rPr>
                    <w:t>事故油池</w:t>
                  </w:r>
                </w:p>
              </w:tc>
              <w:tc>
                <w:tcPr>
                  <w:tcW w:w="3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pacing w:val="5"/>
                      <w:sz w:val="21"/>
                      <w:szCs w:val="20"/>
                    </w:rPr>
                    <w:t>m</w:t>
                  </w:r>
                  <w:r>
                    <w:rPr>
                      <w:rFonts w:ascii="Times New Roman" w:hAnsi="Times New Roman" w:eastAsia="宋体" w:cs="Times New Roman"/>
                      <w:color w:val="auto"/>
                      <w:spacing w:val="5"/>
                      <w:sz w:val="21"/>
                      <w:szCs w:val="20"/>
                      <w:vertAlign w:val="superscript"/>
                    </w:rPr>
                    <w:t>2</w:t>
                  </w:r>
                </w:p>
              </w:tc>
              <w:tc>
                <w:tcPr>
                  <w:tcW w:w="57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pacing w:val="3"/>
                      <w:sz w:val="21"/>
                      <w:szCs w:val="20"/>
                    </w:rPr>
                    <w:t>32.25</w:t>
                  </w:r>
                </w:p>
              </w:tc>
              <w:tc>
                <w:tcPr>
                  <w:tcW w:w="2446" w:type="pct"/>
                  <w:tcBorders>
                    <w:right w:val="single" w:color="000000" w:sz="10"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jc w:val="center"/>
              </w:trPr>
              <w:tc>
                <w:tcPr>
                  <w:tcW w:w="341" w:type="pct"/>
                  <w:tcBorders>
                    <w:left w:val="single" w:color="000000" w:sz="10"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pacing w:val="2"/>
                      <w:sz w:val="21"/>
                      <w:szCs w:val="20"/>
                    </w:rPr>
                    <w:t>2.8</w:t>
                  </w:r>
                </w:p>
              </w:tc>
              <w:tc>
                <w:tcPr>
                  <w:tcW w:w="1297"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7"/>
                      <w:sz w:val="21"/>
                    </w:rPr>
                    <w:t>一体化消防水箱及泵房</w:t>
                  </w:r>
                </w:p>
              </w:tc>
              <w:tc>
                <w:tcPr>
                  <w:tcW w:w="3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pacing w:val="5"/>
                      <w:sz w:val="21"/>
                      <w:szCs w:val="20"/>
                    </w:rPr>
                    <w:t>m</w:t>
                  </w:r>
                  <w:r>
                    <w:rPr>
                      <w:rFonts w:ascii="Times New Roman" w:hAnsi="Times New Roman" w:eastAsia="宋体" w:cs="Times New Roman"/>
                      <w:color w:val="auto"/>
                      <w:spacing w:val="5"/>
                      <w:sz w:val="21"/>
                      <w:szCs w:val="20"/>
                      <w:vertAlign w:val="superscript"/>
                    </w:rPr>
                    <w:t>2</w:t>
                  </w:r>
                </w:p>
              </w:tc>
              <w:tc>
                <w:tcPr>
                  <w:tcW w:w="57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pacing w:val="-3"/>
                      <w:sz w:val="21"/>
                      <w:szCs w:val="20"/>
                    </w:rPr>
                    <w:t>162</w:t>
                  </w:r>
                </w:p>
              </w:tc>
              <w:tc>
                <w:tcPr>
                  <w:tcW w:w="2446" w:type="pct"/>
                  <w:tcBorders>
                    <w:right w:val="single" w:color="000000" w:sz="10"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jc w:val="center"/>
              </w:trPr>
              <w:tc>
                <w:tcPr>
                  <w:tcW w:w="341" w:type="pct"/>
                  <w:tcBorders>
                    <w:left w:val="single" w:color="000000" w:sz="10"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pacing w:val="2"/>
                      <w:sz w:val="21"/>
                      <w:szCs w:val="20"/>
                    </w:rPr>
                    <w:t>2.9</w:t>
                  </w:r>
                </w:p>
              </w:tc>
              <w:tc>
                <w:tcPr>
                  <w:tcW w:w="1297"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4"/>
                      <w:sz w:val="21"/>
                    </w:rPr>
                    <w:t>化粪池</w:t>
                  </w:r>
                </w:p>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4"/>
                      <w:sz w:val="21"/>
                    </w:rPr>
                    <w:t>（</w:t>
                  </w:r>
                  <w:r>
                    <w:rPr>
                      <w:rFonts w:ascii="Times New Roman" w:hAnsi="Times New Roman" w:eastAsia="宋体" w:cs="Times New Roman"/>
                      <w:color w:val="auto"/>
                      <w:spacing w:val="4"/>
                      <w:sz w:val="21"/>
                    </w:rPr>
                    <w:t>2.95x1.35x3.0</w:t>
                  </w:r>
                  <w:r>
                    <w:rPr>
                      <w:rFonts w:ascii="Times New Roman" w:hAnsi="Times New Roman" w:eastAsia="宋体"/>
                      <w:color w:val="auto"/>
                      <w:spacing w:val="4"/>
                      <w:sz w:val="21"/>
                    </w:rPr>
                    <w:t>）</w:t>
                  </w:r>
                </w:p>
              </w:tc>
              <w:tc>
                <w:tcPr>
                  <w:tcW w:w="334"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4"/>
                      <w:sz w:val="21"/>
                    </w:rPr>
                    <w:t>座</w:t>
                  </w:r>
                </w:p>
              </w:tc>
              <w:tc>
                <w:tcPr>
                  <w:tcW w:w="57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z w:val="21"/>
                      <w:szCs w:val="20"/>
                    </w:rPr>
                    <w:t>1</w:t>
                  </w:r>
                </w:p>
              </w:tc>
              <w:tc>
                <w:tcPr>
                  <w:tcW w:w="2446" w:type="pct"/>
                  <w:tcBorders>
                    <w:right w:val="single" w:color="000000" w:sz="10" w:space="0"/>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7"/>
                      <w:sz w:val="21"/>
                    </w:rPr>
                    <w:t>钢混结构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jc w:val="center"/>
              </w:trPr>
              <w:tc>
                <w:tcPr>
                  <w:tcW w:w="341" w:type="pct"/>
                  <w:tcBorders>
                    <w:left w:val="single" w:color="000000" w:sz="10"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z w:val="21"/>
                      <w:szCs w:val="20"/>
                    </w:rPr>
                    <w:t>3</w:t>
                  </w:r>
                </w:p>
              </w:tc>
              <w:tc>
                <w:tcPr>
                  <w:tcW w:w="1297" w:type="pct"/>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5"/>
                      <w:sz w:val="21"/>
                    </w:rPr>
                    <w:t>护坡面积</w:t>
                  </w:r>
                </w:p>
              </w:tc>
              <w:tc>
                <w:tcPr>
                  <w:tcW w:w="3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pacing w:val="5"/>
                      <w:sz w:val="21"/>
                      <w:szCs w:val="20"/>
                    </w:rPr>
                    <w:t>m</w:t>
                  </w:r>
                  <w:r>
                    <w:rPr>
                      <w:rFonts w:ascii="Times New Roman" w:hAnsi="Times New Roman" w:eastAsia="宋体" w:cs="Times New Roman"/>
                      <w:color w:val="auto"/>
                      <w:spacing w:val="5"/>
                      <w:sz w:val="21"/>
                      <w:szCs w:val="20"/>
                      <w:vertAlign w:val="superscript"/>
                    </w:rPr>
                    <w:t>2</w:t>
                  </w:r>
                </w:p>
              </w:tc>
              <w:tc>
                <w:tcPr>
                  <w:tcW w:w="57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pacing w:val="3"/>
                      <w:sz w:val="21"/>
                      <w:szCs w:val="20"/>
                    </w:rPr>
                    <w:t>0.3026</w:t>
                  </w:r>
                </w:p>
              </w:tc>
              <w:tc>
                <w:tcPr>
                  <w:tcW w:w="2446" w:type="pct"/>
                  <w:tcBorders>
                    <w:right w:val="single" w:color="000000" w:sz="10" w:space="0"/>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9"/>
                      <w:sz w:val="21"/>
                    </w:rPr>
                    <w:t>填方区混凝土骨架植生袋植草护坡，挖方区</w:t>
                  </w:r>
                  <w:r>
                    <w:rPr>
                      <w:rFonts w:ascii="Times New Roman" w:hAnsi="Times New Roman" w:eastAsia="宋体"/>
                      <w:color w:val="auto"/>
                      <w:spacing w:val="8"/>
                      <w:sz w:val="21"/>
                    </w:rPr>
                    <w:t xml:space="preserve"> </w:t>
                  </w:r>
                  <w:r>
                    <w:rPr>
                      <w:rFonts w:ascii="Times New Roman" w:hAnsi="Times New Roman" w:eastAsia="宋体" w:cs="Times New Roman"/>
                      <w:color w:val="auto"/>
                      <w:sz w:val="21"/>
                    </w:rPr>
                    <w:t>PM</w:t>
                  </w:r>
                  <w:r>
                    <w:rPr>
                      <w:rFonts w:ascii="Times New Roman" w:hAnsi="Times New Roman" w:eastAsia="宋体" w:cs="Times New Roman"/>
                      <w:color w:val="auto"/>
                      <w:spacing w:val="3"/>
                      <w:sz w:val="21"/>
                    </w:rPr>
                    <w:t>-S</w:t>
                  </w:r>
                  <w:r>
                    <w:rPr>
                      <w:rFonts w:ascii="Times New Roman" w:hAnsi="Times New Roman" w:eastAsia="宋体" w:cs="Times New Roman"/>
                      <w:color w:val="auto"/>
                      <w:spacing w:val="14"/>
                      <w:sz w:val="21"/>
                    </w:rPr>
                    <w:t xml:space="preserve"> </w:t>
                  </w:r>
                  <w:r>
                    <w:rPr>
                      <w:rFonts w:ascii="Times New Roman" w:hAnsi="Times New Roman" w:eastAsia="宋体"/>
                      <w:color w:val="auto"/>
                      <w:spacing w:val="3"/>
                      <w:sz w:val="21"/>
                    </w:rPr>
                    <w:t>护坡。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341" w:type="pct"/>
                  <w:tcBorders>
                    <w:left w:val="single" w:color="000000" w:sz="10" w:space="0"/>
                    <w:bottom w:val="single" w:color="000000" w:sz="10"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pacing w:val="1"/>
                      <w:sz w:val="21"/>
                      <w:szCs w:val="20"/>
                    </w:rPr>
                    <w:t>4</w:t>
                  </w:r>
                </w:p>
              </w:tc>
              <w:tc>
                <w:tcPr>
                  <w:tcW w:w="1297" w:type="pct"/>
                  <w:tcBorders>
                    <w:bottom w:val="single" w:color="000000" w:sz="10" w:space="0"/>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7"/>
                      <w:sz w:val="21"/>
                    </w:rPr>
                    <w:t>进站大门</w:t>
                  </w:r>
                </w:p>
              </w:tc>
              <w:tc>
                <w:tcPr>
                  <w:tcW w:w="334" w:type="pct"/>
                  <w:tcBorders>
                    <w:bottom w:val="single" w:color="000000" w:sz="10" w:space="0"/>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4"/>
                      <w:sz w:val="21"/>
                    </w:rPr>
                    <w:t>座</w:t>
                  </w:r>
                </w:p>
              </w:tc>
              <w:tc>
                <w:tcPr>
                  <w:tcW w:w="579" w:type="pct"/>
                  <w:tcBorders>
                    <w:bottom w:val="single" w:color="000000" w:sz="10"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0"/>
                    </w:rPr>
                  </w:pPr>
                  <w:r>
                    <w:rPr>
                      <w:rFonts w:ascii="Times New Roman" w:hAnsi="Times New Roman" w:eastAsia="宋体" w:cs="Times New Roman"/>
                      <w:color w:val="auto"/>
                      <w:sz w:val="21"/>
                      <w:szCs w:val="20"/>
                    </w:rPr>
                    <w:t>1</w:t>
                  </w:r>
                </w:p>
              </w:tc>
              <w:tc>
                <w:tcPr>
                  <w:tcW w:w="2446" w:type="pct"/>
                  <w:tcBorders>
                    <w:bottom w:val="single" w:color="000000" w:sz="10" w:space="0"/>
                    <w:right w:val="single" w:color="000000" w:sz="10" w:space="0"/>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z w:val="21"/>
                    </w:rPr>
                  </w:pPr>
                  <w:r>
                    <w:rPr>
                      <w:rFonts w:ascii="Times New Roman" w:hAnsi="Times New Roman" w:eastAsia="宋体" w:cs="Times New Roman"/>
                      <w:color w:val="auto"/>
                      <w:spacing w:val="-2"/>
                      <w:sz w:val="21"/>
                    </w:rPr>
                    <w:t>10m</w:t>
                  </w:r>
                  <w:r>
                    <w:rPr>
                      <w:rFonts w:ascii="Times New Roman" w:hAnsi="Times New Roman" w:eastAsia="宋体" w:cs="Times New Roman"/>
                      <w:color w:val="auto"/>
                      <w:spacing w:val="7"/>
                      <w:sz w:val="21"/>
                    </w:rPr>
                    <w:t xml:space="preserve"> </w:t>
                  </w:r>
                  <w:r>
                    <w:rPr>
                      <w:rFonts w:ascii="Times New Roman" w:hAnsi="Times New Roman" w:eastAsia="宋体"/>
                      <w:color w:val="auto"/>
                      <w:spacing w:val="-2"/>
                      <w:sz w:val="21"/>
                    </w:rPr>
                    <w:t>宽</w:t>
                  </w:r>
                </w:p>
              </w:tc>
            </w:tr>
          </w:tbl>
          <w:p>
            <w:pPr>
              <w:adjustRightInd w:val="0"/>
              <w:snapToGrid w:val="0"/>
              <w:spacing w:line="360" w:lineRule="auto"/>
              <w:jc w:val="left"/>
              <w:rPr>
                <w:rFonts w:hint="eastAsia" w:ascii="Times New Roman" w:hAnsi="Times New Roman" w:eastAsia="宋体" w:cs="Times New Roman"/>
                <w:b/>
                <w:bCs/>
                <w:color w:val="auto"/>
                <w:kern w:val="0"/>
                <w:sz w:val="24"/>
              </w:rPr>
            </w:pPr>
          </w:p>
          <w:p>
            <w:pPr>
              <w:adjustRightInd w:val="0"/>
              <w:snapToGrid w:val="0"/>
              <w:spacing w:line="360" w:lineRule="auto"/>
              <w:jc w:val="left"/>
              <w:rPr>
                <w:rFonts w:ascii="Times New Roman" w:hAnsi="Times New Roman" w:eastAsia="宋体" w:cs="Times New Roman"/>
                <w:b/>
                <w:bCs/>
                <w:color w:val="auto"/>
                <w:kern w:val="0"/>
                <w:sz w:val="24"/>
              </w:rPr>
            </w:pPr>
            <w:r>
              <w:rPr>
                <w:rFonts w:hint="eastAsia" w:cs="Times New Roman"/>
                <w:b/>
                <w:bCs/>
                <w:color w:val="auto"/>
                <w:kern w:val="0"/>
                <w:sz w:val="24"/>
                <w:lang w:val="en-US" w:eastAsia="zh-CN"/>
              </w:rPr>
              <w:t>2.6.3</w:t>
            </w:r>
            <w:r>
              <w:rPr>
                <w:rFonts w:ascii="Times New Roman" w:hAnsi="Times New Roman" w:eastAsia="宋体" w:cs="Times New Roman"/>
                <w:b/>
                <w:bCs/>
                <w:color w:val="auto"/>
                <w:kern w:val="0"/>
                <w:sz w:val="24"/>
              </w:rPr>
              <w:t>光伏阵列布置</w:t>
            </w:r>
          </w:p>
          <w:p>
            <w:pPr>
              <w:adjustRightInd w:val="0"/>
              <w:snapToGrid w:val="0"/>
              <w:spacing w:line="360" w:lineRule="auto"/>
              <w:ind w:firstLine="480" w:firstLineChars="200"/>
              <w:jc w:val="left"/>
              <w:rPr>
                <w:rFonts w:ascii="Times New Roman" w:hAnsi="Times New Roman" w:eastAsia="宋体" w:cs="Times New Roman"/>
                <w:color w:val="auto"/>
                <w:sz w:val="24"/>
              </w:rPr>
            </w:pPr>
            <w:r>
              <w:rPr>
                <w:rFonts w:ascii="Times New Roman" w:hAnsi="Times New Roman" w:eastAsia="宋体" w:cs="Times New Roman"/>
                <w:color w:val="auto"/>
                <w:sz w:val="24"/>
                <w:lang w:val="en-US" w:eastAsia="zh-CN"/>
              </w:rPr>
              <w:t>本项目直流侧装机容量</w:t>
            </w:r>
            <w:r>
              <w:rPr>
                <w:rFonts w:hint="default" w:ascii="Times New Roman" w:hAnsi="Times New Roman" w:eastAsia="宋体" w:cs="Times New Roman"/>
                <w:color w:val="auto"/>
                <w:sz w:val="24"/>
                <w:lang w:val="en-US" w:eastAsia="zh-CN"/>
              </w:rPr>
              <w:t>212.89002MWp(</w:t>
            </w:r>
            <w:r>
              <w:rPr>
                <w:rFonts w:ascii="Times New Roman" w:hAnsi="Times New Roman" w:eastAsia="宋体" w:cs="Times New Roman"/>
                <w:color w:val="auto"/>
                <w:sz w:val="24"/>
                <w:lang w:val="en-US" w:eastAsia="zh-CN"/>
              </w:rPr>
              <w:t>交流侧</w:t>
            </w:r>
            <w:r>
              <w:rPr>
                <w:rFonts w:hint="default" w:ascii="Times New Roman" w:hAnsi="Times New Roman" w:eastAsia="宋体" w:cs="Times New Roman"/>
                <w:color w:val="auto"/>
                <w:sz w:val="24"/>
                <w:lang w:val="en-US" w:eastAsia="zh-CN"/>
              </w:rPr>
              <w:t>170MW)</w:t>
            </w:r>
            <w:r>
              <w:rPr>
                <w:rFonts w:ascii="Times New Roman" w:hAnsi="Times New Roman" w:eastAsia="宋体" w:cs="Times New Roman"/>
                <w:color w:val="auto"/>
                <w:sz w:val="24"/>
                <w:lang w:val="en-US" w:eastAsia="zh-CN"/>
              </w:rPr>
              <w:t>，电池组件采用单晶硅组件，每个组串单元由</w:t>
            </w:r>
            <w:r>
              <w:rPr>
                <w:rFonts w:hint="default" w:ascii="Times New Roman" w:hAnsi="Times New Roman" w:eastAsia="宋体" w:cs="Times New Roman"/>
                <w:color w:val="auto"/>
                <w:sz w:val="24"/>
                <w:lang w:val="en-US" w:eastAsia="zh-CN"/>
              </w:rPr>
              <w:t>28</w:t>
            </w:r>
            <w:r>
              <w:rPr>
                <w:rFonts w:ascii="Times New Roman" w:hAnsi="Times New Roman" w:eastAsia="宋体" w:cs="Times New Roman"/>
                <w:color w:val="auto"/>
                <w:sz w:val="24"/>
                <w:lang w:val="en-US" w:eastAsia="zh-CN"/>
              </w:rPr>
              <w:t>块</w:t>
            </w:r>
            <w:r>
              <w:rPr>
                <w:rFonts w:hint="default" w:ascii="Times New Roman" w:hAnsi="Times New Roman" w:eastAsia="宋体" w:cs="Times New Roman"/>
                <w:color w:val="auto"/>
                <w:sz w:val="24"/>
                <w:lang w:val="en-US" w:eastAsia="zh-CN"/>
              </w:rPr>
              <w:t>2278mm*1134mm</w:t>
            </w:r>
            <w:r>
              <w:rPr>
                <w:rFonts w:ascii="Times New Roman" w:hAnsi="Times New Roman" w:eastAsia="宋体" w:cs="Times New Roman"/>
                <w:color w:val="auto"/>
                <w:sz w:val="24"/>
                <w:lang w:val="en-US" w:eastAsia="zh-CN"/>
              </w:rPr>
              <w:t>单晶硅组件组成，</w:t>
            </w:r>
            <w:r>
              <w:rPr>
                <w:rFonts w:hint="default" w:ascii="Times New Roman" w:hAnsi="Times New Roman" w:eastAsia="宋体" w:cs="Times New Roman"/>
                <w:color w:val="auto"/>
                <w:sz w:val="24"/>
                <w:lang w:val="en-US" w:eastAsia="zh-CN"/>
              </w:rPr>
              <w:t>2</w:t>
            </w:r>
            <w:r>
              <w:rPr>
                <w:rFonts w:ascii="Times New Roman" w:hAnsi="Times New Roman" w:eastAsia="宋体" w:cs="Times New Roman"/>
                <w:color w:val="auto"/>
                <w:sz w:val="24"/>
                <w:lang w:val="en-US" w:eastAsia="zh-CN"/>
              </w:rPr>
              <w:t>行</w:t>
            </w:r>
            <w:r>
              <w:rPr>
                <w:rFonts w:hint="default" w:ascii="Times New Roman" w:hAnsi="Times New Roman" w:eastAsia="宋体" w:cs="Times New Roman"/>
                <w:color w:val="auto"/>
                <w:sz w:val="24"/>
                <w:lang w:val="en-US" w:eastAsia="zh-CN"/>
              </w:rPr>
              <w:t>14</w:t>
            </w:r>
            <w:r>
              <w:rPr>
                <w:rFonts w:ascii="Times New Roman" w:hAnsi="Times New Roman" w:eastAsia="宋体" w:cs="Times New Roman"/>
                <w:color w:val="auto"/>
                <w:sz w:val="24"/>
                <w:lang w:val="en-US" w:eastAsia="zh-CN"/>
              </w:rPr>
              <w:t>列排布，电池板竖向布置，组件与组件之间留有</w:t>
            </w:r>
            <w:r>
              <w:rPr>
                <w:rFonts w:hint="default" w:ascii="Times New Roman" w:hAnsi="Times New Roman" w:eastAsia="宋体" w:cs="Times New Roman"/>
                <w:color w:val="auto"/>
                <w:sz w:val="24"/>
                <w:lang w:val="en-US" w:eastAsia="zh-CN"/>
              </w:rPr>
              <w:t>20mm</w:t>
            </w:r>
            <w:r>
              <w:rPr>
                <w:rFonts w:ascii="Times New Roman" w:hAnsi="Times New Roman" w:eastAsia="宋体" w:cs="Times New Roman"/>
                <w:color w:val="auto"/>
                <w:sz w:val="24"/>
                <w:lang w:val="en-US" w:eastAsia="zh-CN"/>
              </w:rPr>
              <w:t>空隙，每</w:t>
            </w:r>
            <w:r>
              <w:rPr>
                <w:rFonts w:hint="default" w:ascii="Times New Roman" w:hAnsi="Times New Roman" w:eastAsia="宋体" w:cs="Times New Roman"/>
                <w:color w:val="auto"/>
                <w:sz w:val="24"/>
                <w:lang w:val="en-US" w:eastAsia="zh-CN"/>
              </w:rPr>
              <w:t>28</w:t>
            </w:r>
            <w:r>
              <w:rPr>
                <w:rFonts w:ascii="Times New Roman" w:hAnsi="Times New Roman" w:eastAsia="宋体" w:cs="Times New Roman"/>
                <w:color w:val="auto"/>
                <w:sz w:val="24"/>
                <w:lang w:val="en-US" w:eastAsia="zh-CN"/>
              </w:rPr>
              <w:t>块组件组成一个支架，每个支架的平面尺寸为</w:t>
            </w:r>
            <w:r>
              <w:rPr>
                <w:rFonts w:hint="default" w:ascii="Times New Roman" w:hAnsi="Times New Roman" w:eastAsia="宋体" w:cs="Times New Roman"/>
                <w:color w:val="auto"/>
                <w:sz w:val="24"/>
                <w:lang w:val="en-US" w:eastAsia="zh-CN"/>
              </w:rPr>
              <w:t>16136mm</w:t>
            </w:r>
            <w:r>
              <w:rPr>
                <w:rFonts w:ascii="Times New Roman" w:hAnsi="Times New Roman" w:eastAsia="宋体" w:cs="Times New Roman"/>
                <w:color w:val="auto"/>
                <w:sz w:val="24"/>
                <w:lang w:val="en-US" w:eastAsia="zh-CN"/>
              </w:rPr>
              <w:t>长</w:t>
            </w:r>
            <w:r>
              <w:rPr>
                <w:rFonts w:hint="default" w:ascii="Times New Roman" w:hAnsi="Times New Roman" w:eastAsia="宋体" w:cs="Times New Roman"/>
                <w:color w:val="auto"/>
                <w:sz w:val="24"/>
                <w:lang w:val="en-US" w:eastAsia="zh-CN"/>
              </w:rPr>
              <w:t>×4576mm</w:t>
            </w:r>
            <w:r>
              <w:rPr>
                <w:rFonts w:ascii="Times New Roman" w:hAnsi="Times New Roman" w:eastAsia="宋体" w:cs="Times New Roman"/>
                <w:color w:val="auto"/>
                <w:sz w:val="24"/>
                <w:lang w:val="en-US" w:eastAsia="zh-CN"/>
              </w:rPr>
              <w:t>宽。电池组件固定支架结合组件排列方式布置，支架倾斜角度</w:t>
            </w:r>
            <w:r>
              <w:rPr>
                <w:rFonts w:hint="default" w:ascii="Times New Roman" w:hAnsi="Times New Roman" w:eastAsia="宋体" w:cs="Times New Roman"/>
                <w:color w:val="auto"/>
                <w:sz w:val="24"/>
                <w:lang w:val="en-US" w:eastAsia="zh-CN"/>
              </w:rPr>
              <w:t>24°</w:t>
            </w:r>
            <w:r>
              <w:rPr>
                <w:rFonts w:ascii="Times New Roman" w:hAnsi="Times New Roman" w:eastAsia="宋体" w:cs="Times New Roman"/>
                <w:color w:val="auto"/>
                <w:sz w:val="24"/>
                <w:lang w:val="en-US" w:eastAsia="zh-CN"/>
              </w:rPr>
              <w:t>，采用纵向檩条，竖向支架布置方案。全站</w:t>
            </w:r>
            <w:r>
              <w:rPr>
                <w:rFonts w:hint="default" w:ascii="Times New Roman" w:hAnsi="Times New Roman" w:eastAsia="宋体" w:cs="Times New Roman"/>
                <w:color w:val="auto"/>
                <w:sz w:val="24"/>
                <w:lang w:val="en-US" w:eastAsia="zh-CN"/>
              </w:rPr>
              <w:t>170MW</w:t>
            </w:r>
            <w:r>
              <w:rPr>
                <w:rFonts w:ascii="Times New Roman" w:hAnsi="Times New Roman" w:eastAsia="宋体" w:cs="Times New Roman"/>
                <w:color w:val="auto"/>
                <w:sz w:val="24"/>
                <w:lang w:val="en-US" w:eastAsia="zh-CN"/>
              </w:rPr>
              <w:t>分布于松树湾片区、沙沟片区、阿郎片区共</w:t>
            </w:r>
            <w:r>
              <w:rPr>
                <w:rFonts w:hint="default" w:ascii="Times New Roman" w:hAnsi="Times New Roman" w:eastAsia="宋体" w:cs="Times New Roman"/>
                <w:color w:val="auto"/>
                <w:sz w:val="24"/>
                <w:lang w:val="en-US" w:eastAsia="zh-CN"/>
              </w:rPr>
              <w:t>3</w:t>
            </w:r>
            <w:r>
              <w:rPr>
                <w:rFonts w:ascii="Times New Roman" w:hAnsi="Times New Roman" w:eastAsia="宋体" w:cs="Times New Roman"/>
                <w:color w:val="auto"/>
                <w:sz w:val="24"/>
                <w:lang w:val="en-US" w:eastAsia="zh-CN"/>
              </w:rPr>
              <w:t>个片区，共计布设电池组件</w:t>
            </w:r>
            <w:r>
              <w:rPr>
                <w:rFonts w:hint="default" w:ascii="Times New Roman" w:hAnsi="Times New Roman" w:eastAsia="宋体" w:cs="Times New Roman"/>
                <w:color w:val="auto"/>
                <w:sz w:val="24"/>
                <w:lang w:val="en-US" w:eastAsia="zh-CN"/>
              </w:rPr>
              <w:t>387772.00</w:t>
            </w:r>
            <w:r>
              <w:rPr>
                <w:rFonts w:ascii="Times New Roman" w:hAnsi="Times New Roman" w:eastAsia="宋体" w:cs="Times New Roman"/>
                <w:color w:val="auto"/>
                <w:sz w:val="24"/>
                <w:lang w:val="en-US" w:eastAsia="zh-CN"/>
              </w:rPr>
              <w:t>块，其中</w:t>
            </w:r>
            <w:r>
              <w:rPr>
                <w:rFonts w:hint="default" w:ascii="Times New Roman" w:hAnsi="Times New Roman" w:eastAsia="宋体" w:cs="Times New Roman"/>
                <w:color w:val="auto"/>
                <w:sz w:val="24"/>
                <w:lang w:val="en-US" w:eastAsia="zh-CN"/>
              </w:rPr>
              <w:t>545Wp</w:t>
            </w:r>
            <w:r>
              <w:rPr>
                <w:rFonts w:ascii="Times New Roman" w:hAnsi="Times New Roman" w:eastAsia="宋体" w:cs="Times New Roman"/>
                <w:color w:val="auto"/>
                <w:sz w:val="24"/>
                <w:lang w:val="en-US" w:eastAsia="zh-CN"/>
              </w:rPr>
              <w:t>规格双面光伏组件数量为</w:t>
            </w:r>
            <w:r>
              <w:rPr>
                <w:rFonts w:hint="default" w:ascii="Times New Roman" w:hAnsi="Times New Roman" w:eastAsia="宋体" w:cs="Times New Roman"/>
                <w:color w:val="auto"/>
                <w:sz w:val="24"/>
                <w:lang w:val="en-US" w:eastAsia="zh-CN"/>
              </w:rPr>
              <w:t>76916</w:t>
            </w:r>
            <w:r>
              <w:rPr>
                <w:rFonts w:ascii="Times New Roman" w:hAnsi="Times New Roman" w:eastAsia="宋体" w:cs="Times New Roman"/>
                <w:color w:val="auto"/>
                <w:sz w:val="24"/>
                <w:lang w:val="en-US" w:eastAsia="zh-CN"/>
              </w:rPr>
              <w:t>块，</w:t>
            </w:r>
            <w:r>
              <w:rPr>
                <w:rFonts w:hint="default" w:ascii="Times New Roman" w:hAnsi="Times New Roman" w:eastAsia="宋体" w:cs="Times New Roman"/>
                <w:color w:val="auto"/>
                <w:sz w:val="24"/>
                <w:lang w:val="en-US" w:eastAsia="zh-CN"/>
              </w:rPr>
              <w:t>550Wp</w:t>
            </w:r>
            <w:r>
              <w:rPr>
                <w:rFonts w:ascii="Times New Roman" w:hAnsi="Times New Roman" w:eastAsia="宋体" w:cs="Times New Roman"/>
                <w:color w:val="auto"/>
                <w:sz w:val="24"/>
                <w:lang w:val="en-US" w:eastAsia="zh-CN"/>
              </w:rPr>
              <w:t>规格双面光伏组件数量为</w:t>
            </w:r>
            <w:r>
              <w:rPr>
                <w:rFonts w:hint="default" w:ascii="Times New Roman" w:hAnsi="Times New Roman" w:eastAsia="宋体" w:cs="Times New Roman"/>
                <w:color w:val="auto"/>
                <w:sz w:val="24"/>
                <w:lang w:val="en-US" w:eastAsia="zh-CN"/>
              </w:rPr>
              <w:t>310856</w:t>
            </w:r>
            <w:r>
              <w:rPr>
                <w:rFonts w:ascii="Times New Roman" w:hAnsi="Times New Roman" w:eastAsia="宋体" w:cs="Times New Roman"/>
                <w:color w:val="auto"/>
                <w:sz w:val="24"/>
                <w:lang w:val="en-US" w:eastAsia="zh-CN"/>
              </w:rPr>
              <w:t>块。</w:t>
            </w:r>
          </w:p>
          <w:p>
            <w:pPr>
              <w:adjustRightInd w:val="0"/>
              <w:snapToGrid w:val="0"/>
              <w:spacing w:line="360" w:lineRule="auto"/>
              <w:ind w:firstLine="480" w:firstLineChars="200"/>
              <w:jc w:val="left"/>
              <w:rPr>
                <w:rFonts w:ascii="Times New Roman" w:hAnsi="Times New Roman" w:eastAsia="宋体" w:cs="Times New Roman"/>
                <w:color w:val="auto"/>
                <w:sz w:val="24"/>
              </w:rPr>
            </w:pPr>
            <w:r>
              <w:rPr>
                <w:rFonts w:ascii="Times New Roman" w:hAnsi="Times New Roman" w:eastAsia="宋体" w:cs="Times New Roman"/>
                <w:color w:val="auto"/>
                <w:sz w:val="24"/>
                <w:lang w:val="en-US" w:eastAsia="zh-CN"/>
              </w:rPr>
              <w:t>本工程光伏方阵支架选用全钢固定结构，采用正南北与非正南北向布置的方式，每个支架组件数均为</w:t>
            </w:r>
            <w:r>
              <w:rPr>
                <w:rFonts w:hint="default" w:ascii="Times New Roman" w:hAnsi="Times New Roman" w:eastAsia="宋体" w:cs="Times New Roman"/>
                <w:color w:val="auto"/>
                <w:sz w:val="24"/>
                <w:lang w:val="en-US" w:eastAsia="zh-CN"/>
              </w:rPr>
              <w:t>2×14</w:t>
            </w:r>
            <w:r>
              <w:rPr>
                <w:rFonts w:ascii="Times New Roman" w:hAnsi="Times New Roman" w:eastAsia="宋体" w:cs="Times New Roman"/>
                <w:color w:val="auto"/>
                <w:sz w:val="24"/>
                <w:lang w:val="en-US" w:eastAsia="zh-CN"/>
              </w:rPr>
              <w:t>块组件。单列柱支架采用薄壁型钢结构，支架离地最小高度为</w:t>
            </w:r>
            <w:r>
              <w:rPr>
                <w:rFonts w:hint="default" w:ascii="Times New Roman" w:hAnsi="Times New Roman" w:eastAsia="宋体" w:cs="Times New Roman"/>
                <w:color w:val="auto"/>
                <w:sz w:val="24"/>
                <w:lang w:val="en-US" w:eastAsia="zh-CN"/>
              </w:rPr>
              <w:t>2.0m</w:t>
            </w:r>
            <w:r>
              <w:rPr>
                <w:rFonts w:ascii="Times New Roman" w:hAnsi="Times New Roman" w:eastAsia="宋体" w:cs="Times New Roman"/>
                <w:color w:val="auto"/>
                <w:sz w:val="24"/>
                <w:lang w:val="en-US" w:eastAsia="zh-CN"/>
              </w:rPr>
              <w:t>（林地区域）。支架每个单元排列</w:t>
            </w:r>
            <w:r>
              <w:rPr>
                <w:rFonts w:hint="default" w:ascii="Times New Roman" w:hAnsi="Times New Roman" w:eastAsia="宋体" w:cs="Times New Roman"/>
                <w:color w:val="auto"/>
                <w:sz w:val="24"/>
                <w:lang w:val="en-US" w:eastAsia="zh-CN"/>
              </w:rPr>
              <w:t>2×14</w:t>
            </w:r>
            <w:r>
              <w:rPr>
                <w:rFonts w:ascii="Times New Roman" w:hAnsi="Times New Roman" w:eastAsia="宋体" w:cs="Times New Roman"/>
                <w:color w:val="auto"/>
                <w:sz w:val="24"/>
                <w:lang w:val="en-US" w:eastAsia="zh-CN"/>
              </w:rPr>
              <w:t>块</w:t>
            </w:r>
            <w:r>
              <w:rPr>
                <w:rFonts w:hint="default" w:ascii="Times New Roman" w:hAnsi="Times New Roman" w:eastAsia="宋体" w:cs="Times New Roman"/>
                <w:color w:val="auto"/>
                <w:sz w:val="24"/>
                <w:lang w:val="en-US" w:eastAsia="zh-CN"/>
              </w:rPr>
              <w:t>540Wp</w:t>
            </w:r>
            <w:r>
              <w:rPr>
                <w:rFonts w:ascii="Times New Roman" w:hAnsi="Times New Roman" w:eastAsia="宋体" w:cs="Times New Roman"/>
                <w:color w:val="auto"/>
                <w:sz w:val="24"/>
                <w:lang w:val="en-US" w:eastAsia="zh-CN"/>
              </w:rPr>
              <w:t>单晶硅光伏组件（</w:t>
            </w:r>
            <w:r>
              <w:rPr>
                <w:rFonts w:hint="default" w:ascii="Times New Roman" w:hAnsi="Times New Roman" w:eastAsia="宋体" w:cs="Times New Roman"/>
                <w:color w:val="auto"/>
                <w:sz w:val="24"/>
                <w:lang w:val="en-US" w:eastAsia="zh-CN"/>
              </w:rPr>
              <w:t>1</w:t>
            </w:r>
            <w:r>
              <w:rPr>
                <w:rFonts w:ascii="Times New Roman" w:hAnsi="Times New Roman" w:eastAsia="宋体" w:cs="Times New Roman"/>
                <w:color w:val="auto"/>
                <w:sz w:val="24"/>
                <w:lang w:val="en-US" w:eastAsia="zh-CN"/>
              </w:rPr>
              <w:t>个组串），组件竖向放置，支架东西向柱距为</w:t>
            </w:r>
            <w:r>
              <w:rPr>
                <w:rFonts w:hint="default" w:ascii="Times New Roman" w:hAnsi="Times New Roman" w:eastAsia="宋体" w:cs="Times New Roman"/>
                <w:color w:val="auto"/>
                <w:sz w:val="24"/>
                <w:lang w:val="en-US" w:eastAsia="zh-CN"/>
              </w:rPr>
              <w:t>4.8m</w:t>
            </w:r>
            <w:r>
              <w:rPr>
                <w:rFonts w:ascii="Times New Roman" w:hAnsi="Times New Roman" w:eastAsia="宋体" w:cs="Times New Roman"/>
                <w:color w:val="auto"/>
                <w:sz w:val="24"/>
                <w:lang w:val="en-US" w:eastAsia="zh-CN"/>
              </w:rPr>
              <w:t>（单立柱），双立柱前后柱间距为</w:t>
            </w:r>
            <w:r>
              <w:rPr>
                <w:rFonts w:hint="default" w:ascii="Times New Roman" w:hAnsi="Times New Roman" w:eastAsia="宋体" w:cs="Times New Roman"/>
                <w:color w:val="auto"/>
                <w:sz w:val="24"/>
                <w:lang w:val="en-US" w:eastAsia="zh-CN"/>
              </w:rPr>
              <w:t>2.0m</w:t>
            </w:r>
            <w:r>
              <w:rPr>
                <w:rFonts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54</w:t>
            </w:r>
            <w:r>
              <w:rPr>
                <w:rFonts w:ascii="Times New Roman" w:hAnsi="Times New Roman" w:eastAsia="宋体" w:cs="Times New Roman"/>
                <w:color w:val="auto"/>
                <w:sz w:val="24"/>
                <w:lang w:val="en-US" w:eastAsia="zh-CN"/>
              </w:rPr>
              <w:t>个方阵需光伏支架数量为</w:t>
            </w:r>
            <w:r>
              <w:rPr>
                <w:rFonts w:hint="default" w:ascii="Times New Roman" w:hAnsi="Times New Roman" w:eastAsia="宋体" w:cs="Times New Roman"/>
                <w:color w:val="auto"/>
                <w:sz w:val="24"/>
                <w:lang w:val="en-US" w:eastAsia="zh-CN"/>
              </w:rPr>
              <w:t>13849</w:t>
            </w:r>
            <w:r>
              <w:rPr>
                <w:rFonts w:ascii="Times New Roman" w:hAnsi="Times New Roman" w:eastAsia="宋体" w:cs="Times New Roman"/>
                <w:color w:val="auto"/>
                <w:sz w:val="24"/>
                <w:lang w:val="en-US" w:eastAsia="zh-CN"/>
              </w:rPr>
              <w:t>个。</w:t>
            </w:r>
          </w:p>
          <w:p>
            <w:pPr>
              <w:adjustRightInd w:val="0"/>
              <w:snapToGrid w:val="0"/>
              <w:spacing w:line="360" w:lineRule="auto"/>
              <w:ind w:firstLine="480" w:firstLineChars="200"/>
              <w:jc w:val="left"/>
              <w:rPr>
                <w:rFonts w:ascii="Times New Roman" w:hAnsi="Times New Roman" w:eastAsia="宋体" w:cs="Times New Roman"/>
                <w:color w:val="auto"/>
                <w:sz w:val="24"/>
              </w:rPr>
            </w:pPr>
            <w:r>
              <w:rPr>
                <w:rFonts w:ascii="Times New Roman" w:hAnsi="Times New Roman" w:eastAsia="宋体" w:cs="Times New Roman"/>
                <w:color w:val="auto"/>
                <w:sz w:val="24"/>
                <w:lang w:val="en-US" w:eastAsia="zh-CN"/>
              </w:rPr>
              <w:t>本工程选用的单立柱支架：直径为</w:t>
            </w:r>
            <w:r>
              <w:rPr>
                <w:rFonts w:hint="default" w:ascii="Times New Roman" w:hAnsi="Times New Roman" w:eastAsia="宋体" w:cs="Times New Roman"/>
                <w:color w:val="auto"/>
                <w:sz w:val="24"/>
                <w:lang w:val="en-US" w:eastAsia="zh-CN"/>
              </w:rPr>
              <w:t>300mm</w:t>
            </w:r>
            <w:r>
              <w:rPr>
                <w:rFonts w:ascii="Times New Roman" w:hAnsi="Times New Roman" w:eastAsia="宋体" w:cs="Times New Roman"/>
                <w:color w:val="auto"/>
                <w:sz w:val="24"/>
                <w:lang w:val="en-US" w:eastAsia="zh-CN"/>
              </w:rPr>
              <w:t>，桩深</w:t>
            </w:r>
            <w:r>
              <w:rPr>
                <w:rFonts w:hint="default" w:ascii="Times New Roman" w:hAnsi="Times New Roman" w:eastAsia="宋体" w:cs="Times New Roman"/>
                <w:color w:val="auto"/>
                <w:sz w:val="24"/>
                <w:lang w:val="en-US" w:eastAsia="zh-CN"/>
              </w:rPr>
              <w:t>2500mm</w:t>
            </w:r>
            <w:r>
              <w:rPr>
                <w:rFonts w:ascii="Times New Roman" w:hAnsi="Times New Roman" w:eastAsia="宋体" w:cs="Times New Roman"/>
                <w:color w:val="auto"/>
                <w:sz w:val="24"/>
                <w:lang w:val="en-US" w:eastAsia="zh-CN"/>
              </w:rPr>
              <w:t>的混凝土灌注桩。混凝土墩台高出地面</w:t>
            </w:r>
            <w:r>
              <w:rPr>
                <w:rFonts w:hint="default" w:ascii="Times New Roman" w:hAnsi="Times New Roman" w:eastAsia="宋体" w:cs="Times New Roman"/>
                <w:color w:val="auto"/>
                <w:sz w:val="24"/>
                <w:lang w:val="en-US" w:eastAsia="zh-CN"/>
              </w:rPr>
              <w:t>0.5m</w:t>
            </w:r>
            <w:r>
              <w:rPr>
                <w:rFonts w:ascii="Times New Roman" w:hAnsi="Times New Roman" w:eastAsia="宋体" w:cs="Times New Roman"/>
                <w:color w:val="auto"/>
                <w:sz w:val="24"/>
                <w:lang w:val="en-US" w:eastAsia="zh-CN"/>
              </w:rPr>
              <w:t>，上部预埋钢管与支架立柱套接。每个组件串联数</w:t>
            </w:r>
            <w:r>
              <w:rPr>
                <w:rFonts w:hint="default" w:ascii="Times New Roman" w:hAnsi="Times New Roman" w:eastAsia="宋体" w:cs="Times New Roman"/>
                <w:color w:val="auto"/>
                <w:sz w:val="24"/>
                <w:lang w:val="en-US" w:eastAsia="zh-CN"/>
              </w:rPr>
              <w:t>28</w:t>
            </w:r>
            <w:r>
              <w:rPr>
                <w:rFonts w:ascii="Times New Roman" w:hAnsi="Times New Roman" w:eastAsia="宋体" w:cs="Times New Roman"/>
                <w:color w:val="auto"/>
                <w:sz w:val="24"/>
                <w:lang w:val="en-US" w:eastAsia="zh-CN"/>
              </w:rPr>
              <w:t>块。</w:t>
            </w:r>
          </w:p>
          <w:p>
            <w:pPr>
              <w:adjustRightInd w:val="0"/>
              <w:snapToGrid w:val="0"/>
              <w:spacing w:line="360" w:lineRule="auto"/>
              <w:ind w:firstLine="480" w:firstLineChars="200"/>
              <w:jc w:val="left"/>
              <w:rPr>
                <w:rFonts w:hint="eastAsia" w:ascii="Times New Roman" w:hAnsi="Times New Roman" w:eastAsia="宋体" w:cs="Times New Roman"/>
                <w:color w:val="auto"/>
                <w:sz w:val="24"/>
              </w:rPr>
            </w:pPr>
            <w:r>
              <w:rPr>
                <w:rFonts w:ascii="Times New Roman" w:hAnsi="Times New Roman" w:eastAsia="宋体" w:cs="Times New Roman"/>
                <w:color w:val="auto"/>
                <w:sz w:val="24"/>
                <w:lang w:val="en-US" w:eastAsia="zh-CN"/>
              </w:rPr>
              <w:t>本工程由</w:t>
            </w:r>
            <w:r>
              <w:rPr>
                <w:rFonts w:hint="default" w:ascii="Times New Roman" w:hAnsi="Times New Roman" w:eastAsia="宋体" w:cs="Times New Roman"/>
                <w:color w:val="auto"/>
                <w:sz w:val="24"/>
                <w:lang w:val="en-US" w:eastAsia="zh-CN"/>
              </w:rPr>
              <w:t>52</w:t>
            </w:r>
            <w:r>
              <w:rPr>
                <w:rFonts w:ascii="Times New Roman" w:hAnsi="Times New Roman" w:eastAsia="宋体" w:cs="Times New Roman"/>
                <w:color w:val="auto"/>
                <w:sz w:val="24"/>
                <w:lang w:val="en-US" w:eastAsia="zh-CN"/>
              </w:rPr>
              <w:t>个</w:t>
            </w:r>
            <w:r>
              <w:rPr>
                <w:rFonts w:hint="default" w:ascii="Times New Roman" w:hAnsi="Times New Roman" w:eastAsia="宋体" w:cs="Times New Roman"/>
                <w:color w:val="auto"/>
                <w:sz w:val="24"/>
                <w:lang w:val="en-US" w:eastAsia="zh-CN"/>
              </w:rPr>
              <w:t>3.15MW</w:t>
            </w:r>
            <w:r>
              <w:rPr>
                <w:rFonts w:ascii="Times New Roman" w:hAnsi="Times New Roman" w:eastAsia="宋体" w:cs="Times New Roman"/>
                <w:color w:val="auto"/>
                <w:sz w:val="24"/>
                <w:lang w:val="en-US" w:eastAsia="zh-CN"/>
              </w:rPr>
              <w:t>方阵和</w:t>
            </w:r>
            <w:r>
              <w:rPr>
                <w:rFonts w:hint="default" w:ascii="Times New Roman" w:hAnsi="Times New Roman" w:eastAsia="宋体" w:cs="Times New Roman"/>
                <w:color w:val="auto"/>
                <w:sz w:val="24"/>
                <w:lang w:val="en-US" w:eastAsia="zh-CN"/>
              </w:rPr>
              <w:t>2</w:t>
            </w:r>
            <w:r>
              <w:rPr>
                <w:rFonts w:ascii="Times New Roman" w:hAnsi="Times New Roman" w:eastAsia="宋体" w:cs="Times New Roman"/>
                <w:color w:val="auto"/>
                <w:sz w:val="24"/>
                <w:lang w:val="en-US" w:eastAsia="zh-CN"/>
              </w:rPr>
              <w:t>个</w:t>
            </w:r>
            <w:r>
              <w:rPr>
                <w:rFonts w:hint="default" w:ascii="Times New Roman" w:hAnsi="Times New Roman" w:eastAsia="宋体" w:cs="Times New Roman"/>
                <w:color w:val="auto"/>
                <w:sz w:val="24"/>
                <w:lang w:val="en-US" w:eastAsia="zh-CN"/>
              </w:rPr>
              <w:t>2.00MW</w:t>
            </w:r>
            <w:r>
              <w:rPr>
                <w:rFonts w:ascii="Times New Roman" w:hAnsi="Times New Roman" w:eastAsia="宋体" w:cs="Times New Roman"/>
                <w:color w:val="auto"/>
                <w:sz w:val="24"/>
                <w:lang w:val="en-US" w:eastAsia="zh-CN"/>
              </w:rPr>
              <w:t>方阵组成，共布置组件数量</w:t>
            </w:r>
            <w:r>
              <w:rPr>
                <w:rFonts w:hint="default" w:ascii="Times New Roman" w:hAnsi="Times New Roman" w:eastAsia="宋体" w:cs="Times New Roman"/>
                <w:color w:val="auto"/>
                <w:sz w:val="24"/>
                <w:lang w:val="en-US" w:eastAsia="zh-CN"/>
              </w:rPr>
              <w:t>310856</w:t>
            </w:r>
            <w:r>
              <w:rPr>
                <w:rFonts w:ascii="Times New Roman" w:hAnsi="Times New Roman" w:eastAsia="宋体" w:cs="Times New Roman"/>
                <w:color w:val="auto"/>
                <w:sz w:val="24"/>
                <w:lang w:val="en-US" w:eastAsia="zh-CN"/>
              </w:rPr>
              <w:t>块，共计需要独立基础数量为</w:t>
            </w:r>
            <w:r>
              <w:rPr>
                <w:rFonts w:hint="default" w:ascii="Times New Roman" w:hAnsi="Times New Roman" w:eastAsia="宋体" w:cs="Times New Roman"/>
                <w:color w:val="auto"/>
                <w:sz w:val="24"/>
                <w:lang w:val="en-US" w:eastAsia="zh-CN"/>
              </w:rPr>
              <w:t>77555</w:t>
            </w:r>
            <w:r>
              <w:rPr>
                <w:rFonts w:ascii="Times New Roman" w:hAnsi="Times New Roman" w:eastAsia="宋体" w:cs="Times New Roman"/>
                <w:color w:val="auto"/>
                <w:sz w:val="24"/>
                <w:lang w:val="en-US" w:eastAsia="zh-CN"/>
              </w:rPr>
              <w:t>个，基础占地面积共计为</w:t>
            </w:r>
            <w:r>
              <w:rPr>
                <w:rFonts w:hint="default" w:ascii="Times New Roman" w:hAnsi="Times New Roman" w:eastAsia="宋体" w:cs="Times New Roman"/>
                <w:color w:val="auto"/>
                <w:sz w:val="24"/>
                <w:lang w:val="en-US" w:eastAsia="zh-CN"/>
              </w:rPr>
              <w:t>0.54hm</w:t>
            </w:r>
            <w:r>
              <w:rPr>
                <w:rFonts w:hint="default" w:ascii="Times New Roman" w:hAnsi="Times New Roman" w:eastAsia="宋体" w:cs="Times New Roman"/>
                <w:color w:val="auto"/>
                <w:sz w:val="24"/>
                <w:vertAlign w:val="superscript"/>
                <w:lang w:val="en-US" w:eastAsia="zh-CN"/>
              </w:rPr>
              <w:t>2</w:t>
            </w:r>
            <w:r>
              <w:rPr>
                <w:rFonts w:ascii="Times New Roman" w:hAnsi="Times New Roman" w:eastAsia="宋体" w:cs="Times New Roman"/>
                <w:color w:val="auto"/>
                <w:sz w:val="24"/>
                <w:lang w:val="en-US" w:eastAsia="zh-CN"/>
              </w:rPr>
              <w:t>。</w:t>
            </w:r>
          </w:p>
          <w:p>
            <w:pPr>
              <w:adjustRightInd w:val="0"/>
              <w:snapToGrid w:val="0"/>
              <w:spacing w:line="360" w:lineRule="auto"/>
              <w:ind w:firstLine="482" w:firstLineChars="200"/>
              <w:jc w:val="left"/>
              <w:rPr>
                <w:rFonts w:hint="default" w:ascii="Times New Roman" w:hAnsi="Times New Roman" w:eastAsia="宋体" w:cs="Times New Roman"/>
                <w:b/>
                <w:bCs/>
                <w:color w:val="auto"/>
                <w:kern w:val="0"/>
                <w:sz w:val="24"/>
                <w:lang w:val="en-US" w:eastAsia="zh-CN"/>
              </w:rPr>
            </w:pPr>
            <w:r>
              <w:rPr>
                <w:rFonts w:hint="eastAsia" w:cs="Times New Roman"/>
                <w:b/>
                <w:bCs/>
                <w:color w:val="auto"/>
                <w:kern w:val="0"/>
                <w:sz w:val="24"/>
                <w:lang w:val="en-US" w:eastAsia="zh-CN"/>
              </w:rPr>
              <w:t>光伏阵列布置：</w:t>
            </w:r>
          </w:p>
          <w:p>
            <w:pPr>
              <w:adjustRightInd w:val="0"/>
              <w:snapToGrid w:val="0"/>
              <w:spacing w:line="360" w:lineRule="auto"/>
              <w:ind w:firstLine="482" w:firstLineChars="200"/>
              <w:jc w:val="left"/>
              <w:rPr>
                <w:rFonts w:ascii="Times New Roman" w:hAnsi="Times New Roman" w:eastAsia="宋体" w:cs="Times New Roman"/>
                <w:color w:val="auto"/>
                <w:kern w:val="0"/>
                <w:sz w:val="24"/>
              </w:rPr>
            </w:pPr>
            <w:r>
              <w:rPr>
                <w:rFonts w:ascii="Times New Roman" w:hAnsi="Times New Roman" w:eastAsia="宋体" w:cs="Times New Roman"/>
                <w:b/>
                <w:bCs/>
                <w:color w:val="auto"/>
                <w:kern w:val="0"/>
                <w:sz w:val="24"/>
              </w:rPr>
              <w:t>（1）单立柱2×14组串布置：</w:t>
            </w:r>
            <w:r>
              <w:rPr>
                <w:rFonts w:ascii="Times New Roman" w:hAnsi="Times New Roman" w:eastAsia="宋体" w:cs="Times New Roman"/>
                <w:color w:val="auto"/>
                <w:kern w:val="0"/>
                <w:sz w:val="24"/>
              </w:rPr>
              <w:t>太阳电池组件在支架上的布置按2排竖向布置（组件的长方向为南-北向），该种支架配套直径300mm的灌注桩使用，用于可采用机械成孔的区域，该种支架布置示意图如下</w:t>
            </w:r>
          </w:p>
          <w:p>
            <w:pPr>
              <w:adjustRightInd w:val="0"/>
              <w:snapToGrid w:val="0"/>
              <w:spacing w:line="360" w:lineRule="auto"/>
              <w:jc w:val="center"/>
              <w:rPr>
                <w:rFonts w:ascii="Times New Roman" w:hAnsi="Times New Roman" w:eastAsia="宋体" w:cs="Times New Roman"/>
                <w:color w:val="auto"/>
                <w:kern w:val="0"/>
                <w:szCs w:val="21"/>
              </w:rPr>
            </w:pPr>
            <w:r>
              <w:rPr>
                <w:rFonts w:ascii="Times New Roman" w:hAnsi="Times New Roman" w:eastAsia="宋体" w:cs="Times New Roman"/>
                <w:color w:val="auto"/>
              </w:rPr>
              <w:drawing>
                <wp:inline distT="0" distB="0" distL="114300" distR="114300">
                  <wp:extent cx="4994910" cy="1696720"/>
                  <wp:effectExtent l="0" t="0" r="15240" b="0"/>
                  <wp:docPr id="7" name="IM 54"/>
                  <wp:cNvGraphicFramePr/>
                  <a:graphic xmlns:a="http://schemas.openxmlformats.org/drawingml/2006/main">
                    <a:graphicData uri="http://schemas.openxmlformats.org/drawingml/2006/picture">
                      <pic:pic xmlns:pic="http://schemas.openxmlformats.org/drawingml/2006/picture">
                        <pic:nvPicPr>
                          <pic:cNvPr id="7" name="IM 54"/>
                          <pic:cNvPicPr/>
                        </pic:nvPicPr>
                        <pic:blipFill>
                          <a:blip r:embed="rId15"/>
                          <a:srcRect b="62387"/>
                          <a:stretch>
                            <a:fillRect/>
                          </a:stretch>
                        </pic:blipFill>
                        <pic:spPr>
                          <a:xfrm>
                            <a:off x="0" y="0"/>
                            <a:ext cx="4994910" cy="1696720"/>
                          </a:xfrm>
                          <a:prstGeom prst="rect">
                            <a:avLst/>
                          </a:prstGeom>
                          <a:noFill/>
                          <a:ln>
                            <a:noFill/>
                          </a:ln>
                        </pic:spPr>
                      </pic:pic>
                    </a:graphicData>
                  </a:graphic>
                </wp:inline>
              </w:drawing>
            </w:r>
          </w:p>
          <w:p>
            <w:pPr>
              <w:adjustRightInd w:val="0"/>
              <w:snapToGrid w:val="0"/>
              <w:spacing w:line="360" w:lineRule="auto"/>
              <w:jc w:val="center"/>
              <w:rPr>
                <w:rFonts w:hint="eastAsia" w:ascii="Times New Roman" w:hAnsi="Times New Roman" w:eastAsia="宋体" w:cs="Times New Roman"/>
                <w:b/>
                <w:bCs/>
                <w:color w:val="auto"/>
                <w:szCs w:val="28"/>
                <w:lang w:val="en-US" w:eastAsia="zh-CN"/>
              </w:rPr>
            </w:pPr>
            <w:r>
              <w:rPr>
                <w:rFonts w:hint="eastAsia" w:ascii="Times New Roman" w:hAnsi="Times New Roman" w:eastAsia="宋体" w:cs="Times New Roman"/>
                <w:b/>
                <w:bCs/>
                <w:color w:val="auto"/>
                <w:szCs w:val="28"/>
                <w:lang w:val="en-US" w:eastAsia="zh-CN"/>
              </w:rPr>
              <w:t>单立柱2×14支架组件平面布置图（柱距4.8m）</w:t>
            </w:r>
          </w:p>
          <w:p>
            <w:pPr>
              <w:adjustRightInd w:val="0"/>
              <w:snapToGrid w:val="0"/>
              <w:spacing w:line="360" w:lineRule="auto"/>
              <w:ind w:firstLine="420" w:firstLineChars="200"/>
              <w:jc w:val="center"/>
              <w:rPr>
                <w:rFonts w:ascii="Times New Roman" w:hAnsi="Times New Roman" w:eastAsia="宋体" w:cs="Times New Roman"/>
                <w:color w:val="auto"/>
                <w:kern w:val="0"/>
                <w:szCs w:val="21"/>
              </w:rPr>
            </w:pPr>
            <w:r>
              <w:rPr>
                <w:rFonts w:ascii="Times New Roman" w:hAnsi="Times New Roman" w:eastAsia="宋体" w:cs="Times New Roman"/>
                <w:color w:val="auto"/>
              </w:rPr>
              <w:drawing>
                <wp:inline distT="0" distB="0" distL="114300" distR="114300">
                  <wp:extent cx="3512185" cy="2477135"/>
                  <wp:effectExtent l="0" t="0" r="0" b="18415"/>
                  <wp:docPr id="8" name="IM 54"/>
                  <wp:cNvGraphicFramePr/>
                  <a:graphic xmlns:a="http://schemas.openxmlformats.org/drawingml/2006/main">
                    <a:graphicData uri="http://schemas.openxmlformats.org/drawingml/2006/picture">
                      <pic:pic xmlns:pic="http://schemas.openxmlformats.org/drawingml/2006/picture">
                        <pic:nvPicPr>
                          <pic:cNvPr id="8" name="IM 54"/>
                          <pic:cNvPicPr/>
                        </pic:nvPicPr>
                        <pic:blipFill>
                          <a:blip r:embed="rId15"/>
                          <a:srcRect l="14912" t="45087" r="14772"/>
                          <a:stretch>
                            <a:fillRect/>
                          </a:stretch>
                        </pic:blipFill>
                        <pic:spPr>
                          <a:xfrm>
                            <a:off x="0" y="0"/>
                            <a:ext cx="3512185" cy="2477135"/>
                          </a:xfrm>
                          <a:prstGeom prst="rect">
                            <a:avLst/>
                          </a:prstGeom>
                          <a:noFill/>
                          <a:ln>
                            <a:noFill/>
                          </a:ln>
                        </pic:spPr>
                      </pic:pic>
                    </a:graphicData>
                  </a:graphic>
                </wp:inline>
              </w:drawing>
            </w:r>
          </w:p>
          <w:p>
            <w:pPr>
              <w:adjustRightInd w:val="0"/>
              <w:snapToGrid w:val="0"/>
              <w:spacing w:line="240" w:lineRule="auto"/>
              <w:jc w:val="center"/>
              <w:rPr>
                <w:rFonts w:hint="eastAsia" w:ascii="Times New Roman" w:hAnsi="Times New Roman" w:eastAsia="宋体" w:cs="Times New Roman"/>
                <w:b/>
                <w:bCs/>
                <w:color w:val="auto"/>
                <w:szCs w:val="28"/>
                <w:lang w:val="en-US" w:eastAsia="zh-CN"/>
              </w:rPr>
            </w:pPr>
            <w:r>
              <w:rPr>
                <w:rFonts w:hint="eastAsia" w:ascii="Times New Roman" w:hAnsi="Times New Roman" w:eastAsia="宋体" w:cs="Times New Roman"/>
                <w:b/>
                <w:bCs/>
                <w:color w:val="auto"/>
                <w:szCs w:val="28"/>
                <w:lang w:val="en-US" w:eastAsia="zh-CN"/>
              </w:rPr>
              <w:t>单立柱2×14支架剖面图</w:t>
            </w:r>
          </w:p>
          <w:p>
            <w:pPr>
              <w:adjustRightInd w:val="0"/>
              <w:snapToGrid w:val="0"/>
              <w:spacing w:line="240" w:lineRule="auto"/>
              <w:jc w:val="center"/>
              <w:rPr>
                <w:rFonts w:hint="eastAsia" w:ascii="Times New Roman" w:hAnsi="Times New Roman" w:eastAsia="宋体" w:cs="Times New Roman"/>
                <w:b/>
                <w:bCs/>
                <w:color w:val="auto"/>
                <w:szCs w:val="28"/>
                <w:lang w:val="en-US" w:eastAsia="zh-CN"/>
              </w:rPr>
            </w:pPr>
            <w:r>
              <w:rPr>
                <w:rFonts w:hint="eastAsia" w:ascii="Times New Roman" w:hAnsi="Times New Roman" w:eastAsia="宋体" w:cs="Times New Roman"/>
                <w:b/>
                <w:bCs/>
                <w:color w:val="auto"/>
                <w:szCs w:val="28"/>
                <w:lang w:val="en-US" w:eastAsia="zh-CN"/>
              </w:rPr>
              <w:t>图2.6-1   单立柱支架示意图</w:t>
            </w:r>
          </w:p>
          <w:p>
            <w:pPr>
              <w:adjustRightInd w:val="0"/>
              <w:snapToGrid w:val="0"/>
              <w:spacing w:line="360" w:lineRule="auto"/>
              <w:ind w:firstLine="482" w:firstLineChars="200"/>
              <w:jc w:val="left"/>
              <w:rPr>
                <w:rFonts w:ascii="Times New Roman" w:hAnsi="Times New Roman" w:eastAsia="宋体" w:cs="Times New Roman"/>
                <w:color w:val="auto"/>
                <w:kern w:val="0"/>
                <w:sz w:val="24"/>
              </w:rPr>
            </w:pPr>
            <w:r>
              <w:rPr>
                <w:rFonts w:ascii="Times New Roman" w:hAnsi="Times New Roman" w:eastAsia="宋体" w:cs="Times New Roman"/>
                <w:b/>
                <w:bCs/>
                <w:color w:val="auto"/>
                <w:kern w:val="0"/>
                <w:sz w:val="24"/>
              </w:rPr>
              <w:t>（2）双立柱2×14布置：</w:t>
            </w:r>
            <w:r>
              <w:rPr>
                <w:rFonts w:ascii="Times New Roman" w:hAnsi="Times New Roman" w:eastAsia="宋体" w:cs="Times New Roman"/>
                <w:color w:val="auto"/>
                <w:kern w:val="0"/>
                <w:sz w:val="24"/>
              </w:rPr>
              <w:t>太阳电池组件在支架上的布置按2排竖向布置（组件的长方向为南-北向），该种支架配套直径150mm的灌注桩使用，用于不可采用机械成孔的区域，该种支架布置示意图如下：</w:t>
            </w:r>
          </w:p>
          <w:p>
            <w:pPr>
              <w:adjustRightInd w:val="0"/>
              <w:snapToGrid w:val="0"/>
              <w:spacing w:line="360" w:lineRule="auto"/>
              <w:ind w:firstLine="420" w:firstLineChars="200"/>
              <w:jc w:val="left"/>
              <w:rPr>
                <w:rFonts w:ascii="Times New Roman" w:hAnsi="Times New Roman" w:eastAsia="宋体" w:cs="Times New Roman"/>
                <w:color w:val="auto"/>
                <w:kern w:val="0"/>
                <w:szCs w:val="21"/>
              </w:rPr>
            </w:pPr>
            <w:r>
              <w:rPr>
                <w:rFonts w:ascii="Times New Roman" w:hAnsi="Times New Roman" w:eastAsia="宋体" w:cs="Times New Roman"/>
                <w:color w:val="auto"/>
              </w:rPr>
              <w:drawing>
                <wp:inline distT="0" distB="0" distL="114300" distR="114300">
                  <wp:extent cx="5224780" cy="1756410"/>
                  <wp:effectExtent l="0" t="0" r="13970" b="15240"/>
                  <wp:docPr id="9" name="IM 55"/>
                  <wp:cNvGraphicFramePr/>
                  <a:graphic xmlns:a="http://schemas.openxmlformats.org/drawingml/2006/main">
                    <a:graphicData uri="http://schemas.openxmlformats.org/drawingml/2006/picture">
                      <pic:pic xmlns:pic="http://schemas.openxmlformats.org/drawingml/2006/picture">
                        <pic:nvPicPr>
                          <pic:cNvPr id="9" name="IM 55"/>
                          <pic:cNvPicPr/>
                        </pic:nvPicPr>
                        <pic:blipFill>
                          <a:blip r:embed="rId16"/>
                          <a:srcRect b="68967"/>
                          <a:stretch>
                            <a:fillRect/>
                          </a:stretch>
                        </pic:blipFill>
                        <pic:spPr>
                          <a:xfrm>
                            <a:off x="0" y="0"/>
                            <a:ext cx="5224780" cy="1756410"/>
                          </a:xfrm>
                          <a:prstGeom prst="rect">
                            <a:avLst/>
                          </a:prstGeom>
                          <a:noFill/>
                          <a:ln>
                            <a:noFill/>
                          </a:ln>
                        </pic:spPr>
                      </pic:pic>
                    </a:graphicData>
                  </a:graphic>
                </wp:inline>
              </w:drawing>
            </w:r>
          </w:p>
          <w:p>
            <w:pPr>
              <w:adjustRightInd w:val="0"/>
              <w:snapToGrid w:val="0"/>
              <w:spacing w:line="360" w:lineRule="auto"/>
              <w:jc w:val="center"/>
              <w:rPr>
                <w:rFonts w:hint="eastAsia" w:ascii="Times New Roman" w:hAnsi="Times New Roman" w:eastAsia="宋体" w:cs="Times New Roman"/>
                <w:b/>
                <w:bCs/>
                <w:color w:val="auto"/>
                <w:szCs w:val="28"/>
                <w:lang w:val="en-US" w:eastAsia="zh-CN"/>
              </w:rPr>
            </w:pPr>
            <w:r>
              <w:rPr>
                <w:rFonts w:hint="eastAsia" w:ascii="Times New Roman" w:hAnsi="Times New Roman" w:eastAsia="宋体" w:cs="Times New Roman"/>
                <w:b/>
                <w:bCs/>
                <w:color w:val="auto"/>
                <w:szCs w:val="28"/>
                <w:lang w:val="en-US" w:eastAsia="zh-CN"/>
              </w:rPr>
              <w:t>双立柱2×14支架组件平面布置图（柱距东西2.88m，南北2.0m）</w:t>
            </w:r>
          </w:p>
          <w:p>
            <w:pPr>
              <w:adjustRightInd w:val="0"/>
              <w:snapToGrid w:val="0"/>
              <w:spacing w:line="360" w:lineRule="auto"/>
              <w:ind w:firstLine="420" w:firstLineChars="200"/>
              <w:jc w:val="center"/>
              <w:rPr>
                <w:rFonts w:ascii="Times New Roman" w:hAnsi="Times New Roman" w:eastAsia="宋体" w:cs="Times New Roman"/>
                <w:color w:val="auto"/>
                <w:kern w:val="0"/>
                <w:szCs w:val="21"/>
              </w:rPr>
            </w:pPr>
            <w:r>
              <w:rPr>
                <w:rFonts w:ascii="Times New Roman" w:hAnsi="Times New Roman" w:eastAsia="宋体" w:cs="Times New Roman"/>
                <w:color w:val="auto"/>
              </w:rPr>
              <w:drawing>
                <wp:inline distT="0" distB="0" distL="114300" distR="114300">
                  <wp:extent cx="4150995" cy="2459355"/>
                  <wp:effectExtent l="0" t="0" r="0" b="17145"/>
                  <wp:docPr id="10" name="IM 55"/>
                  <wp:cNvGraphicFramePr/>
                  <a:graphic xmlns:a="http://schemas.openxmlformats.org/drawingml/2006/main">
                    <a:graphicData uri="http://schemas.openxmlformats.org/drawingml/2006/picture">
                      <pic:pic xmlns:pic="http://schemas.openxmlformats.org/drawingml/2006/picture">
                        <pic:nvPicPr>
                          <pic:cNvPr id="10" name="IM 55"/>
                          <pic:cNvPicPr/>
                        </pic:nvPicPr>
                        <pic:blipFill>
                          <a:blip r:embed="rId16"/>
                          <a:srcRect l="3427" t="38965" r="1508"/>
                          <a:stretch>
                            <a:fillRect/>
                          </a:stretch>
                        </pic:blipFill>
                        <pic:spPr>
                          <a:xfrm>
                            <a:off x="0" y="0"/>
                            <a:ext cx="4150995" cy="2459355"/>
                          </a:xfrm>
                          <a:prstGeom prst="rect">
                            <a:avLst/>
                          </a:prstGeom>
                          <a:noFill/>
                          <a:ln>
                            <a:noFill/>
                          </a:ln>
                        </pic:spPr>
                      </pic:pic>
                    </a:graphicData>
                  </a:graphic>
                </wp:inline>
              </w:drawing>
            </w:r>
          </w:p>
          <w:p>
            <w:pPr>
              <w:adjustRightInd w:val="0"/>
              <w:snapToGrid w:val="0"/>
              <w:spacing w:line="360" w:lineRule="auto"/>
              <w:jc w:val="center"/>
              <w:rPr>
                <w:rFonts w:hint="eastAsia" w:ascii="Times New Roman" w:hAnsi="Times New Roman" w:eastAsia="宋体" w:cs="Times New Roman"/>
                <w:b/>
                <w:bCs/>
                <w:color w:val="auto"/>
                <w:szCs w:val="28"/>
                <w:lang w:val="en-US" w:eastAsia="zh-CN"/>
              </w:rPr>
            </w:pPr>
            <w:r>
              <w:rPr>
                <w:rFonts w:hint="eastAsia" w:ascii="Times New Roman" w:hAnsi="Times New Roman" w:eastAsia="宋体" w:cs="Times New Roman"/>
                <w:b/>
                <w:bCs/>
                <w:color w:val="auto"/>
                <w:szCs w:val="28"/>
                <w:lang w:val="en-US" w:eastAsia="zh-CN"/>
              </w:rPr>
              <w:t>陡坡（35 度以上）支架南向顺坡布置</w:t>
            </w:r>
          </w:p>
          <w:p>
            <w:pPr>
              <w:adjustRightInd w:val="0"/>
              <w:snapToGrid w:val="0"/>
              <w:spacing w:line="360" w:lineRule="auto"/>
              <w:ind w:firstLine="420" w:firstLineChars="200"/>
              <w:jc w:val="center"/>
              <w:rPr>
                <w:rFonts w:ascii="Times New Roman" w:hAnsi="Times New Roman" w:eastAsia="宋体" w:cs="Times New Roman"/>
                <w:color w:val="auto"/>
                <w:kern w:val="0"/>
                <w:szCs w:val="21"/>
              </w:rPr>
            </w:pPr>
            <w:r>
              <w:rPr>
                <w:rFonts w:ascii="Times New Roman" w:hAnsi="Times New Roman" w:eastAsia="宋体" w:cs="Times New Roman"/>
                <w:color w:val="auto"/>
              </w:rPr>
              <w:drawing>
                <wp:inline distT="0" distB="0" distL="114300" distR="114300">
                  <wp:extent cx="5144135" cy="3235325"/>
                  <wp:effectExtent l="0" t="0" r="18415" b="3175"/>
                  <wp:docPr id="11" name="IM 56"/>
                  <wp:cNvGraphicFramePr/>
                  <a:graphic xmlns:a="http://schemas.openxmlformats.org/drawingml/2006/main">
                    <a:graphicData uri="http://schemas.openxmlformats.org/drawingml/2006/picture">
                      <pic:pic xmlns:pic="http://schemas.openxmlformats.org/drawingml/2006/picture">
                        <pic:nvPicPr>
                          <pic:cNvPr id="11" name="IM 56"/>
                          <pic:cNvPicPr/>
                        </pic:nvPicPr>
                        <pic:blipFill>
                          <a:blip r:embed="rId17"/>
                          <a:stretch>
                            <a:fillRect/>
                          </a:stretch>
                        </pic:blipFill>
                        <pic:spPr>
                          <a:xfrm>
                            <a:off x="0" y="0"/>
                            <a:ext cx="5144135" cy="3235325"/>
                          </a:xfrm>
                          <a:prstGeom prst="rect">
                            <a:avLst/>
                          </a:prstGeom>
                          <a:noFill/>
                          <a:ln>
                            <a:noFill/>
                          </a:ln>
                        </pic:spPr>
                      </pic:pic>
                    </a:graphicData>
                  </a:graphic>
                </wp:inline>
              </w:drawing>
            </w:r>
          </w:p>
          <w:p>
            <w:pPr>
              <w:adjustRightInd w:val="0"/>
              <w:snapToGrid w:val="0"/>
              <w:spacing w:line="240" w:lineRule="auto"/>
              <w:jc w:val="center"/>
              <w:rPr>
                <w:rFonts w:hint="eastAsia" w:ascii="Times New Roman" w:hAnsi="Times New Roman" w:eastAsia="宋体" w:cs="Times New Roman"/>
                <w:b/>
                <w:bCs/>
                <w:color w:val="auto"/>
                <w:szCs w:val="28"/>
                <w:lang w:val="en-US" w:eastAsia="zh-CN"/>
              </w:rPr>
            </w:pPr>
            <w:r>
              <w:rPr>
                <w:rFonts w:hint="eastAsia" w:ascii="Times New Roman" w:hAnsi="Times New Roman" w:eastAsia="宋体" w:cs="Times New Roman"/>
                <w:b/>
                <w:bCs/>
                <w:color w:val="auto"/>
                <w:szCs w:val="28"/>
                <w:lang w:val="en-US" w:eastAsia="zh-CN"/>
              </w:rPr>
              <w:t>非南向布置支架安装剖面图（3度倾角）</w:t>
            </w:r>
          </w:p>
          <w:p>
            <w:pPr>
              <w:adjustRightInd w:val="0"/>
              <w:snapToGrid w:val="0"/>
              <w:spacing w:line="240" w:lineRule="auto"/>
              <w:jc w:val="center"/>
              <w:rPr>
                <w:rFonts w:hint="eastAsia" w:ascii="Times New Roman" w:hAnsi="Times New Roman" w:eastAsia="宋体" w:cs="Times New Roman"/>
                <w:b/>
                <w:bCs/>
                <w:color w:val="auto"/>
                <w:szCs w:val="28"/>
                <w:lang w:val="en-US" w:eastAsia="zh-CN"/>
              </w:rPr>
            </w:pPr>
            <w:r>
              <w:rPr>
                <w:rFonts w:hint="eastAsia" w:ascii="Times New Roman" w:hAnsi="Times New Roman" w:eastAsia="宋体" w:cs="Times New Roman"/>
                <w:b/>
                <w:bCs/>
                <w:color w:val="auto"/>
                <w:szCs w:val="28"/>
                <w:lang w:val="en-US" w:eastAsia="zh-CN"/>
              </w:rPr>
              <w:t>图2.6-2   双立柱支架示意图</w:t>
            </w:r>
          </w:p>
          <w:p>
            <w:pPr>
              <w:adjustRightInd w:val="0"/>
              <w:snapToGrid w:val="0"/>
              <w:spacing w:line="360" w:lineRule="auto"/>
              <w:rPr>
                <w:rFonts w:ascii="Times New Roman" w:hAnsi="Times New Roman" w:eastAsia="宋体" w:cs="Times New Roman"/>
                <w:color w:val="auto"/>
                <w:sz w:val="24"/>
                <w:szCs w:val="36"/>
              </w:rPr>
            </w:pPr>
            <w:r>
              <w:rPr>
                <w:rFonts w:hint="eastAsia" w:ascii="Times New Roman" w:hAnsi="Times New Roman" w:eastAsia="宋体" w:cs="Times New Roman"/>
                <w:b/>
                <w:bCs/>
                <w:color w:val="auto"/>
                <w:sz w:val="24"/>
                <w:szCs w:val="36"/>
              </w:rPr>
              <w:t>2.</w:t>
            </w:r>
            <w:r>
              <w:rPr>
                <w:rFonts w:hint="eastAsia" w:cs="Times New Roman"/>
                <w:b/>
                <w:bCs/>
                <w:color w:val="auto"/>
                <w:sz w:val="24"/>
                <w:szCs w:val="36"/>
                <w:lang w:val="en-US" w:eastAsia="zh-CN"/>
              </w:rPr>
              <w:t>6</w:t>
            </w:r>
            <w:r>
              <w:rPr>
                <w:rFonts w:hint="eastAsia" w:ascii="Times New Roman" w:hAnsi="Times New Roman" w:eastAsia="宋体" w:cs="Times New Roman"/>
                <w:b/>
                <w:bCs/>
                <w:color w:val="auto"/>
                <w:sz w:val="24"/>
                <w:szCs w:val="36"/>
              </w:rPr>
              <w:t>.</w:t>
            </w:r>
            <w:r>
              <w:rPr>
                <w:rFonts w:hint="eastAsia" w:cs="Times New Roman"/>
                <w:b/>
                <w:bCs/>
                <w:color w:val="auto"/>
                <w:sz w:val="24"/>
                <w:szCs w:val="36"/>
                <w:lang w:val="en-US" w:eastAsia="zh-CN"/>
              </w:rPr>
              <w:t>4</w:t>
            </w:r>
            <w:r>
              <w:rPr>
                <w:rFonts w:hint="eastAsia" w:ascii="Times New Roman" w:hAnsi="Times New Roman" w:eastAsia="宋体" w:cs="Times New Roman"/>
                <w:b/>
                <w:bCs/>
                <w:color w:val="auto"/>
                <w:sz w:val="24"/>
                <w:szCs w:val="36"/>
              </w:rPr>
              <w:t xml:space="preserve"> 集电线路</w:t>
            </w:r>
            <w:r>
              <w:rPr>
                <w:rFonts w:ascii="Times New Roman" w:hAnsi="Times New Roman" w:eastAsia="宋体" w:cs="Times New Roman"/>
                <w:b/>
                <w:bCs/>
                <w:color w:val="auto"/>
                <w:sz w:val="24"/>
                <w:szCs w:val="36"/>
              </w:rPr>
              <w:t>布置</w:t>
            </w:r>
          </w:p>
          <w:p>
            <w:pPr>
              <w:adjustRightInd w:val="0"/>
              <w:snapToGrid w:val="0"/>
              <w:spacing w:line="360" w:lineRule="auto"/>
              <w:ind w:firstLine="480" w:firstLineChars="200"/>
              <w:jc w:val="left"/>
              <w:rPr>
                <w:rFonts w:ascii="Times New Roman" w:hAnsi="Times New Roman" w:eastAsia="宋体" w:cs="Times New Roman"/>
                <w:color w:val="auto"/>
                <w:sz w:val="24"/>
              </w:rPr>
            </w:pPr>
            <w:r>
              <w:rPr>
                <w:rFonts w:ascii="Times New Roman" w:hAnsi="Times New Roman" w:eastAsia="宋体" w:cs="Times New Roman"/>
                <w:color w:val="auto"/>
                <w:sz w:val="24"/>
              </w:rPr>
              <w:t>根据光伏发电机组布置方式，</w:t>
            </w:r>
            <w:r>
              <w:rPr>
                <w:rFonts w:hint="eastAsia" w:cs="Times New Roman"/>
                <w:color w:val="auto"/>
                <w:sz w:val="24"/>
                <w:lang w:val="en-US" w:eastAsia="zh-CN"/>
              </w:rPr>
              <w:t>2</w:t>
            </w:r>
            <w:r>
              <w:rPr>
                <w:rFonts w:ascii="Times New Roman" w:hAnsi="Times New Roman" w:eastAsia="宋体" w:cs="Times New Roman"/>
                <w:color w:val="auto"/>
                <w:sz w:val="24"/>
              </w:rPr>
              <w:t>回架空集电线路+1回直埋集电线路的连接方案如下：</w:t>
            </w:r>
          </w:p>
          <w:p>
            <w:pPr>
              <w:adjustRightInd w:val="0"/>
              <w:snapToGrid w:val="0"/>
              <w:spacing w:line="360" w:lineRule="auto"/>
              <w:ind w:firstLine="480" w:firstLineChars="200"/>
              <w:jc w:val="left"/>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松树湾片区至马头地升压站35kV新建线路：</w:t>
            </w:r>
          </w:p>
          <w:p>
            <w:pPr>
              <w:adjustRightInd w:val="0"/>
              <w:snapToGrid w:val="0"/>
              <w:spacing w:line="360" w:lineRule="auto"/>
              <w:ind w:firstLine="480" w:firstLineChars="20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本线路自松树湾片区外电缆终端塔起，线路向南方向走线至小月旧村，转向西跨过老成昆铁路、龙川江转向北，至大月旧村东北角转向西，钻越220kV谢元线及110kV元牟线后向北架设接入拟建马头地110kV升压站。线路长度约为 4.5km，全线单回路架设。</w:t>
            </w:r>
          </w:p>
          <w:p>
            <w:pPr>
              <w:adjustRightInd w:val="0"/>
              <w:snapToGrid w:val="0"/>
              <w:spacing w:line="360" w:lineRule="auto"/>
              <w:ind w:firstLine="480" w:firstLineChars="200"/>
              <w:jc w:val="left"/>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阿郎片区至马头地升压站35kV新建线路：</w:t>
            </w:r>
          </w:p>
          <w:p>
            <w:pPr>
              <w:adjustRightInd w:val="0"/>
              <w:snapToGrid w:val="0"/>
              <w:spacing w:line="360" w:lineRule="auto"/>
              <w:ind w:firstLine="480" w:firstLineChars="200"/>
              <w:jc w:val="left"/>
              <w:rPr>
                <w:rFonts w:ascii="Times New Roman" w:hAnsi="Times New Roman" w:eastAsia="宋体" w:cs="Times New Roman"/>
                <w:color w:val="auto"/>
                <w:kern w:val="0"/>
                <w:szCs w:val="21"/>
              </w:rPr>
            </w:pPr>
            <w:r>
              <w:rPr>
                <w:rFonts w:hint="eastAsia" w:ascii="Times New Roman" w:hAnsi="Times New Roman" w:eastAsia="宋体" w:cs="Times New Roman"/>
                <w:color w:val="auto"/>
                <w:sz w:val="24"/>
                <w:lang w:val="en-US" w:eastAsia="zh-CN"/>
              </w:rPr>
              <w:t>本线路自阿郎片区外电缆终端塔起，向南敷设至沙沟片区外电缆终端。线路长度约为 2.8km，其中架空线路长度约为 1.4km，电缆线路长约1.4km。全线单回路架设。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74" w:hRule="atLeast"/>
          <w:jc w:val="center"/>
        </w:trPr>
        <w:tc>
          <w:tcPr>
            <w:tcW w:w="426" w:type="dxa"/>
            <w:noWrap w:val="0"/>
            <w:vAlign w:val="center"/>
          </w:tcPr>
          <w:p>
            <w:pPr>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施工方案</w:t>
            </w:r>
          </w:p>
        </w:tc>
        <w:tc>
          <w:tcPr>
            <w:tcW w:w="8808" w:type="dxa"/>
            <w:noWrap w:val="0"/>
            <w:vAlign w:val="center"/>
          </w:tcPr>
          <w:p>
            <w:pPr>
              <w:adjustRightInd w:val="0"/>
              <w:snapToGrid w:val="0"/>
              <w:spacing w:line="360" w:lineRule="auto"/>
              <w:rPr>
                <w:rFonts w:hint="eastAsia" w:ascii="宋体" w:hAnsi="宋体" w:eastAsia="宋体" w:cs="宋体"/>
                <w:b/>
                <w:color w:val="auto"/>
                <w:kern w:val="0"/>
                <w:sz w:val="28"/>
                <w:szCs w:val="28"/>
              </w:rPr>
            </w:pPr>
            <w:r>
              <w:rPr>
                <w:rFonts w:hint="eastAsia" w:ascii="Times New Roman" w:hAnsi="Times New Roman" w:eastAsia="宋体" w:cs="Times New Roman"/>
                <w:b/>
                <w:bCs/>
                <w:color w:val="auto"/>
                <w:kern w:val="0"/>
                <w:sz w:val="28"/>
                <w:szCs w:val="28"/>
              </w:rPr>
              <w:t>2.</w:t>
            </w:r>
            <w:r>
              <w:rPr>
                <w:rFonts w:hint="eastAsia" w:cs="Times New Roman"/>
                <w:b/>
                <w:bCs/>
                <w:color w:val="auto"/>
                <w:kern w:val="0"/>
                <w:sz w:val="28"/>
                <w:szCs w:val="28"/>
                <w:lang w:val="en-US" w:eastAsia="zh-CN"/>
              </w:rPr>
              <w:t>7</w:t>
            </w:r>
            <w:r>
              <w:rPr>
                <w:rFonts w:hint="eastAsia" w:ascii="宋体" w:hAnsi="宋体" w:eastAsia="宋体" w:cs="宋体"/>
                <w:b/>
                <w:color w:val="auto"/>
                <w:kern w:val="0"/>
                <w:sz w:val="28"/>
                <w:szCs w:val="28"/>
              </w:rPr>
              <w:t>施工组织</w:t>
            </w:r>
          </w:p>
          <w:p>
            <w:pPr>
              <w:adjustRightInd w:val="0"/>
              <w:snapToGrid w:val="0"/>
              <w:spacing w:line="360" w:lineRule="auto"/>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2.</w:t>
            </w:r>
            <w:r>
              <w:rPr>
                <w:rFonts w:hint="eastAsia" w:cs="Times New Roman"/>
                <w:b/>
                <w:bCs/>
                <w:color w:val="auto"/>
                <w:kern w:val="0"/>
                <w:sz w:val="24"/>
                <w:lang w:val="en-US" w:eastAsia="zh-CN"/>
              </w:rPr>
              <w:t>7</w:t>
            </w:r>
            <w:r>
              <w:rPr>
                <w:rFonts w:hint="eastAsia" w:ascii="Times New Roman" w:hAnsi="Times New Roman" w:eastAsia="宋体" w:cs="Times New Roman"/>
                <w:b/>
                <w:bCs/>
                <w:color w:val="auto"/>
                <w:kern w:val="0"/>
                <w:sz w:val="24"/>
              </w:rPr>
              <w:t>.1施工条件</w:t>
            </w:r>
          </w:p>
          <w:p>
            <w:pPr>
              <w:adjustRightInd w:val="0"/>
              <w:snapToGrid w:val="0"/>
              <w:spacing w:line="360" w:lineRule="auto"/>
              <w:ind w:firstLine="482" w:firstLineChars="200"/>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（1）</w:t>
            </w:r>
            <w:r>
              <w:rPr>
                <w:rFonts w:ascii="Times New Roman" w:hAnsi="Times New Roman" w:eastAsia="宋体" w:cs="Times New Roman"/>
                <w:b/>
                <w:bCs/>
                <w:color w:val="auto"/>
                <w:kern w:val="0"/>
                <w:sz w:val="24"/>
              </w:rPr>
              <w:t>交通运输条件</w:t>
            </w:r>
          </w:p>
          <w:p>
            <w:pPr>
              <w:adjustRightInd w:val="0"/>
              <w:snapToGrid w:val="0"/>
              <w:spacing w:line="360" w:lineRule="auto"/>
              <w:ind w:firstLine="480" w:firstLineChars="200"/>
              <w:rPr>
                <w:rFonts w:ascii="Times New Roman" w:hAnsi="Times New Roman" w:eastAsia="宋体" w:cs="Times New Roman"/>
                <w:bCs/>
                <w:color w:val="auto"/>
                <w:kern w:val="0"/>
                <w:sz w:val="24"/>
              </w:rPr>
            </w:pPr>
            <w:r>
              <w:rPr>
                <w:rFonts w:ascii="Times New Roman" w:hAnsi="Times New Roman" w:eastAsia="宋体" w:cs="Times New Roman"/>
                <w:bCs/>
                <w:color w:val="auto"/>
                <w:kern w:val="0"/>
                <w:sz w:val="24"/>
              </w:rPr>
              <w:t>本项目对外交通主要依托 G5 京昆高速公路、G108 国道、S214 省道，项目施工交通主要依托项目区西侧 G108 国道、S214 省道进入项目区，无需新建进场道路。</w:t>
            </w:r>
          </w:p>
          <w:p>
            <w:pPr>
              <w:adjustRightInd w:val="0"/>
              <w:snapToGrid w:val="0"/>
              <w:spacing w:line="360" w:lineRule="auto"/>
              <w:ind w:firstLine="480" w:firstLineChars="200"/>
              <w:rPr>
                <w:rFonts w:ascii="Times New Roman" w:hAnsi="Times New Roman" w:eastAsia="宋体" w:cs="Times New Roman"/>
                <w:bCs/>
                <w:color w:val="auto"/>
                <w:kern w:val="0"/>
                <w:sz w:val="24"/>
              </w:rPr>
            </w:pPr>
            <w:r>
              <w:rPr>
                <w:rFonts w:ascii="Times New Roman" w:hAnsi="Times New Roman" w:eastAsia="宋体" w:cs="Times New Roman"/>
                <w:bCs/>
                <w:color w:val="auto"/>
                <w:kern w:val="0"/>
                <w:sz w:val="24"/>
              </w:rPr>
              <w:t>光伏场区内可充分利用场内现有道路，尽可能改造扩建现有道路，其中进站道路长约 800m，改扩建道路长约 1.76km，新建道路长约 19.30km。</w:t>
            </w:r>
          </w:p>
          <w:p>
            <w:pPr>
              <w:adjustRightInd w:val="0"/>
              <w:snapToGrid w:val="0"/>
              <w:spacing w:line="360" w:lineRule="auto"/>
              <w:ind w:firstLine="482" w:firstLineChars="200"/>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（2）</w:t>
            </w:r>
            <w:r>
              <w:rPr>
                <w:rFonts w:ascii="Times New Roman" w:hAnsi="Times New Roman" w:eastAsia="宋体" w:cs="Times New Roman"/>
                <w:b/>
                <w:bCs/>
                <w:color w:val="auto"/>
                <w:kern w:val="0"/>
                <w:sz w:val="24"/>
              </w:rPr>
              <w:t>施工供水、供电、通讯</w:t>
            </w:r>
          </w:p>
          <w:p>
            <w:pPr>
              <w:adjustRightInd w:val="0"/>
              <w:snapToGrid w:val="0"/>
              <w:spacing w:line="360" w:lineRule="auto"/>
              <w:ind w:firstLine="480" w:firstLineChars="200"/>
              <w:rPr>
                <w:rFonts w:ascii="Times New Roman" w:hAnsi="Times New Roman" w:eastAsia="宋体" w:cs="Times New Roman"/>
                <w:bCs/>
                <w:color w:val="auto"/>
                <w:kern w:val="0"/>
                <w:sz w:val="24"/>
              </w:rPr>
            </w:pPr>
            <w:r>
              <w:rPr>
                <w:rFonts w:ascii="Times New Roman" w:hAnsi="Times New Roman" w:eastAsia="宋体" w:cs="Times New Roman"/>
                <w:bCs/>
                <w:color w:val="auto"/>
                <w:kern w:val="0"/>
                <w:sz w:val="24"/>
              </w:rPr>
              <w:t>施工用水：采用水车从附近村落取水。光伏电站施工用水由建筑施工用水、施工机械用水、生活用水等组成。</w:t>
            </w:r>
          </w:p>
          <w:p>
            <w:pPr>
              <w:adjustRightInd w:val="0"/>
              <w:snapToGrid w:val="0"/>
              <w:spacing w:line="360" w:lineRule="auto"/>
              <w:ind w:firstLine="480" w:firstLineChars="200"/>
              <w:rPr>
                <w:rFonts w:ascii="Times New Roman" w:hAnsi="Times New Roman" w:eastAsia="宋体" w:cs="Times New Roman"/>
                <w:bCs/>
                <w:color w:val="auto"/>
                <w:kern w:val="0"/>
                <w:sz w:val="24"/>
              </w:rPr>
            </w:pPr>
            <w:r>
              <w:rPr>
                <w:rFonts w:ascii="Times New Roman" w:hAnsi="Times New Roman" w:eastAsia="宋体" w:cs="Times New Roman"/>
                <w:bCs/>
                <w:color w:val="auto"/>
                <w:kern w:val="0"/>
                <w:sz w:val="24"/>
              </w:rPr>
              <w:t>施工用电：升压站考虑从场址附近10kV农网引接，光伏场区考虑配置5台柴油发电机作为施工电源。</w:t>
            </w:r>
          </w:p>
          <w:p>
            <w:pPr>
              <w:adjustRightInd w:val="0"/>
              <w:snapToGrid w:val="0"/>
              <w:spacing w:line="360" w:lineRule="auto"/>
              <w:ind w:firstLine="480" w:firstLineChars="200"/>
              <w:rPr>
                <w:rFonts w:ascii="Times New Roman" w:hAnsi="Times New Roman" w:eastAsia="宋体" w:cs="Times New Roman"/>
                <w:bCs/>
                <w:color w:val="auto"/>
                <w:kern w:val="0"/>
                <w:sz w:val="24"/>
              </w:rPr>
            </w:pPr>
            <w:r>
              <w:rPr>
                <w:rFonts w:ascii="Times New Roman" w:hAnsi="Times New Roman" w:eastAsia="宋体" w:cs="Times New Roman"/>
                <w:bCs/>
                <w:color w:val="auto"/>
                <w:kern w:val="0"/>
                <w:sz w:val="24"/>
              </w:rPr>
              <w:t>施工通讯系统：施工场址无线通信信号能满足正常通信要求，因此，场内施工通讯系统采用无线通信系统。</w:t>
            </w:r>
          </w:p>
          <w:p>
            <w:pPr>
              <w:adjustRightInd w:val="0"/>
              <w:snapToGrid w:val="0"/>
              <w:spacing w:line="360" w:lineRule="auto"/>
              <w:ind w:firstLine="482" w:firstLineChars="200"/>
              <w:rPr>
                <w:rFonts w:hint="eastAsia"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（3）</w:t>
            </w:r>
            <w:r>
              <w:rPr>
                <w:rFonts w:ascii="Times New Roman" w:hAnsi="Times New Roman" w:eastAsia="宋体" w:cs="Times New Roman"/>
                <w:b/>
                <w:bCs/>
                <w:color w:val="auto"/>
                <w:kern w:val="0"/>
                <w:sz w:val="24"/>
              </w:rPr>
              <w:t>主要材料及其来源</w:t>
            </w:r>
          </w:p>
          <w:p>
            <w:pPr>
              <w:adjustRightInd w:val="0"/>
              <w:snapToGrid w:val="0"/>
              <w:spacing w:line="360" w:lineRule="auto"/>
              <w:ind w:firstLine="480" w:firstLineChars="200"/>
              <w:rPr>
                <w:rFonts w:ascii="Times New Roman" w:hAnsi="Times New Roman" w:eastAsia="宋体" w:cs="Times New Roman"/>
                <w:bCs/>
                <w:color w:val="auto"/>
                <w:kern w:val="0"/>
                <w:sz w:val="24"/>
              </w:rPr>
            </w:pPr>
            <w:r>
              <w:rPr>
                <w:rFonts w:ascii="Times New Roman" w:hAnsi="Times New Roman" w:eastAsia="宋体" w:cs="Times New Roman"/>
                <w:bCs/>
                <w:color w:val="auto"/>
                <w:kern w:val="0"/>
                <w:sz w:val="24"/>
              </w:rPr>
              <w:t>本工程所需的主要材料为砂石料、水泥、钢材、木材、油料和火工材料等，材料的主要来源为：</w:t>
            </w:r>
          </w:p>
          <w:p>
            <w:pPr>
              <w:adjustRightInd w:val="0"/>
              <w:snapToGrid w:val="0"/>
              <w:spacing w:line="360" w:lineRule="auto"/>
              <w:ind w:firstLine="480" w:firstLineChars="200"/>
              <w:rPr>
                <w:rFonts w:ascii="Times New Roman" w:hAnsi="Times New Roman" w:eastAsia="宋体" w:cs="Times New Roman"/>
                <w:bCs/>
                <w:color w:val="auto"/>
                <w:kern w:val="0"/>
                <w:sz w:val="24"/>
              </w:rPr>
            </w:pPr>
            <w:r>
              <w:rPr>
                <w:rFonts w:ascii="Times New Roman" w:hAnsi="Times New Roman" w:eastAsia="宋体" w:cs="Times New Roman"/>
                <w:bCs/>
                <w:color w:val="auto"/>
                <w:kern w:val="0"/>
                <w:sz w:val="24"/>
              </w:rPr>
              <w:t>砂石料：场地范围内无较好的天然砂石料源，本工程砂石骨料需从场址附近的砂石场采购。</w:t>
            </w:r>
          </w:p>
          <w:p>
            <w:pPr>
              <w:adjustRightInd w:val="0"/>
              <w:snapToGrid w:val="0"/>
              <w:spacing w:line="360" w:lineRule="auto"/>
              <w:ind w:firstLine="480" w:firstLineChars="200"/>
              <w:rPr>
                <w:rFonts w:ascii="Times New Roman" w:hAnsi="Times New Roman" w:eastAsia="宋体" w:cs="Times New Roman"/>
                <w:bCs/>
                <w:color w:val="auto"/>
                <w:kern w:val="0"/>
                <w:sz w:val="24"/>
              </w:rPr>
            </w:pPr>
            <w:r>
              <w:rPr>
                <w:rFonts w:ascii="Times New Roman" w:hAnsi="Times New Roman" w:eastAsia="宋体" w:cs="Times New Roman"/>
                <w:bCs/>
                <w:color w:val="auto"/>
                <w:kern w:val="0"/>
                <w:sz w:val="24"/>
              </w:rPr>
              <w:t>混凝土：从元谋县及附近地区采购商业混凝土，最近运距约27公里。</w:t>
            </w:r>
          </w:p>
          <w:p>
            <w:pPr>
              <w:adjustRightInd w:val="0"/>
              <w:snapToGrid w:val="0"/>
              <w:spacing w:line="360" w:lineRule="auto"/>
              <w:ind w:firstLine="480" w:firstLineChars="200"/>
              <w:rPr>
                <w:rFonts w:ascii="Times New Roman" w:hAnsi="Times New Roman" w:eastAsia="宋体" w:cs="Times New Roman"/>
                <w:bCs/>
                <w:color w:val="auto"/>
                <w:kern w:val="0"/>
                <w:sz w:val="24"/>
              </w:rPr>
            </w:pPr>
            <w:r>
              <w:rPr>
                <w:rFonts w:ascii="Times New Roman" w:hAnsi="Times New Roman" w:eastAsia="宋体" w:cs="Times New Roman"/>
                <w:bCs/>
                <w:color w:val="auto"/>
                <w:kern w:val="0"/>
                <w:sz w:val="24"/>
              </w:rPr>
              <w:t>钢筋钢材：从元谋县及附近地区采购商业混凝土，最近运距约20公里。</w:t>
            </w:r>
          </w:p>
          <w:p>
            <w:pPr>
              <w:adjustRightInd w:val="0"/>
              <w:snapToGrid w:val="0"/>
              <w:spacing w:line="360" w:lineRule="auto"/>
              <w:ind w:firstLine="480" w:firstLineChars="200"/>
              <w:rPr>
                <w:rFonts w:ascii="Times New Roman" w:hAnsi="Times New Roman" w:eastAsia="宋体" w:cs="Times New Roman"/>
                <w:bCs/>
                <w:color w:val="auto"/>
                <w:kern w:val="0"/>
                <w:sz w:val="24"/>
              </w:rPr>
            </w:pPr>
            <w:r>
              <w:rPr>
                <w:rFonts w:ascii="Times New Roman" w:hAnsi="Times New Roman" w:eastAsia="宋体" w:cs="Times New Roman"/>
                <w:bCs/>
                <w:color w:val="auto"/>
                <w:kern w:val="0"/>
                <w:sz w:val="24"/>
              </w:rPr>
              <w:t>木材：从元谋县及附近地区采购商业混凝土，最近运距约20公里。</w:t>
            </w:r>
          </w:p>
          <w:p>
            <w:pPr>
              <w:adjustRightInd w:val="0"/>
              <w:snapToGrid w:val="0"/>
              <w:spacing w:line="360" w:lineRule="auto"/>
              <w:ind w:firstLine="480" w:firstLineChars="200"/>
              <w:rPr>
                <w:rFonts w:hint="eastAsia" w:ascii="Times New Roman" w:hAnsi="Times New Roman" w:eastAsia="宋体" w:cs="Times New Roman"/>
                <w:bCs/>
                <w:color w:val="auto"/>
                <w:kern w:val="0"/>
                <w:sz w:val="24"/>
              </w:rPr>
            </w:pPr>
            <w:r>
              <w:rPr>
                <w:rFonts w:ascii="Times New Roman" w:hAnsi="Times New Roman" w:eastAsia="宋体" w:cs="Times New Roman"/>
                <w:bCs/>
                <w:color w:val="auto"/>
                <w:kern w:val="0"/>
                <w:sz w:val="24"/>
              </w:rPr>
              <w:t>油料：从元谋县及附近地区采购商业混凝土，最近运距约20公里。</w:t>
            </w:r>
          </w:p>
          <w:p>
            <w:pPr>
              <w:adjustRightInd w:val="0"/>
              <w:snapToGrid w:val="0"/>
              <w:spacing w:line="360" w:lineRule="auto"/>
              <w:ind w:firstLine="482" w:firstLineChars="200"/>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（4）</w:t>
            </w:r>
            <w:r>
              <w:rPr>
                <w:rFonts w:ascii="Times New Roman" w:hAnsi="Times New Roman" w:eastAsia="宋体" w:cs="Times New Roman"/>
                <w:b/>
                <w:bCs/>
                <w:color w:val="auto"/>
                <w:kern w:val="0"/>
                <w:sz w:val="24"/>
              </w:rPr>
              <w:t>施工期排水</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施工期排水主要依托场内道路布置，汇集后的雨水经沉沙后外排。</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ascii="Times New Roman" w:hAnsi="Times New Roman" w:eastAsia="宋体" w:cs="Times New Roman"/>
                <w:color w:val="auto"/>
                <w:sz w:val="24"/>
              </w:rPr>
              <w:t>施工期间产生的废水主要为冲洗车辆等产生的废水，须先排入废水集中池，待沉淀后才可外排，其他生活污水经循坏利用不外排。</w:t>
            </w:r>
          </w:p>
          <w:p>
            <w:pPr>
              <w:adjustRightInd w:val="0"/>
              <w:snapToGrid w:val="0"/>
              <w:spacing w:line="360" w:lineRule="auto"/>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2.</w:t>
            </w:r>
            <w:r>
              <w:rPr>
                <w:rFonts w:hint="eastAsia" w:cs="Times New Roman"/>
                <w:b/>
                <w:bCs/>
                <w:color w:val="auto"/>
                <w:kern w:val="0"/>
                <w:sz w:val="24"/>
                <w:lang w:val="en-US" w:eastAsia="zh-CN"/>
              </w:rPr>
              <w:t>7</w:t>
            </w:r>
            <w:r>
              <w:rPr>
                <w:rFonts w:hint="eastAsia" w:ascii="Times New Roman" w:hAnsi="Times New Roman" w:eastAsia="宋体" w:cs="Times New Roman"/>
                <w:b/>
                <w:bCs/>
                <w:color w:val="auto"/>
                <w:kern w:val="0"/>
                <w:sz w:val="24"/>
              </w:rPr>
              <w:t xml:space="preserve">.2 </w:t>
            </w:r>
            <w:r>
              <w:rPr>
                <w:rFonts w:ascii="Times New Roman" w:hAnsi="Times New Roman" w:eastAsia="宋体" w:cs="Times New Roman"/>
                <w:b/>
                <w:bCs/>
                <w:color w:val="auto"/>
                <w:kern w:val="0"/>
                <w:sz w:val="24"/>
              </w:rPr>
              <w:t>施工场地布置</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ascii="Times New Roman" w:hAnsi="Times New Roman" w:eastAsia="宋体" w:cs="Times New Roman"/>
                <w:color w:val="auto"/>
                <w:sz w:val="24"/>
              </w:rPr>
              <w:t>施工期间需要布设施工场地，</w:t>
            </w:r>
            <w:r>
              <w:rPr>
                <w:rFonts w:hint="eastAsia" w:ascii="Times New Roman" w:hAnsi="Times New Roman" w:eastAsia="宋体" w:cs="Times New Roman"/>
                <w:color w:val="auto"/>
                <w:sz w:val="24"/>
              </w:rPr>
              <w:t>整个场区根据后续施工需要，共布置4处施工场地，分别布置小型施工生活区和物资堆放区域（如：钢结构加工及堆放、太阳电池组件堆放和材料加工场地），施工生活区包含施工单位办公区、住宿区。4处场地</w:t>
            </w:r>
            <w:r>
              <w:rPr>
                <w:rFonts w:ascii="Times New Roman" w:hAnsi="Times New Roman" w:eastAsia="宋体" w:cs="Times New Roman"/>
                <w:color w:val="auto"/>
                <w:sz w:val="24"/>
              </w:rPr>
              <w:t>占地面积为</w:t>
            </w:r>
            <w:r>
              <w:rPr>
                <w:rFonts w:hint="eastAsia" w:ascii="Times New Roman" w:hAnsi="Times New Roman" w:eastAsia="宋体" w:cs="Times New Roman"/>
                <w:color w:val="auto"/>
                <w:sz w:val="24"/>
              </w:rPr>
              <w:t>4.03</w:t>
            </w:r>
            <w:r>
              <w:rPr>
                <w:rFonts w:ascii="Times New Roman" w:hAnsi="Times New Roman" w:eastAsia="宋体" w:cs="Times New Roman"/>
                <w:color w:val="auto"/>
                <w:sz w:val="24"/>
              </w:rPr>
              <w:t>hm</w:t>
            </w:r>
            <w:r>
              <w:rPr>
                <w:rFonts w:ascii="Times New Roman" w:hAnsi="Times New Roman" w:eastAsia="宋体" w:cs="Times New Roman"/>
                <w:color w:val="auto"/>
                <w:sz w:val="24"/>
                <w:vertAlign w:val="superscript"/>
              </w:rPr>
              <w:t>2</w:t>
            </w:r>
            <w:r>
              <w:rPr>
                <w:rFonts w:ascii="Times New Roman" w:hAnsi="Times New Roman" w:eastAsia="宋体" w:cs="Times New Roman"/>
                <w:color w:val="auto"/>
                <w:sz w:val="24"/>
              </w:rPr>
              <w:t>。施工生产生活区位于光伏板区外，占地面积单独计列。</w:t>
            </w:r>
          </w:p>
          <w:p>
            <w:pPr>
              <w:adjustRightInd w:val="0"/>
              <w:snapToGrid w:val="0"/>
              <w:spacing w:line="360" w:lineRule="auto"/>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2.</w:t>
            </w:r>
            <w:r>
              <w:rPr>
                <w:rFonts w:hint="eastAsia" w:cs="Times New Roman"/>
                <w:b/>
                <w:bCs/>
                <w:color w:val="auto"/>
                <w:kern w:val="0"/>
                <w:sz w:val="24"/>
                <w:lang w:val="en-US" w:eastAsia="zh-CN"/>
              </w:rPr>
              <w:t>7</w:t>
            </w:r>
            <w:r>
              <w:rPr>
                <w:rFonts w:hint="eastAsia" w:ascii="Times New Roman" w:hAnsi="Times New Roman" w:eastAsia="宋体" w:cs="Times New Roman"/>
                <w:b/>
                <w:bCs/>
                <w:color w:val="auto"/>
                <w:kern w:val="0"/>
                <w:sz w:val="24"/>
              </w:rPr>
              <w:t>.3</w:t>
            </w:r>
            <w:r>
              <w:rPr>
                <w:rFonts w:ascii="Times New Roman" w:hAnsi="Times New Roman" w:eastAsia="宋体" w:cs="Times New Roman"/>
                <w:b/>
                <w:bCs/>
                <w:color w:val="auto"/>
                <w:kern w:val="0"/>
                <w:sz w:val="24"/>
              </w:rPr>
              <w:t>施工</w:t>
            </w:r>
            <w:r>
              <w:rPr>
                <w:rFonts w:hint="eastAsia" w:ascii="Times New Roman" w:hAnsi="Times New Roman" w:eastAsia="宋体" w:cs="Times New Roman"/>
                <w:b/>
                <w:bCs/>
                <w:color w:val="auto"/>
                <w:kern w:val="0"/>
                <w:sz w:val="24"/>
              </w:rPr>
              <w:t>工艺</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根据施工过程，本工程的主要施工工序为：</w:t>
            </w:r>
          </w:p>
          <w:p>
            <w:pPr>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（1）</w:t>
            </w:r>
            <w:r>
              <w:rPr>
                <w:rFonts w:ascii="Times New Roman" w:hAnsi="Times New Roman" w:eastAsia="宋体" w:cs="Times New Roman"/>
                <w:color w:val="auto"/>
                <w:sz w:val="24"/>
              </w:rPr>
              <w:t>施工准备期进行场内道路建设、施工场地临时建筑、场地平整、供水、电等，为全面施工做准备；</w:t>
            </w:r>
          </w:p>
          <w:p>
            <w:pPr>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（2）</w:t>
            </w:r>
            <w:r>
              <w:rPr>
                <w:rFonts w:ascii="Times New Roman" w:hAnsi="Times New Roman" w:eastAsia="宋体" w:cs="Times New Roman"/>
                <w:color w:val="auto"/>
                <w:sz w:val="24"/>
              </w:rPr>
              <w:t>太阳能光伏面板基础，各类土建工程基座浇筑、开挖土方回填、各种建筑物建设；</w:t>
            </w:r>
          </w:p>
          <w:p>
            <w:pPr>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（3）</w:t>
            </w:r>
            <w:r>
              <w:rPr>
                <w:rFonts w:ascii="Times New Roman" w:hAnsi="Times New Roman" w:eastAsia="宋体" w:cs="Times New Roman"/>
                <w:color w:val="auto"/>
                <w:sz w:val="24"/>
              </w:rPr>
              <w:t>电缆沟开挖、砌筑及电缆铺设，电缆桥架；</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（4）</w:t>
            </w:r>
            <w:r>
              <w:rPr>
                <w:rFonts w:ascii="Times New Roman" w:hAnsi="Times New Roman" w:eastAsia="宋体" w:cs="Times New Roman"/>
                <w:color w:val="auto"/>
                <w:sz w:val="24"/>
              </w:rPr>
              <w:t>太阳能光伏面板发电机组安装调试、试运行、投产。</w:t>
            </w:r>
          </w:p>
          <w:p>
            <w:pPr>
              <w:adjustRightInd w:val="0"/>
              <w:snapToGrid w:val="0"/>
              <w:spacing w:line="360" w:lineRule="auto"/>
              <w:rPr>
                <w:rFonts w:hint="eastAsia"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2.</w:t>
            </w:r>
            <w:r>
              <w:rPr>
                <w:rFonts w:hint="eastAsia" w:cs="Times New Roman"/>
                <w:b/>
                <w:bCs/>
                <w:color w:val="auto"/>
                <w:kern w:val="0"/>
                <w:sz w:val="24"/>
                <w:lang w:val="en-US" w:eastAsia="zh-CN"/>
              </w:rPr>
              <w:t>7</w:t>
            </w:r>
            <w:r>
              <w:rPr>
                <w:rFonts w:hint="eastAsia" w:ascii="Times New Roman" w:hAnsi="Times New Roman" w:eastAsia="宋体" w:cs="Times New Roman"/>
                <w:b/>
                <w:bCs/>
                <w:color w:val="auto"/>
                <w:kern w:val="0"/>
                <w:sz w:val="24"/>
              </w:rPr>
              <w:t>.4劳动定员及工作制度</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根据建设单位介绍，本项目劳动定员20人，年运行365d。</w:t>
            </w:r>
          </w:p>
          <w:p>
            <w:pPr>
              <w:adjustRightInd w:val="0"/>
              <w:snapToGrid w:val="0"/>
              <w:spacing w:line="360" w:lineRule="auto"/>
              <w:rPr>
                <w:rFonts w:hint="eastAsia" w:ascii="宋体" w:hAnsi="宋体" w:eastAsia="宋体" w:cs="宋体"/>
                <w:b/>
                <w:color w:val="auto"/>
                <w:kern w:val="0"/>
                <w:sz w:val="28"/>
              </w:rPr>
            </w:pPr>
            <w:r>
              <w:rPr>
                <w:rFonts w:hint="eastAsia" w:ascii="Times New Roman" w:hAnsi="Times New Roman" w:eastAsia="宋体" w:cs="Times New Roman"/>
                <w:b/>
                <w:bCs/>
                <w:color w:val="auto"/>
                <w:kern w:val="0"/>
                <w:sz w:val="28"/>
              </w:rPr>
              <w:t>2.</w:t>
            </w:r>
            <w:r>
              <w:rPr>
                <w:rFonts w:hint="eastAsia" w:cs="Times New Roman"/>
                <w:b/>
                <w:bCs/>
                <w:color w:val="auto"/>
                <w:kern w:val="0"/>
                <w:sz w:val="28"/>
                <w:lang w:val="en-US" w:eastAsia="zh-CN"/>
              </w:rPr>
              <w:t>8</w:t>
            </w:r>
            <w:r>
              <w:rPr>
                <w:rFonts w:hint="eastAsia" w:ascii="Times New Roman" w:hAnsi="Times New Roman" w:eastAsia="宋体" w:cs="Times New Roman"/>
                <w:b/>
                <w:bCs/>
                <w:color w:val="auto"/>
                <w:kern w:val="0"/>
                <w:sz w:val="28"/>
              </w:rPr>
              <w:t>土石方平衡分析及</w:t>
            </w:r>
            <w:r>
              <w:rPr>
                <w:rFonts w:hint="eastAsia" w:ascii="宋体" w:hAnsi="宋体" w:eastAsia="宋体" w:cs="宋体"/>
                <w:b/>
                <w:color w:val="auto"/>
                <w:kern w:val="0"/>
                <w:sz w:val="28"/>
              </w:rPr>
              <w:t>“三场规划”</w:t>
            </w:r>
          </w:p>
          <w:p>
            <w:pPr>
              <w:adjustRightInd w:val="0"/>
              <w:snapToGrid w:val="0"/>
              <w:spacing w:line="360" w:lineRule="auto"/>
              <w:rPr>
                <w:rFonts w:hint="eastAsia"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2.</w:t>
            </w:r>
            <w:r>
              <w:rPr>
                <w:rFonts w:hint="eastAsia" w:cs="Times New Roman"/>
                <w:b/>
                <w:bCs/>
                <w:color w:val="auto"/>
                <w:kern w:val="0"/>
                <w:sz w:val="24"/>
                <w:lang w:val="en-US" w:eastAsia="zh-CN"/>
              </w:rPr>
              <w:t>8</w:t>
            </w:r>
            <w:r>
              <w:rPr>
                <w:rFonts w:hint="eastAsia" w:ascii="Times New Roman" w:hAnsi="Times New Roman" w:eastAsia="宋体" w:cs="Times New Roman"/>
                <w:b/>
                <w:bCs/>
                <w:color w:val="auto"/>
                <w:kern w:val="0"/>
                <w:sz w:val="24"/>
              </w:rPr>
              <w:t>.1</w:t>
            </w:r>
            <w:r>
              <w:rPr>
                <w:rFonts w:ascii="Times New Roman" w:hAnsi="Times New Roman" w:eastAsia="宋体" w:cs="Times New Roman"/>
                <w:b/>
                <w:bCs/>
                <w:color w:val="auto"/>
                <w:kern w:val="0"/>
                <w:sz w:val="24"/>
              </w:rPr>
              <w:t>土石方平衡分析</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lang w:val="en-US" w:eastAsia="zh-CN"/>
              </w:rPr>
              <w:t>项目建设共计开挖土石方</w:t>
            </w:r>
            <w:r>
              <w:rPr>
                <w:rFonts w:hint="default" w:ascii="Times New Roman" w:hAnsi="Times New Roman" w:eastAsia="宋体" w:cs="Times New Roman"/>
                <w:color w:val="auto"/>
                <w:sz w:val="24"/>
                <w:lang w:val="en-US" w:eastAsia="zh-CN"/>
              </w:rPr>
              <w:t>19.00</w:t>
            </w:r>
            <w:r>
              <w:rPr>
                <w:rFonts w:ascii="Times New Roman" w:hAnsi="Times New Roman" w:eastAsia="宋体" w:cs="Times New Roman"/>
                <w:color w:val="auto"/>
                <w:sz w:val="24"/>
                <w:lang w:val="en-US" w:eastAsia="zh-CN"/>
              </w:rPr>
              <w:t>万</w:t>
            </w:r>
            <w:r>
              <w:rPr>
                <w:rFonts w:hint="default" w:ascii="Times New Roman" w:hAnsi="Times New Roman" w:eastAsia="宋体" w:cs="Times New Roman"/>
                <w:color w:val="auto"/>
                <w:sz w:val="24"/>
                <w:lang w:val="en-US" w:eastAsia="zh-CN"/>
              </w:rPr>
              <w:t>m3</w:t>
            </w:r>
            <w:r>
              <w:rPr>
                <w:rFonts w:ascii="Times New Roman" w:hAnsi="Times New Roman" w:eastAsia="宋体" w:cs="Times New Roman"/>
                <w:color w:val="auto"/>
                <w:sz w:val="24"/>
                <w:lang w:val="en-US" w:eastAsia="zh-CN"/>
              </w:rPr>
              <w:t>（其中表土剥离</w:t>
            </w:r>
            <w:r>
              <w:rPr>
                <w:rFonts w:hint="default" w:ascii="Times New Roman" w:hAnsi="Times New Roman" w:eastAsia="宋体" w:cs="Times New Roman"/>
                <w:color w:val="auto"/>
                <w:sz w:val="24"/>
                <w:lang w:val="en-US" w:eastAsia="zh-CN"/>
              </w:rPr>
              <w:t>0.81</w:t>
            </w:r>
            <w:r>
              <w:rPr>
                <w:rFonts w:ascii="Times New Roman" w:hAnsi="Times New Roman" w:eastAsia="宋体" w:cs="Times New Roman"/>
                <w:color w:val="auto"/>
                <w:sz w:val="24"/>
                <w:lang w:val="en-US" w:eastAsia="zh-CN"/>
              </w:rPr>
              <w:t>万</w:t>
            </w:r>
            <w:r>
              <w:rPr>
                <w:rFonts w:hint="default" w:ascii="Times New Roman" w:hAnsi="Times New Roman" w:eastAsia="宋体" w:cs="Times New Roman"/>
                <w:color w:val="auto"/>
                <w:sz w:val="24"/>
                <w:lang w:val="en-US" w:eastAsia="zh-CN"/>
              </w:rPr>
              <w:t>m3</w:t>
            </w:r>
            <w:r>
              <w:rPr>
                <w:rFonts w:ascii="Times New Roman" w:hAnsi="Times New Roman" w:eastAsia="宋体" w:cs="Times New Roman"/>
                <w:color w:val="auto"/>
                <w:sz w:val="24"/>
                <w:lang w:val="en-US" w:eastAsia="zh-CN"/>
              </w:rPr>
              <w:t>），回填土石方</w:t>
            </w:r>
            <w:r>
              <w:rPr>
                <w:rFonts w:hint="default" w:ascii="Times New Roman" w:hAnsi="Times New Roman" w:eastAsia="宋体" w:cs="Times New Roman"/>
                <w:color w:val="auto"/>
                <w:sz w:val="24"/>
                <w:lang w:val="en-US" w:eastAsia="zh-CN"/>
              </w:rPr>
              <w:t>19.60</w:t>
            </w:r>
            <w:r>
              <w:rPr>
                <w:rFonts w:ascii="Times New Roman" w:hAnsi="Times New Roman" w:eastAsia="宋体" w:cs="Times New Roman"/>
                <w:color w:val="auto"/>
                <w:sz w:val="24"/>
                <w:lang w:val="en-US" w:eastAsia="zh-CN"/>
              </w:rPr>
              <w:t>万</w:t>
            </w:r>
            <w:r>
              <w:rPr>
                <w:rFonts w:hint="default" w:ascii="Times New Roman" w:hAnsi="Times New Roman" w:eastAsia="宋体" w:cs="Times New Roman"/>
                <w:color w:val="auto"/>
                <w:sz w:val="24"/>
                <w:lang w:val="en-US" w:eastAsia="zh-CN"/>
              </w:rPr>
              <w:t>m3</w:t>
            </w:r>
            <w:r>
              <w:rPr>
                <w:rFonts w:ascii="Times New Roman" w:hAnsi="Times New Roman" w:eastAsia="宋体" w:cs="Times New Roman"/>
                <w:color w:val="auto"/>
                <w:sz w:val="24"/>
                <w:lang w:val="en-US" w:eastAsia="zh-CN"/>
              </w:rPr>
              <w:t>（其中覆土</w:t>
            </w:r>
            <w:r>
              <w:rPr>
                <w:rFonts w:hint="default" w:ascii="Times New Roman" w:hAnsi="Times New Roman" w:eastAsia="宋体" w:cs="Times New Roman"/>
                <w:color w:val="auto"/>
                <w:sz w:val="24"/>
                <w:lang w:val="en-US" w:eastAsia="zh-CN"/>
              </w:rPr>
              <w:t>3.98</w:t>
            </w:r>
            <w:r>
              <w:rPr>
                <w:rFonts w:ascii="Times New Roman" w:hAnsi="Times New Roman" w:eastAsia="宋体" w:cs="Times New Roman"/>
                <w:color w:val="auto"/>
                <w:sz w:val="24"/>
                <w:lang w:val="en-US" w:eastAsia="zh-CN"/>
              </w:rPr>
              <w:t>万</w:t>
            </w:r>
            <w:r>
              <w:rPr>
                <w:rFonts w:hint="default" w:ascii="Times New Roman" w:hAnsi="Times New Roman" w:eastAsia="宋体" w:cs="Times New Roman"/>
                <w:color w:val="auto"/>
                <w:sz w:val="24"/>
                <w:lang w:val="en-US" w:eastAsia="zh-CN"/>
              </w:rPr>
              <w:t>m3</w:t>
            </w:r>
            <w:r>
              <w:rPr>
                <w:rFonts w:ascii="Times New Roman" w:hAnsi="Times New Roman" w:eastAsia="宋体" w:cs="Times New Roman"/>
                <w:color w:val="auto"/>
                <w:sz w:val="24"/>
                <w:lang w:val="en-US" w:eastAsia="zh-CN"/>
              </w:rPr>
              <w:t>），项目区内部调运平衡</w:t>
            </w:r>
            <w:r>
              <w:rPr>
                <w:rFonts w:hint="default" w:ascii="Times New Roman" w:hAnsi="Times New Roman" w:eastAsia="宋体" w:cs="Times New Roman"/>
                <w:color w:val="auto"/>
                <w:sz w:val="24"/>
                <w:lang w:val="en-US" w:eastAsia="zh-CN"/>
              </w:rPr>
              <w:t>1.14</w:t>
            </w:r>
            <w:r>
              <w:rPr>
                <w:rFonts w:ascii="Times New Roman" w:hAnsi="Times New Roman" w:eastAsia="宋体" w:cs="Times New Roman"/>
                <w:color w:val="auto"/>
                <w:sz w:val="24"/>
                <w:lang w:val="en-US" w:eastAsia="zh-CN"/>
              </w:rPr>
              <w:t>万</w:t>
            </w:r>
            <w:r>
              <w:rPr>
                <w:rFonts w:hint="default" w:ascii="Times New Roman" w:hAnsi="Times New Roman" w:eastAsia="宋体" w:cs="Times New Roman"/>
                <w:color w:val="auto"/>
                <w:sz w:val="24"/>
                <w:lang w:val="en-US" w:eastAsia="zh-CN"/>
              </w:rPr>
              <w:t>m3</w:t>
            </w:r>
            <w:r>
              <w:rPr>
                <w:rFonts w:ascii="Times New Roman" w:hAnsi="Times New Roman" w:eastAsia="宋体" w:cs="Times New Roman"/>
                <w:color w:val="auto"/>
                <w:sz w:val="24"/>
                <w:lang w:val="en-US" w:eastAsia="zh-CN"/>
              </w:rPr>
              <w:t>，外借</w:t>
            </w:r>
            <w:r>
              <w:rPr>
                <w:rFonts w:hint="default" w:ascii="Times New Roman" w:hAnsi="Times New Roman" w:eastAsia="宋体" w:cs="Times New Roman"/>
                <w:color w:val="auto"/>
                <w:sz w:val="24"/>
                <w:lang w:val="en-US" w:eastAsia="zh-CN"/>
              </w:rPr>
              <w:t>3.17</w:t>
            </w:r>
            <w:r>
              <w:rPr>
                <w:rFonts w:ascii="Times New Roman" w:hAnsi="Times New Roman" w:eastAsia="宋体" w:cs="Times New Roman"/>
                <w:color w:val="auto"/>
                <w:sz w:val="24"/>
                <w:lang w:val="en-US" w:eastAsia="zh-CN"/>
              </w:rPr>
              <w:t>万</w:t>
            </w:r>
            <w:r>
              <w:rPr>
                <w:rFonts w:hint="default" w:ascii="Times New Roman" w:hAnsi="Times New Roman" w:eastAsia="宋体" w:cs="Times New Roman"/>
                <w:color w:val="auto"/>
                <w:sz w:val="24"/>
                <w:lang w:val="en-US" w:eastAsia="zh-CN"/>
              </w:rPr>
              <w:t>m3</w:t>
            </w:r>
            <w:r>
              <w:rPr>
                <w:rFonts w:ascii="Times New Roman" w:hAnsi="Times New Roman" w:eastAsia="宋体" w:cs="Times New Roman"/>
                <w:color w:val="auto"/>
                <w:sz w:val="24"/>
                <w:lang w:val="en-US" w:eastAsia="zh-CN"/>
              </w:rPr>
              <w:t>（均为表土），最终产生弃渣</w:t>
            </w:r>
            <w:r>
              <w:rPr>
                <w:rFonts w:hint="default" w:ascii="Times New Roman" w:hAnsi="Times New Roman" w:eastAsia="宋体" w:cs="Times New Roman"/>
                <w:color w:val="auto"/>
                <w:sz w:val="24"/>
                <w:lang w:val="en-US" w:eastAsia="zh-CN"/>
              </w:rPr>
              <w:t>2.57</w:t>
            </w:r>
            <w:r>
              <w:rPr>
                <w:rFonts w:ascii="Times New Roman" w:hAnsi="Times New Roman" w:eastAsia="宋体" w:cs="Times New Roman"/>
                <w:color w:val="auto"/>
                <w:sz w:val="24"/>
                <w:lang w:val="en-US" w:eastAsia="zh-CN"/>
              </w:rPr>
              <w:t>万</w:t>
            </w:r>
            <w:r>
              <w:rPr>
                <w:rFonts w:hint="default" w:ascii="Times New Roman" w:hAnsi="Times New Roman" w:eastAsia="宋体" w:cs="Times New Roman"/>
                <w:color w:val="auto"/>
                <w:sz w:val="24"/>
                <w:lang w:val="en-US" w:eastAsia="zh-CN"/>
              </w:rPr>
              <w:t>m3</w:t>
            </w:r>
            <w:r>
              <w:rPr>
                <w:rFonts w:ascii="Times New Roman" w:hAnsi="Times New Roman" w:eastAsia="宋体" w:cs="Times New Roman"/>
                <w:color w:val="auto"/>
                <w:sz w:val="24"/>
                <w:lang w:val="en-US" w:eastAsia="zh-CN"/>
              </w:rPr>
              <w:t>，全部运往弃渣场堆存。</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ascii="Times New Roman" w:hAnsi="Times New Roman" w:eastAsia="宋体" w:cs="Times New Roman"/>
                <w:color w:val="auto"/>
                <w:sz w:val="24"/>
              </w:rPr>
              <w:t>土石方平衡分析表见表</w:t>
            </w:r>
            <w:r>
              <w:rPr>
                <w:rFonts w:hint="eastAsia" w:ascii="Times New Roman" w:hAnsi="Times New Roman" w:eastAsia="宋体" w:cs="Times New Roman"/>
                <w:color w:val="auto"/>
                <w:sz w:val="24"/>
              </w:rPr>
              <w:t>2.</w:t>
            </w:r>
            <w:r>
              <w:rPr>
                <w:rFonts w:hint="eastAsia" w:cs="Times New Roman"/>
                <w:color w:val="auto"/>
                <w:sz w:val="24"/>
                <w:lang w:val="en-US" w:eastAsia="zh-CN"/>
              </w:rPr>
              <w:t>8</w:t>
            </w:r>
            <w:r>
              <w:rPr>
                <w:rFonts w:ascii="Times New Roman" w:hAnsi="Times New Roman" w:eastAsia="宋体" w:cs="Times New Roman"/>
                <w:color w:val="auto"/>
                <w:sz w:val="24"/>
              </w:rPr>
              <w:t>-1</w:t>
            </w:r>
            <w:r>
              <w:rPr>
                <w:rFonts w:hint="eastAsia" w:ascii="Times New Roman" w:hAnsi="Times New Roman" w:eastAsia="宋体" w:cs="Times New Roman"/>
                <w:color w:val="auto"/>
                <w:sz w:val="24"/>
              </w:rPr>
              <w:t>（P</w:t>
            </w:r>
            <w:r>
              <w:rPr>
                <w:rFonts w:hint="eastAsia" w:cs="Times New Roman"/>
                <w:color w:val="auto"/>
                <w:sz w:val="24"/>
                <w:lang w:val="en-US" w:eastAsia="zh-CN"/>
              </w:rPr>
              <w:t>62</w:t>
            </w:r>
            <w:r>
              <w:rPr>
                <w:rFonts w:hint="eastAsia" w:ascii="Times New Roman" w:hAnsi="Times New Roman" w:eastAsia="宋体" w:cs="Times New Roman"/>
                <w:color w:val="auto"/>
                <w:sz w:val="24"/>
              </w:rPr>
              <w:t>页）</w:t>
            </w:r>
            <w:r>
              <w:rPr>
                <w:rFonts w:ascii="Times New Roman" w:hAnsi="Times New Roman" w:eastAsia="宋体" w:cs="Times New Roman"/>
                <w:color w:val="auto"/>
                <w:sz w:val="24"/>
              </w:rPr>
              <w:t>，土石方平衡流向图详见图</w:t>
            </w:r>
            <w:r>
              <w:rPr>
                <w:rFonts w:hint="eastAsia" w:ascii="Times New Roman" w:hAnsi="Times New Roman" w:eastAsia="宋体" w:cs="Times New Roman"/>
                <w:color w:val="auto"/>
                <w:sz w:val="24"/>
              </w:rPr>
              <w:t>2.</w:t>
            </w:r>
            <w:r>
              <w:rPr>
                <w:rFonts w:hint="eastAsia" w:cs="Times New Roman"/>
                <w:color w:val="auto"/>
                <w:sz w:val="24"/>
                <w:lang w:val="en-US" w:eastAsia="zh-CN"/>
              </w:rPr>
              <w:t>8</w:t>
            </w:r>
            <w:r>
              <w:rPr>
                <w:rFonts w:hint="eastAsia" w:ascii="Times New Roman" w:hAnsi="Times New Roman" w:eastAsia="宋体" w:cs="Times New Roman"/>
                <w:color w:val="auto"/>
                <w:sz w:val="24"/>
              </w:rPr>
              <w:t>-1</w:t>
            </w:r>
            <w:r>
              <w:rPr>
                <w:rFonts w:ascii="Times New Roman" w:hAnsi="Times New Roman" w:eastAsia="宋体" w:cs="Times New Roman"/>
                <w:color w:val="auto"/>
                <w:sz w:val="24"/>
              </w:rPr>
              <w:t>。</w:t>
            </w:r>
          </w:p>
          <w:p>
            <w:pPr>
              <w:widowControl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4"/>
                <w:szCs w:val="24"/>
                <w:lang w:val="en-US" w:eastAsia="zh-CN" w:bidi="ar-SA"/>
              </w:rPr>
            </w:pPr>
            <w:r>
              <w:rPr>
                <w:color w:val="auto"/>
              </w:rPr>
              <w:drawing>
                <wp:inline distT="0" distB="0" distL="114300" distR="114300">
                  <wp:extent cx="5400040" cy="4373880"/>
                  <wp:effectExtent l="0" t="0" r="10160" b="762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00040" cy="4373880"/>
                          </a:xfrm>
                          <a:prstGeom prst="rect">
                            <a:avLst/>
                          </a:prstGeom>
                          <a:noFill/>
                          <a:ln>
                            <a:noFill/>
                          </a:ln>
                        </pic:spPr>
                      </pic:pic>
                    </a:graphicData>
                  </a:graphic>
                </wp:inline>
              </w:drawing>
            </w:r>
          </w:p>
          <w:p>
            <w:pPr>
              <w:adjustRightInd w:val="0"/>
              <w:snapToGrid w:val="0"/>
              <w:spacing w:line="240" w:lineRule="auto"/>
              <w:jc w:val="center"/>
              <w:rPr>
                <w:rFonts w:hint="eastAsia" w:ascii="Times New Roman" w:hAnsi="Times New Roman" w:eastAsia="宋体" w:cs="Times New Roman"/>
                <w:b/>
                <w:bCs/>
                <w:color w:val="auto"/>
                <w:szCs w:val="28"/>
                <w:lang w:val="en-US" w:eastAsia="zh-CN"/>
              </w:rPr>
            </w:pPr>
            <w:r>
              <w:rPr>
                <w:rFonts w:hint="eastAsia" w:ascii="Times New Roman" w:hAnsi="Times New Roman" w:eastAsia="宋体" w:cs="Times New Roman"/>
                <w:b/>
                <w:bCs/>
                <w:color w:val="auto"/>
                <w:szCs w:val="28"/>
                <w:lang w:val="en-US" w:eastAsia="zh-CN"/>
              </w:rPr>
              <w:t>图2.5-1  土石方平衡流向图</w:t>
            </w:r>
          </w:p>
          <w:p>
            <w:pPr>
              <w:adjustRightInd w:val="0"/>
              <w:snapToGrid w:val="0"/>
              <w:spacing w:line="360" w:lineRule="auto"/>
              <w:rPr>
                <w:rFonts w:hint="eastAsia"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2.</w:t>
            </w:r>
            <w:r>
              <w:rPr>
                <w:rFonts w:hint="eastAsia" w:cs="Times New Roman"/>
                <w:b/>
                <w:bCs/>
                <w:color w:val="auto"/>
                <w:kern w:val="0"/>
                <w:sz w:val="24"/>
                <w:lang w:val="en-US" w:eastAsia="zh-CN"/>
              </w:rPr>
              <w:t>8</w:t>
            </w:r>
            <w:r>
              <w:rPr>
                <w:rFonts w:hint="eastAsia" w:ascii="Times New Roman" w:hAnsi="Times New Roman" w:eastAsia="宋体" w:cs="Times New Roman"/>
                <w:b/>
                <w:bCs/>
                <w:color w:val="auto"/>
                <w:kern w:val="0"/>
                <w:sz w:val="24"/>
              </w:rPr>
              <w:t>.2弃渣场规划</w:t>
            </w:r>
          </w:p>
          <w:p>
            <w:pPr>
              <w:adjustRightInd w:val="0"/>
              <w:snapToGrid w:val="0"/>
              <w:spacing w:line="360" w:lineRule="auto"/>
              <w:ind w:firstLine="482" w:firstLineChars="200"/>
              <w:rPr>
                <w:rFonts w:ascii="Times New Roman" w:hAnsi="Times New Roman" w:eastAsia="宋体" w:cs="Times New Roman"/>
                <w:b/>
                <w:bCs/>
                <w:color w:val="auto"/>
                <w:kern w:val="0"/>
                <w:sz w:val="24"/>
              </w:rPr>
            </w:pPr>
            <w:r>
              <w:rPr>
                <w:rFonts w:ascii="Times New Roman" w:hAnsi="Times New Roman" w:eastAsia="宋体" w:cs="Times New Roman"/>
                <w:b/>
                <w:bCs/>
                <w:color w:val="auto"/>
                <w:kern w:val="0"/>
                <w:sz w:val="24"/>
              </w:rPr>
              <w:t>（1）弃渣场</w:t>
            </w:r>
            <w:r>
              <w:rPr>
                <w:rFonts w:hint="eastAsia" w:ascii="Times New Roman" w:hAnsi="Times New Roman" w:eastAsia="宋体" w:cs="Times New Roman"/>
                <w:b/>
                <w:bCs/>
                <w:color w:val="auto"/>
                <w:kern w:val="0"/>
                <w:sz w:val="24"/>
              </w:rPr>
              <w:t>布置</w:t>
            </w:r>
          </w:p>
          <w:p>
            <w:pPr>
              <w:adjustRightInd w:val="0"/>
              <w:snapToGrid w:val="0"/>
              <w:spacing w:line="360" w:lineRule="auto"/>
              <w:rPr>
                <w:rFonts w:hint="eastAsia" w:ascii="Times New Roman" w:hAnsi="Times New Roman" w:eastAsia="宋体" w:cs="Times New Roman"/>
                <w:b/>
                <w:bCs/>
                <w:color w:val="auto"/>
                <w:kern w:val="0"/>
                <w:sz w:val="24"/>
              </w:rPr>
            </w:pPr>
            <w:r>
              <w:rPr>
                <w:rFonts w:ascii="Times New Roman" w:hAnsi="Times New Roman" w:eastAsia="宋体" w:cs="Times New Roman"/>
                <w:color w:val="auto"/>
                <w:sz w:val="24"/>
              </w:rPr>
              <w:t>经分析主体设计资料，并结合现场踏勘、表土平衡分析、土石方平衡后（土石方具体情况详见相关章节），本工程建设期共产生弃渣量为</w:t>
            </w:r>
            <w:r>
              <w:rPr>
                <w:rFonts w:hint="eastAsia" w:ascii="Times New Roman" w:hAnsi="Times New Roman" w:eastAsia="宋体" w:cs="Times New Roman"/>
                <w:color w:val="auto"/>
                <w:sz w:val="24"/>
              </w:rPr>
              <w:t>7.41</w:t>
            </w:r>
            <w:r>
              <w:rPr>
                <w:rFonts w:ascii="Times New Roman" w:hAnsi="Times New Roman" w:eastAsia="宋体" w:cs="Times New Roman"/>
                <w:color w:val="auto"/>
                <w:sz w:val="24"/>
              </w:rPr>
              <w:t>万m</w:t>
            </w:r>
            <w:r>
              <w:rPr>
                <w:rFonts w:ascii="宋体" w:hAnsi="宋体" w:eastAsia="宋体" w:cs="Times New Roman"/>
                <w:color w:val="auto"/>
                <w:kern w:val="0"/>
                <w:position w:val="8"/>
                <w:sz w:val="24"/>
              </w:rPr>
              <w:t>3</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折合松方</w:t>
            </w:r>
            <w:r>
              <w:rPr>
                <w:rFonts w:hint="eastAsia" w:ascii="Times New Roman" w:hAnsi="Times New Roman" w:eastAsia="宋体" w:cs="Times New Roman"/>
                <w:color w:val="auto"/>
                <w:sz w:val="24"/>
              </w:rPr>
              <w:t>9.64</w:t>
            </w:r>
            <w:r>
              <w:rPr>
                <w:rFonts w:ascii="Times New Roman" w:hAnsi="Times New Roman" w:eastAsia="宋体" w:cs="Times New Roman"/>
                <w:color w:val="auto"/>
                <w:sz w:val="24"/>
              </w:rPr>
              <w:t>万m</w:t>
            </w:r>
            <w:r>
              <w:rPr>
                <w:rFonts w:ascii="宋体" w:hAnsi="宋体" w:eastAsia="宋体" w:cs="Times New Roman"/>
                <w:color w:val="auto"/>
                <w:kern w:val="0"/>
                <w:position w:val="8"/>
                <w:sz w:val="24"/>
              </w:rPr>
              <w:t>3</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工程共选择弃渣场</w:t>
            </w:r>
            <w:r>
              <w:rPr>
                <w:rFonts w:hint="eastAsia" w:ascii="Times New Roman" w:hAnsi="Times New Roman" w:eastAsia="宋体" w:cs="Times New Roman"/>
                <w:color w:val="auto"/>
                <w:sz w:val="24"/>
              </w:rPr>
              <w:t>6</w:t>
            </w:r>
            <w:r>
              <w:rPr>
                <w:rFonts w:ascii="Times New Roman" w:hAnsi="Times New Roman" w:eastAsia="宋体" w:cs="Times New Roman"/>
                <w:color w:val="auto"/>
                <w:sz w:val="24"/>
              </w:rPr>
              <w:t>个，</w:t>
            </w:r>
            <w:r>
              <w:rPr>
                <w:rFonts w:hint="eastAsia" w:ascii="Times New Roman" w:hAnsi="Times New Roman" w:eastAsia="宋体" w:cs="Times New Roman"/>
                <w:color w:val="auto"/>
                <w:sz w:val="24"/>
              </w:rPr>
              <w:t>全部</w:t>
            </w:r>
            <w:r>
              <w:rPr>
                <w:rFonts w:ascii="Times New Roman" w:hAnsi="Times New Roman" w:eastAsia="宋体" w:cs="Times New Roman"/>
                <w:color w:val="auto"/>
                <w:sz w:val="24"/>
              </w:rPr>
              <w:t>为沟道型渣场，总占地面积</w:t>
            </w:r>
            <w:r>
              <w:rPr>
                <w:rFonts w:hint="eastAsia" w:ascii="Times New Roman" w:hAnsi="Times New Roman" w:eastAsia="宋体" w:cs="Times New Roman"/>
                <w:color w:val="auto"/>
                <w:sz w:val="24"/>
              </w:rPr>
              <w:t>2.86</w:t>
            </w:r>
            <w:r>
              <w:rPr>
                <w:rFonts w:ascii="Times New Roman" w:hAnsi="Times New Roman" w:eastAsia="宋体" w:cs="Times New Roman"/>
                <w:color w:val="auto"/>
                <w:sz w:val="24"/>
              </w:rPr>
              <w:t>hm</w:t>
            </w:r>
            <w:r>
              <w:rPr>
                <w:rFonts w:ascii="宋体" w:hAnsi="宋体" w:eastAsia="宋体" w:cs="Times New Roman"/>
                <w:color w:val="auto"/>
                <w:kern w:val="0"/>
                <w:position w:val="8"/>
                <w:sz w:val="24"/>
              </w:rPr>
              <w:t>2</w:t>
            </w:r>
            <w:r>
              <w:rPr>
                <w:rFonts w:ascii="Times New Roman" w:hAnsi="Times New Roman" w:eastAsia="宋体" w:cs="Times New Roman"/>
                <w:color w:val="auto"/>
                <w:sz w:val="24"/>
              </w:rPr>
              <w:t>，占地类型为林地。渣场总容量为</w:t>
            </w:r>
            <w:r>
              <w:rPr>
                <w:rFonts w:hint="eastAsia" w:ascii="Times New Roman" w:hAnsi="Times New Roman" w:eastAsia="宋体" w:cs="Times New Roman"/>
                <w:color w:val="auto"/>
                <w:sz w:val="24"/>
              </w:rPr>
              <w:t>13.23</w:t>
            </w:r>
            <w:r>
              <w:rPr>
                <w:rFonts w:ascii="Times New Roman" w:hAnsi="Times New Roman" w:eastAsia="宋体" w:cs="Times New Roman"/>
                <w:color w:val="auto"/>
                <w:sz w:val="24"/>
              </w:rPr>
              <w:t>万m</w:t>
            </w:r>
            <w:r>
              <w:rPr>
                <w:rFonts w:ascii="宋体" w:hAnsi="宋体" w:eastAsia="宋体" w:cs="Times New Roman"/>
                <w:color w:val="auto"/>
                <w:kern w:val="0"/>
                <w:position w:val="8"/>
                <w:sz w:val="24"/>
              </w:rPr>
              <w:t>3</w:t>
            </w:r>
            <w:r>
              <w:rPr>
                <w:rFonts w:ascii="Times New Roman" w:hAnsi="Times New Roman" w:eastAsia="宋体" w:cs="Times New Roman"/>
                <w:color w:val="auto"/>
                <w:sz w:val="24"/>
              </w:rPr>
              <w:t>，满足工程存、弃渣要求。</w:t>
            </w:r>
            <w:r>
              <w:rPr>
                <w:rFonts w:hint="eastAsia" w:ascii="Times New Roman" w:hAnsi="Times New Roman" w:eastAsia="宋体" w:cs="Times New Roman"/>
                <w:color w:val="auto"/>
                <w:sz w:val="24"/>
              </w:rPr>
              <w:t>经复核，</w:t>
            </w:r>
            <w:r>
              <w:rPr>
                <w:rFonts w:ascii="Times New Roman" w:hAnsi="Times New Roman" w:eastAsia="宋体" w:cs="Times New Roman"/>
                <w:color w:val="auto"/>
                <w:sz w:val="24"/>
              </w:rPr>
              <w:t>渣场下游为林地及耕地，无重要基础设施和居民点等敏感设施，未占用基本农田及生态红线等敏感性因素</w:t>
            </w:r>
            <w:r>
              <w:rPr>
                <w:rFonts w:hint="eastAsia" w:ascii="Times New Roman" w:hAnsi="Times New Roman" w:eastAsia="宋体" w:cs="Times New Roman"/>
                <w:color w:val="auto"/>
                <w:sz w:val="24"/>
              </w:rPr>
              <w:t>，</w:t>
            </w:r>
            <w:r>
              <w:rPr>
                <w:rFonts w:ascii="Times New Roman" w:hAnsi="Times New Roman" w:eastAsia="宋体" w:cs="Times New Roman"/>
                <w:color w:val="auto"/>
                <w:kern w:val="0"/>
                <w:sz w:val="24"/>
              </w:rPr>
              <w:t>弃渣场特性详见</w:t>
            </w:r>
            <w:r>
              <w:rPr>
                <w:rFonts w:hint="eastAsia" w:ascii="Times New Roman" w:hAnsi="Times New Roman" w:eastAsia="宋体" w:cs="Times New Roman"/>
                <w:color w:val="auto"/>
                <w:kern w:val="0"/>
                <w:sz w:val="24"/>
              </w:rPr>
              <w:t>附表2.</w:t>
            </w:r>
            <w:r>
              <w:rPr>
                <w:rFonts w:hint="eastAsia" w:cs="Times New Roman"/>
                <w:color w:val="auto"/>
                <w:kern w:val="0"/>
                <w:sz w:val="24"/>
                <w:lang w:val="en-US" w:eastAsia="zh-CN"/>
              </w:rPr>
              <w:t>8</w:t>
            </w:r>
            <w:r>
              <w:rPr>
                <w:rFonts w:hint="eastAsia" w:ascii="Times New Roman" w:hAnsi="Times New Roman" w:eastAsia="宋体" w:cs="Times New Roman"/>
                <w:color w:val="auto"/>
                <w:kern w:val="0"/>
                <w:sz w:val="24"/>
              </w:rPr>
              <w:t>-</w:t>
            </w:r>
            <w:r>
              <w:rPr>
                <w:rFonts w:hint="eastAsia" w:cs="Times New Roman"/>
                <w:color w:val="auto"/>
                <w:kern w:val="0"/>
                <w:sz w:val="24"/>
                <w:lang w:val="en-US" w:eastAsia="zh-CN"/>
              </w:rPr>
              <w:t>2</w:t>
            </w:r>
            <w:r>
              <w:rPr>
                <w:rFonts w:hint="eastAsia" w:ascii="Times New Roman" w:hAnsi="Times New Roman" w:eastAsia="宋体" w:cs="Times New Roman"/>
                <w:color w:val="auto"/>
                <w:kern w:val="0"/>
                <w:sz w:val="24"/>
              </w:rPr>
              <w:t>。</w:t>
            </w:r>
          </w:p>
          <w:p>
            <w:pPr>
              <w:adjustRightInd w:val="0"/>
              <w:snapToGrid w:val="0"/>
              <w:spacing w:line="360" w:lineRule="auto"/>
              <w:rPr>
                <w:rFonts w:hint="eastAsia"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2.</w:t>
            </w:r>
            <w:r>
              <w:rPr>
                <w:rFonts w:hint="eastAsia" w:cs="Times New Roman"/>
                <w:b/>
                <w:bCs/>
                <w:color w:val="auto"/>
                <w:kern w:val="0"/>
                <w:sz w:val="24"/>
                <w:lang w:val="en-US" w:eastAsia="zh-CN"/>
              </w:rPr>
              <w:t>8</w:t>
            </w:r>
            <w:r>
              <w:rPr>
                <w:rFonts w:hint="eastAsia" w:ascii="Times New Roman" w:hAnsi="Times New Roman" w:eastAsia="宋体" w:cs="Times New Roman"/>
                <w:b/>
                <w:bCs/>
                <w:color w:val="auto"/>
                <w:kern w:val="0"/>
                <w:sz w:val="24"/>
              </w:rPr>
              <w:t>.3表土堆场规划</w:t>
            </w:r>
          </w:p>
          <w:p>
            <w:pPr>
              <w:adjustRightInd w:val="0"/>
              <w:snapToGrid w:val="0"/>
              <w:spacing w:line="360" w:lineRule="auto"/>
              <w:ind w:firstLine="480"/>
              <w:rPr>
                <w:rFonts w:hint="eastAsia" w:ascii="Times New Roman" w:hAnsi="Times New Roman" w:eastAsia="宋体" w:cs="Times New Roman"/>
                <w:color w:val="auto"/>
                <w:sz w:val="24"/>
              </w:rPr>
            </w:pPr>
            <w:r>
              <w:rPr>
                <w:rFonts w:ascii="Times New Roman" w:hAnsi="Times New Roman" w:eastAsia="宋体" w:cs="Times New Roman"/>
                <w:color w:val="auto"/>
                <w:sz w:val="24"/>
              </w:rPr>
              <w:t>集电线路架空塔基剥离的表土堆放在塔基一角，电缆沟剥离表土堆放在管槽一侧，升压站剥离待回填的表土堆放在升压站绿化区内，施工生产生活区剥离的表土堆放在施工生产生活区一角，场内道路剥离表土分散堆放在回车场内，便于就近回复，弃渣场区域剥离的表土堆放在渣场上游。</w:t>
            </w:r>
          </w:p>
          <w:p>
            <w:pPr>
              <w:adjustRightInd w:val="0"/>
              <w:snapToGrid w:val="0"/>
              <w:spacing w:line="360" w:lineRule="auto"/>
              <w:rPr>
                <w:rFonts w:ascii="Times New Roman" w:hAnsi="Times New Roman" w:eastAsia="宋体" w:cs="Times New Roman"/>
                <w:b/>
                <w:bCs/>
                <w:color w:val="auto"/>
                <w:kern w:val="0"/>
                <w:sz w:val="28"/>
                <w:szCs w:val="28"/>
              </w:rPr>
            </w:pPr>
            <w:r>
              <w:rPr>
                <w:rFonts w:hint="eastAsia" w:ascii="Times New Roman" w:hAnsi="Times New Roman" w:eastAsia="宋体" w:cs="Times New Roman"/>
                <w:b/>
                <w:bCs/>
                <w:color w:val="auto"/>
                <w:kern w:val="0"/>
                <w:sz w:val="28"/>
                <w:szCs w:val="28"/>
              </w:rPr>
              <w:t>2.</w:t>
            </w:r>
            <w:r>
              <w:rPr>
                <w:rFonts w:hint="eastAsia" w:cs="Times New Roman"/>
                <w:b/>
                <w:bCs/>
                <w:color w:val="auto"/>
                <w:kern w:val="0"/>
                <w:sz w:val="28"/>
                <w:szCs w:val="28"/>
                <w:lang w:val="en-US" w:eastAsia="zh-CN"/>
              </w:rPr>
              <w:t>9</w:t>
            </w:r>
            <w:r>
              <w:rPr>
                <w:rFonts w:ascii="Times New Roman" w:hAnsi="Times New Roman" w:eastAsia="宋体" w:cs="Times New Roman"/>
                <w:b/>
                <w:bCs/>
                <w:color w:val="auto"/>
                <w:kern w:val="0"/>
                <w:sz w:val="28"/>
                <w:szCs w:val="28"/>
              </w:rPr>
              <w:t>工程占地</w:t>
            </w:r>
          </w:p>
          <w:p>
            <w:pPr>
              <w:adjustRightInd w:val="0"/>
              <w:snapToGrid w:val="0"/>
              <w:spacing w:line="360" w:lineRule="auto"/>
              <w:ind w:firstLine="480" w:firstLineChars="200"/>
              <w:rPr>
                <w:rFonts w:ascii="Times New Roman" w:hAnsi="Times New Roman" w:eastAsia="宋体" w:cs="Times New Roman"/>
                <w:color w:val="auto"/>
                <w:sz w:val="24"/>
                <w:szCs w:val="32"/>
              </w:rPr>
            </w:pPr>
            <w:r>
              <w:rPr>
                <w:rFonts w:ascii="Times New Roman" w:hAnsi="Times New Roman" w:eastAsia="宋体" w:cs="Times New Roman"/>
                <w:color w:val="auto"/>
                <w:sz w:val="24"/>
                <w:szCs w:val="32"/>
                <w:lang w:val="en-US" w:eastAsia="zh-CN"/>
              </w:rPr>
              <w:t>根据项目总体布局，结合项目区土地利用现状统计分析，工程建设占地面积</w:t>
            </w:r>
          </w:p>
          <w:p>
            <w:pPr>
              <w:adjustRightInd w:val="0"/>
              <w:snapToGrid w:val="0"/>
              <w:spacing w:line="360" w:lineRule="auto"/>
              <w:ind w:firstLine="480" w:firstLineChars="200"/>
              <w:rPr>
                <w:rFonts w:ascii="Times New Roman" w:hAnsi="Times New Roman" w:eastAsia="宋体" w:cs="Times New Roman"/>
                <w:color w:val="auto"/>
                <w:sz w:val="24"/>
                <w:szCs w:val="32"/>
              </w:rPr>
            </w:pPr>
            <w:r>
              <w:rPr>
                <w:rFonts w:hint="default" w:ascii="Times New Roman" w:hAnsi="Times New Roman" w:eastAsia="宋体" w:cs="Times New Roman"/>
                <w:color w:val="auto"/>
                <w:sz w:val="24"/>
                <w:szCs w:val="32"/>
                <w:lang w:val="en-US" w:eastAsia="zh-CN"/>
              </w:rPr>
              <w:t>261.89hm</w:t>
            </w:r>
            <w:r>
              <w:rPr>
                <w:rFonts w:hint="default" w:ascii="Times New Roman" w:hAnsi="Times New Roman" w:eastAsia="宋体" w:cs="Times New Roman"/>
                <w:color w:val="auto"/>
                <w:sz w:val="24"/>
                <w:szCs w:val="32"/>
                <w:vertAlign w:val="superscript"/>
                <w:lang w:val="en-US" w:eastAsia="zh-CN"/>
              </w:rPr>
              <w:t>2</w:t>
            </w:r>
            <w:r>
              <w:rPr>
                <w:rFonts w:ascii="Times New Roman" w:hAnsi="Times New Roman" w:eastAsia="宋体" w:cs="Times New Roman"/>
                <w:color w:val="auto"/>
                <w:sz w:val="24"/>
                <w:szCs w:val="32"/>
                <w:lang w:val="en-US" w:eastAsia="zh-CN"/>
              </w:rPr>
              <w:t>，其中工程建设扰动面积</w:t>
            </w:r>
            <w:r>
              <w:rPr>
                <w:rFonts w:hint="default" w:ascii="Times New Roman" w:hAnsi="Times New Roman" w:eastAsia="宋体" w:cs="Times New Roman"/>
                <w:color w:val="auto"/>
                <w:sz w:val="24"/>
                <w:szCs w:val="32"/>
                <w:lang w:val="en-US" w:eastAsia="zh-CN"/>
              </w:rPr>
              <w:t>26.20hm</w:t>
            </w:r>
            <w:r>
              <w:rPr>
                <w:rFonts w:hint="default" w:ascii="Times New Roman" w:hAnsi="Times New Roman" w:eastAsia="宋体" w:cs="Times New Roman"/>
                <w:color w:val="auto"/>
                <w:sz w:val="24"/>
                <w:szCs w:val="32"/>
                <w:vertAlign w:val="superscript"/>
                <w:lang w:val="en-US" w:eastAsia="zh-CN"/>
              </w:rPr>
              <w:t>2</w:t>
            </w:r>
            <w:r>
              <w:rPr>
                <w:rFonts w:ascii="Times New Roman" w:hAnsi="Times New Roman" w:eastAsia="宋体" w:cs="Times New Roman"/>
                <w:color w:val="auto"/>
                <w:sz w:val="24"/>
                <w:szCs w:val="32"/>
                <w:lang w:val="en-US" w:eastAsia="zh-CN"/>
              </w:rPr>
              <w:t>，不扰动面积为</w:t>
            </w:r>
            <w:r>
              <w:rPr>
                <w:rFonts w:hint="default" w:ascii="Times New Roman" w:hAnsi="Times New Roman" w:eastAsia="宋体" w:cs="Times New Roman"/>
                <w:color w:val="auto"/>
                <w:sz w:val="24"/>
                <w:szCs w:val="32"/>
                <w:lang w:val="en-US" w:eastAsia="zh-CN"/>
              </w:rPr>
              <w:t>235.69hm</w:t>
            </w:r>
            <w:r>
              <w:rPr>
                <w:rFonts w:hint="default" w:ascii="Times New Roman" w:hAnsi="Times New Roman" w:eastAsia="宋体" w:cs="Times New Roman"/>
                <w:color w:val="auto"/>
                <w:sz w:val="24"/>
                <w:szCs w:val="32"/>
                <w:vertAlign w:val="superscript"/>
                <w:lang w:val="en-US" w:eastAsia="zh-CN"/>
              </w:rPr>
              <w:t>2</w:t>
            </w:r>
            <w:r>
              <w:rPr>
                <w:rFonts w:ascii="Times New Roman" w:hAnsi="Times New Roman" w:eastAsia="宋体" w:cs="Times New Roman"/>
                <w:color w:val="auto"/>
                <w:sz w:val="24"/>
                <w:szCs w:val="32"/>
                <w:lang w:val="en-US" w:eastAsia="zh-CN"/>
              </w:rPr>
              <w:t>。按占地性质，永久占地</w:t>
            </w:r>
            <w:r>
              <w:rPr>
                <w:rFonts w:hint="default" w:ascii="Times New Roman" w:hAnsi="Times New Roman" w:eastAsia="宋体" w:cs="Times New Roman"/>
                <w:color w:val="auto"/>
                <w:sz w:val="24"/>
                <w:szCs w:val="32"/>
                <w:lang w:val="en-US" w:eastAsia="zh-CN"/>
              </w:rPr>
              <w:t>2.94hm</w:t>
            </w:r>
            <w:r>
              <w:rPr>
                <w:rFonts w:hint="default" w:ascii="Times New Roman" w:hAnsi="Times New Roman" w:eastAsia="宋体" w:cs="Times New Roman"/>
                <w:color w:val="auto"/>
                <w:sz w:val="24"/>
                <w:szCs w:val="32"/>
                <w:vertAlign w:val="superscript"/>
                <w:lang w:val="en-US" w:eastAsia="zh-CN"/>
              </w:rPr>
              <w:t>2</w:t>
            </w:r>
            <w:r>
              <w:rPr>
                <w:rFonts w:ascii="Times New Roman" w:hAnsi="Times New Roman" w:eastAsia="宋体" w:cs="Times New Roman"/>
                <w:color w:val="auto"/>
                <w:sz w:val="24"/>
                <w:szCs w:val="32"/>
                <w:lang w:val="en-US" w:eastAsia="zh-CN"/>
              </w:rPr>
              <w:t>，临时占地</w:t>
            </w:r>
            <w:r>
              <w:rPr>
                <w:rFonts w:hint="default" w:ascii="Times New Roman" w:hAnsi="Times New Roman" w:eastAsia="宋体" w:cs="Times New Roman"/>
                <w:color w:val="auto"/>
                <w:sz w:val="24"/>
                <w:szCs w:val="32"/>
                <w:lang w:val="en-US" w:eastAsia="zh-CN"/>
              </w:rPr>
              <w:t>258.95hm</w:t>
            </w:r>
            <w:r>
              <w:rPr>
                <w:rFonts w:hint="default" w:ascii="Times New Roman" w:hAnsi="Times New Roman" w:eastAsia="宋体" w:cs="Times New Roman"/>
                <w:color w:val="auto"/>
                <w:sz w:val="24"/>
                <w:szCs w:val="32"/>
                <w:vertAlign w:val="superscript"/>
                <w:lang w:val="en-US" w:eastAsia="zh-CN"/>
              </w:rPr>
              <w:t>2</w:t>
            </w:r>
            <w:r>
              <w:rPr>
                <w:rFonts w:ascii="Times New Roman" w:hAnsi="Times New Roman" w:eastAsia="宋体" w:cs="Times New Roman"/>
                <w:color w:val="auto"/>
                <w:sz w:val="24"/>
                <w:szCs w:val="32"/>
                <w:lang w:val="en-US" w:eastAsia="zh-CN"/>
              </w:rPr>
              <w:t>。按项目组成划分，其中光伏发电区占地面积</w:t>
            </w:r>
            <w:r>
              <w:rPr>
                <w:rFonts w:hint="default" w:ascii="Times New Roman" w:hAnsi="Times New Roman" w:eastAsia="宋体" w:cs="Times New Roman"/>
                <w:color w:val="auto"/>
                <w:sz w:val="24"/>
                <w:szCs w:val="32"/>
                <w:lang w:val="en-US" w:eastAsia="zh-CN"/>
              </w:rPr>
              <w:t>236.23hm</w:t>
            </w:r>
            <w:r>
              <w:rPr>
                <w:rFonts w:hint="default" w:ascii="Times New Roman" w:hAnsi="Times New Roman" w:eastAsia="宋体" w:cs="Times New Roman"/>
                <w:color w:val="auto"/>
                <w:sz w:val="24"/>
                <w:szCs w:val="32"/>
                <w:vertAlign w:val="superscript"/>
                <w:lang w:val="en-US" w:eastAsia="zh-CN"/>
              </w:rPr>
              <w:t>2</w:t>
            </w:r>
            <w:r>
              <w:rPr>
                <w:rFonts w:ascii="Times New Roman" w:hAnsi="Times New Roman" w:eastAsia="宋体" w:cs="Times New Roman"/>
                <w:color w:val="auto"/>
                <w:sz w:val="24"/>
                <w:szCs w:val="32"/>
                <w:vertAlign w:val="baseline"/>
                <w:lang w:val="en-US" w:eastAsia="zh-CN"/>
              </w:rPr>
              <w:t>，</w:t>
            </w:r>
            <w:r>
              <w:rPr>
                <w:rFonts w:ascii="Times New Roman" w:hAnsi="Times New Roman" w:eastAsia="宋体" w:cs="Times New Roman"/>
                <w:color w:val="auto"/>
                <w:sz w:val="24"/>
                <w:szCs w:val="32"/>
                <w:lang w:val="en-US" w:eastAsia="zh-CN"/>
              </w:rPr>
              <w:t>集电线路区占地面积</w:t>
            </w:r>
            <w:r>
              <w:rPr>
                <w:rFonts w:hint="default" w:ascii="Times New Roman" w:hAnsi="Times New Roman" w:eastAsia="宋体" w:cs="Times New Roman"/>
                <w:color w:val="auto"/>
                <w:sz w:val="24"/>
                <w:szCs w:val="32"/>
                <w:lang w:val="en-US" w:eastAsia="zh-CN"/>
              </w:rPr>
              <w:t>2.13hm</w:t>
            </w:r>
            <w:r>
              <w:rPr>
                <w:rFonts w:hint="default" w:ascii="Times New Roman" w:hAnsi="Times New Roman" w:eastAsia="宋体" w:cs="Times New Roman"/>
                <w:color w:val="auto"/>
                <w:sz w:val="24"/>
                <w:szCs w:val="32"/>
                <w:vertAlign w:val="superscript"/>
                <w:lang w:val="en-US" w:eastAsia="zh-CN"/>
              </w:rPr>
              <w:t>2</w:t>
            </w:r>
            <w:r>
              <w:rPr>
                <w:rFonts w:ascii="Times New Roman" w:hAnsi="Times New Roman" w:eastAsia="宋体" w:cs="Times New Roman"/>
                <w:color w:val="auto"/>
                <w:sz w:val="24"/>
                <w:szCs w:val="32"/>
                <w:lang w:val="en-US" w:eastAsia="zh-CN"/>
              </w:rPr>
              <w:t>，箱变及分支箱占地面积</w:t>
            </w:r>
            <w:r>
              <w:rPr>
                <w:rFonts w:hint="default" w:ascii="Times New Roman" w:hAnsi="Times New Roman" w:eastAsia="宋体" w:cs="Times New Roman"/>
                <w:color w:val="auto"/>
                <w:sz w:val="24"/>
                <w:szCs w:val="32"/>
                <w:lang w:val="en-US" w:eastAsia="zh-CN"/>
              </w:rPr>
              <w:t>0.17hm</w:t>
            </w:r>
            <w:r>
              <w:rPr>
                <w:rFonts w:hint="default" w:ascii="Times New Roman" w:hAnsi="Times New Roman" w:eastAsia="宋体" w:cs="Times New Roman"/>
                <w:color w:val="auto"/>
                <w:sz w:val="24"/>
                <w:szCs w:val="32"/>
                <w:vertAlign w:val="superscript"/>
                <w:lang w:val="en-US" w:eastAsia="zh-CN"/>
              </w:rPr>
              <w:t>2</w:t>
            </w:r>
            <w:r>
              <w:rPr>
                <w:rFonts w:ascii="Times New Roman" w:hAnsi="Times New Roman" w:eastAsia="宋体" w:cs="Times New Roman"/>
                <w:color w:val="auto"/>
                <w:sz w:val="24"/>
                <w:szCs w:val="32"/>
                <w:lang w:val="en-US" w:eastAsia="zh-CN"/>
              </w:rPr>
              <w:t>，升压站区占地面积</w:t>
            </w:r>
            <w:r>
              <w:rPr>
                <w:rFonts w:hint="default" w:ascii="Times New Roman" w:hAnsi="Times New Roman" w:eastAsia="宋体" w:cs="Times New Roman"/>
                <w:color w:val="auto"/>
                <w:sz w:val="24"/>
                <w:szCs w:val="32"/>
                <w:lang w:val="en-US" w:eastAsia="zh-CN"/>
              </w:rPr>
              <w:t>0.67hm</w:t>
            </w:r>
            <w:r>
              <w:rPr>
                <w:rFonts w:hint="default" w:ascii="Times New Roman" w:hAnsi="Times New Roman" w:eastAsia="宋体" w:cs="Times New Roman"/>
                <w:color w:val="auto"/>
                <w:sz w:val="24"/>
                <w:szCs w:val="32"/>
                <w:vertAlign w:val="superscript"/>
                <w:lang w:val="en-US" w:eastAsia="zh-CN"/>
              </w:rPr>
              <w:t>2</w:t>
            </w:r>
            <w:r>
              <w:rPr>
                <w:rFonts w:ascii="Times New Roman" w:hAnsi="Times New Roman" w:eastAsia="宋体" w:cs="Times New Roman"/>
                <w:color w:val="auto"/>
                <w:sz w:val="24"/>
                <w:szCs w:val="32"/>
                <w:lang w:val="en-US" w:eastAsia="zh-CN"/>
              </w:rPr>
              <w:t>，场内道路区占地面积</w:t>
            </w:r>
            <w:r>
              <w:rPr>
                <w:rFonts w:hint="default" w:ascii="Times New Roman" w:hAnsi="Times New Roman" w:eastAsia="宋体" w:cs="Times New Roman"/>
                <w:color w:val="auto"/>
                <w:sz w:val="24"/>
                <w:szCs w:val="32"/>
                <w:lang w:val="en-US" w:eastAsia="zh-CN"/>
              </w:rPr>
              <w:t>20.37hm</w:t>
            </w:r>
            <w:r>
              <w:rPr>
                <w:rFonts w:hint="default" w:ascii="Times New Roman" w:hAnsi="Times New Roman" w:eastAsia="宋体" w:cs="Times New Roman"/>
                <w:color w:val="auto"/>
                <w:sz w:val="24"/>
                <w:szCs w:val="32"/>
                <w:vertAlign w:val="superscript"/>
                <w:lang w:val="en-US" w:eastAsia="zh-CN"/>
              </w:rPr>
              <w:t>2</w:t>
            </w:r>
            <w:r>
              <w:rPr>
                <w:rFonts w:ascii="Times New Roman" w:hAnsi="Times New Roman" w:eastAsia="宋体" w:cs="Times New Roman"/>
                <w:color w:val="auto"/>
                <w:sz w:val="24"/>
                <w:szCs w:val="32"/>
                <w:lang w:val="en-US" w:eastAsia="zh-CN"/>
              </w:rPr>
              <w:t>，施工生产生活区占地面积</w:t>
            </w:r>
            <w:r>
              <w:rPr>
                <w:rFonts w:hint="default" w:ascii="Times New Roman" w:hAnsi="Times New Roman" w:eastAsia="宋体" w:cs="Times New Roman"/>
                <w:color w:val="auto"/>
                <w:sz w:val="24"/>
                <w:szCs w:val="32"/>
                <w:lang w:val="en-US" w:eastAsia="zh-CN"/>
              </w:rPr>
              <w:t>1.19hm</w:t>
            </w:r>
            <w:r>
              <w:rPr>
                <w:rFonts w:hint="default" w:ascii="Times New Roman" w:hAnsi="Times New Roman" w:eastAsia="宋体" w:cs="Times New Roman"/>
                <w:color w:val="auto"/>
                <w:sz w:val="24"/>
                <w:szCs w:val="32"/>
                <w:vertAlign w:val="superscript"/>
                <w:lang w:val="en-US" w:eastAsia="zh-CN"/>
              </w:rPr>
              <w:t>2</w:t>
            </w:r>
            <w:r>
              <w:rPr>
                <w:rFonts w:ascii="Times New Roman" w:hAnsi="Times New Roman" w:eastAsia="宋体" w:cs="Times New Roman"/>
                <w:color w:val="auto"/>
                <w:sz w:val="24"/>
                <w:szCs w:val="32"/>
                <w:lang w:val="en-US" w:eastAsia="zh-CN"/>
              </w:rPr>
              <w:t>，弃渣场占地面积</w:t>
            </w:r>
            <w:r>
              <w:rPr>
                <w:rFonts w:hint="default" w:ascii="Times New Roman" w:hAnsi="Times New Roman" w:eastAsia="宋体" w:cs="Times New Roman"/>
                <w:color w:val="auto"/>
                <w:sz w:val="24"/>
                <w:szCs w:val="32"/>
                <w:lang w:val="en-US" w:eastAsia="zh-CN"/>
              </w:rPr>
              <w:t>1.13hm</w:t>
            </w:r>
            <w:r>
              <w:rPr>
                <w:rFonts w:hint="default" w:ascii="Times New Roman" w:hAnsi="Times New Roman" w:eastAsia="宋体" w:cs="Times New Roman"/>
                <w:color w:val="auto"/>
                <w:sz w:val="24"/>
                <w:szCs w:val="32"/>
                <w:vertAlign w:val="superscript"/>
                <w:lang w:val="en-US" w:eastAsia="zh-CN"/>
              </w:rPr>
              <w:t>2</w:t>
            </w:r>
            <w:r>
              <w:rPr>
                <w:rFonts w:ascii="Times New Roman" w:hAnsi="Times New Roman" w:eastAsia="宋体" w:cs="Times New Roman"/>
                <w:color w:val="auto"/>
                <w:sz w:val="24"/>
                <w:szCs w:val="32"/>
                <w:lang w:val="en-US" w:eastAsia="zh-CN"/>
              </w:rPr>
              <w:t>。工程主要占地类型为草地、林地和交通运输用地。其中林地主要为郁闭度小于</w:t>
            </w:r>
            <w:r>
              <w:rPr>
                <w:rFonts w:hint="default" w:ascii="Times New Roman" w:hAnsi="Times New Roman" w:eastAsia="宋体" w:cs="Times New Roman"/>
                <w:color w:val="auto"/>
                <w:sz w:val="24"/>
                <w:szCs w:val="32"/>
                <w:lang w:val="en-US" w:eastAsia="zh-CN"/>
              </w:rPr>
              <w:t>50%</w:t>
            </w:r>
            <w:r>
              <w:rPr>
                <w:rFonts w:ascii="Times New Roman" w:hAnsi="Times New Roman" w:eastAsia="宋体" w:cs="Times New Roman"/>
                <w:color w:val="auto"/>
                <w:sz w:val="24"/>
                <w:szCs w:val="32"/>
                <w:lang w:val="en-US" w:eastAsia="zh-CN"/>
              </w:rPr>
              <w:t>的灌木林地。项目占地类型及面积统计详见下表</w:t>
            </w:r>
            <w:r>
              <w:rPr>
                <w:rFonts w:hint="default" w:ascii="Times New Roman" w:hAnsi="Times New Roman" w:eastAsia="宋体" w:cs="Times New Roman"/>
                <w:color w:val="auto"/>
                <w:sz w:val="24"/>
                <w:szCs w:val="32"/>
                <w:lang w:val="en-US" w:eastAsia="zh-CN"/>
              </w:rPr>
              <w:t>2-8</w:t>
            </w:r>
            <w:r>
              <w:rPr>
                <w:rFonts w:ascii="Times New Roman" w:hAnsi="Times New Roman" w:eastAsia="宋体" w:cs="Times New Roman"/>
                <w:color w:val="auto"/>
                <w:sz w:val="24"/>
                <w:szCs w:val="32"/>
                <w:lang w:val="en-US" w:eastAsia="zh-CN"/>
              </w:rPr>
              <w:t>。</w:t>
            </w:r>
          </w:p>
          <w:p>
            <w:pPr>
              <w:adjustRightInd w:val="0"/>
              <w:snapToGrid w:val="0"/>
              <w:spacing w:line="360" w:lineRule="auto"/>
              <w:rPr>
                <w:rFonts w:ascii="Times New Roman" w:hAnsi="Times New Roman" w:eastAsia="宋体" w:cs="Times New Roman"/>
                <w:color w:val="auto"/>
                <w:kern w:val="0"/>
                <w:sz w:val="28"/>
                <w:szCs w:val="28"/>
              </w:rPr>
            </w:pPr>
            <w:r>
              <w:rPr>
                <w:rFonts w:hint="eastAsia" w:ascii="Times New Roman" w:hAnsi="Times New Roman" w:eastAsia="宋体" w:cs="Times New Roman"/>
                <w:b/>
                <w:bCs/>
                <w:color w:val="auto"/>
                <w:kern w:val="0"/>
                <w:sz w:val="28"/>
                <w:szCs w:val="28"/>
              </w:rPr>
              <w:t>2.</w:t>
            </w:r>
            <w:r>
              <w:rPr>
                <w:rFonts w:hint="eastAsia" w:cs="Times New Roman"/>
                <w:b/>
                <w:bCs/>
                <w:color w:val="auto"/>
                <w:kern w:val="0"/>
                <w:sz w:val="28"/>
                <w:szCs w:val="28"/>
                <w:lang w:val="en-US" w:eastAsia="zh-CN"/>
              </w:rPr>
              <w:t>10</w:t>
            </w:r>
            <w:r>
              <w:rPr>
                <w:rFonts w:hint="eastAsia" w:ascii="Times New Roman" w:hAnsi="Times New Roman" w:eastAsia="宋体" w:cs="Times New Roman"/>
                <w:b/>
                <w:bCs/>
                <w:color w:val="auto"/>
                <w:kern w:val="0"/>
                <w:sz w:val="28"/>
                <w:szCs w:val="28"/>
              </w:rPr>
              <w:t xml:space="preserve"> </w:t>
            </w:r>
            <w:r>
              <w:rPr>
                <w:rFonts w:ascii="Times New Roman" w:hAnsi="Times New Roman" w:eastAsia="宋体" w:cs="Times New Roman"/>
                <w:b/>
                <w:bCs/>
                <w:color w:val="auto"/>
                <w:kern w:val="0"/>
                <w:sz w:val="28"/>
                <w:szCs w:val="28"/>
              </w:rPr>
              <w:t>拆迁（移民）安置与专项设施改（迁）建</w:t>
            </w:r>
          </w:p>
          <w:p>
            <w:pPr>
              <w:adjustRightInd w:val="0"/>
              <w:snapToGrid w:val="0"/>
              <w:spacing w:line="360" w:lineRule="auto"/>
              <w:ind w:firstLine="480" w:firstLineChars="200"/>
              <w:rPr>
                <w:rFonts w:hint="eastAsia" w:ascii="Times New Roman" w:hAnsi="Times New Roman" w:eastAsia="宋体" w:cs="Times New Roman"/>
                <w:color w:val="auto"/>
                <w:sz w:val="24"/>
                <w:szCs w:val="32"/>
                <w:lang w:val="en-US" w:eastAsia="zh-CN"/>
              </w:rPr>
            </w:pPr>
            <w:r>
              <w:rPr>
                <w:rFonts w:hint="eastAsia" w:ascii="Times New Roman" w:hAnsi="Times New Roman" w:eastAsia="宋体" w:cs="Times New Roman"/>
                <w:color w:val="auto"/>
                <w:sz w:val="24"/>
                <w:szCs w:val="32"/>
                <w:lang w:val="en-US" w:eastAsia="zh-CN"/>
              </w:rPr>
              <w:t>本工程不涉及移民搬迁人口，永久占地进行征地，临时用地进行租用。</w:t>
            </w:r>
          </w:p>
          <w:p>
            <w:pPr>
              <w:adjustRightInd w:val="0"/>
              <w:snapToGrid w:val="0"/>
              <w:spacing w:line="360" w:lineRule="auto"/>
              <w:rPr>
                <w:rFonts w:ascii="Times New Roman" w:hAnsi="Times New Roman" w:eastAsia="宋体" w:cs="Times New Roman"/>
                <w:color w:val="auto"/>
                <w:kern w:val="0"/>
                <w:sz w:val="28"/>
                <w:szCs w:val="28"/>
              </w:rPr>
            </w:pPr>
            <w:r>
              <w:rPr>
                <w:rFonts w:hint="eastAsia" w:ascii="Times New Roman" w:hAnsi="Times New Roman" w:eastAsia="宋体" w:cs="Times New Roman"/>
                <w:b/>
                <w:bCs/>
                <w:color w:val="auto"/>
                <w:kern w:val="0"/>
                <w:sz w:val="28"/>
                <w:szCs w:val="28"/>
              </w:rPr>
              <w:t>2.</w:t>
            </w:r>
            <w:r>
              <w:rPr>
                <w:rFonts w:hint="eastAsia" w:cs="Times New Roman"/>
                <w:b/>
                <w:bCs/>
                <w:color w:val="auto"/>
                <w:kern w:val="0"/>
                <w:sz w:val="28"/>
                <w:szCs w:val="28"/>
                <w:lang w:val="en-US" w:eastAsia="zh-CN"/>
              </w:rPr>
              <w:t>11</w:t>
            </w:r>
            <w:r>
              <w:rPr>
                <w:rFonts w:hint="eastAsia" w:ascii="Times New Roman" w:hAnsi="Times New Roman" w:eastAsia="宋体" w:cs="Times New Roman"/>
                <w:b/>
                <w:bCs/>
                <w:color w:val="auto"/>
                <w:kern w:val="0"/>
                <w:sz w:val="28"/>
                <w:szCs w:val="28"/>
              </w:rPr>
              <w:t xml:space="preserve"> </w:t>
            </w:r>
            <w:r>
              <w:rPr>
                <w:rFonts w:ascii="Times New Roman" w:hAnsi="Times New Roman" w:eastAsia="宋体" w:cs="Times New Roman"/>
                <w:b/>
                <w:bCs/>
                <w:color w:val="auto"/>
                <w:kern w:val="0"/>
                <w:sz w:val="28"/>
                <w:szCs w:val="28"/>
              </w:rPr>
              <w:t>施工进度、投资及资金来源</w:t>
            </w:r>
          </w:p>
          <w:p>
            <w:pPr>
              <w:adjustRightInd w:val="0"/>
              <w:snapToGrid w:val="0"/>
              <w:spacing w:line="360" w:lineRule="auto"/>
              <w:ind w:firstLine="480" w:firstLineChars="200"/>
              <w:rPr>
                <w:rFonts w:ascii="Times New Roman" w:hAnsi="Times New Roman" w:eastAsia="宋体" w:cs="Times New Roman"/>
                <w:color w:val="auto"/>
                <w:sz w:val="24"/>
                <w:szCs w:val="32"/>
                <w:lang w:val="en-US" w:eastAsia="zh-CN"/>
              </w:rPr>
            </w:pPr>
            <w:r>
              <w:rPr>
                <w:rFonts w:hint="eastAsia" w:ascii="Times New Roman" w:hAnsi="Times New Roman" w:eastAsia="宋体" w:cs="Times New Roman"/>
                <w:color w:val="auto"/>
                <w:sz w:val="24"/>
                <w:szCs w:val="32"/>
                <w:lang w:val="en-US" w:eastAsia="zh-CN"/>
              </w:rPr>
              <w:t>工程施工期为7个月，资金来源：光伏电站投资20%为资本金。工程静态投资：25510.2万元，单位千瓦分摊投资：3640.67元/kWp；工程动态投资：25766.15万元，单位千瓦分摊投资：3677.20元/kWp。其中：建设期贷款利息：255.95万元。</w:t>
            </w:r>
          </w:p>
          <w:p>
            <w:pPr>
              <w:adjustRightInd w:val="0"/>
              <w:snapToGrid w:val="0"/>
              <w:spacing w:line="360" w:lineRule="auto"/>
              <w:ind w:firstLine="420" w:firstLineChars="200"/>
              <w:rPr>
                <w:rFonts w:ascii="Times New Roman" w:hAnsi="Times New Roman" w:eastAsia="宋体" w:cs="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426" w:type="dxa"/>
            <w:noWrap w:val="0"/>
            <w:vAlign w:val="center"/>
          </w:tcPr>
          <w:p>
            <w:pPr>
              <w:adjustRightInd w:val="0"/>
              <w:snapToGrid w:val="0"/>
              <w:jc w:val="center"/>
              <w:rPr>
                <w:rFonts w:hint="eastAsia" w:ascii="宋体" w:hAnsi="宋体" w:eastAsia="宋体" w:cs="宋体"/>
                <w:color w:val="auto"/>
                <w:kern w:val="0"/>
                <w:szCs w:val="21"/>
              </w:rPr>
            </w:pPr>
            <w:r>
              <w:rPr>
                <w:rFonts w:hint="eastAsia" w:ascii="宋体" w:hAnsi="宋体" w:eastAsia="宋体" w:cs="宋体"/>
                <w:color w:val="auto"/>
                <w:kern w:val="0"/>
                <w:szCs w:val="21"/>
              </w:rPr>
              <w:t>其他</w:t>
            </w:r>
          </w:p>
        </w:tc>
        <w:tc>
          <w:tcPr>
            <w:tcW w:w="8808" w:type="dxa"/>
            <w:noWrap w:val="0"/>
            <w:vAlign w:val="center"/>
          </w:tcPr>
          <w:p>
            <w:pPr>
              <w:adjustRightInd w:val="0"/>
              <w:snapToGrid w:val="0"/>
              <w:spacing w:line="360" w:lineRule="auto"/>
              <w:ind w:firstLine="420" w:firstLineChars="200"/>
              <w:rPr>
                <w:rFonts w:hint="eastAsia" w:ascii="宋体" w:hAnsi="宋体" w:eastAsia="宋体" w:cs="宋体"/>
                <w:color w:val="auto"/>
                <w:kern w:val="0"/>
                <w:szCs w:val="21"/>
              </w:rPr>
            </w:pPr>
            <w:r>
              <w:rPr>
                <w:rFonts w:hint="eastAsia" w:ascii="宋体" w:hAnsi="宋体" w:eastAsia="宋体" w:cs="宋体"/>
                <w:color w:val="auto"/>
                <w:kern w:val="0"/>
                <w:szCs w:val="21"/>
              </w:rPr>
              <w:t>无</w:t>
            </w:r>
          </w:p>
        </w:tc>
      </w:tr>
    </w:tbl>
    <w:p>
      <w:pPr>
        <w:rPr>
          <w:rFonts w:hint="default"/>
          <w:lang w:val="en-US" w:eastAsia="zh-CN"/>
        </w:rPr>
        <w:sectPr>
          <w:footerReference r:id="rId6" w:type="default"/>
          <w:pgSz w:w="11906" w:h="16838"/>
          <w:pgMar w:top="1701" w:right="1531" w:bottom="1701" w:left="1531"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adjustRightInd w:val="0"/>
        <w:snapToGrid w:val="0"/>
        <w:spacing w:line="240" w:lineRule="auto"/>
        <w:jc w:val="center"/>
        <w:rPr>
          <w:rFonts w:hint="eastAsia" w:ascii="Times New Roman" w:hAnsi="Times New Roman" w:eastAsia="宋体" w:cs="Times New Roman"/>
          <w:b/>
          <w:bCs/>
          <w:szCs w:val="28"/>
          <w:vertAlign w:val="superscript"/>
          <w:lang w:val="en-US" w:eastAsia="en-US"/>
        </w:rPr>
      </w:pPr>
      <w:r>
        <w:rPr>
          <w:rFonts w:hint="eastAsia" w:ascii="Times New Roman" w:hAnsi="Times New Roman" w:eastAsia="宋体" w:cs="Times New Roman"/>
          <w:b/>
          <w:bCs/>
          <w:szCs w:val="28"/>
          <w:lang w:val="en-US" w:eastAsia="en-US"/>
        </w:rPr>
        <w:t>表2</w:t>
      </w:r>
      <w:r>
        <w:rPr>
          <w:rFonts w:hint="eastAsia" w:ascii="Times New Roman" w:hAnsi="Times New Roman" w:eastAsia="宋体" w:cs="Times New Roman"/>
          <w:b/>
          <w:bCs/>
          <w:szCs w:val="28"/>
          <w:lang w:val="en-US" w:eastAsia="zh-CN"/>
        </w:rPr>
        <w:t>.8</w:t>
      </w:r>
      <w:r>
        <w:rPr>
          <w:rFonts w:hint="eastAsia" w:ascii="Times New Roman" w:hAnsi="Times New Roman" w:eastAsia="宋体" w:cs="Times New Roman"/>
          <w:b/>
          <w:bCs/>
          <w:szCs w:val="28"/>
          <w:lang w:val="en-US" w:eastAsia="en-US"/>
        </w:rPr>
        <w:t>-</w:t>
      </w:r>
      <w:r>
        <w:rPr>
          <w:rFonts w:hint="eastAsia" w:ascii="Times New Roman" w:hAnsi="Times New Roman" w:eastAsia="宋体" w:cs="Times New Roman"/>
          <w:b/>
          <w:bCs/>
          <w:szCs w:val="28"/>
          <w:lang w:val="en-US" w:eastAsia="zh-CN"/>
        </w:rPr>
        <w:t>1</w:t>
      </w:r>
      <w:r>
        <w:rPr>
          <w:rFonts w:hint="eastAsia" w:ascii="Times New Roman" w:hAnsi="Times New Roman" w:eastAsia="宋体" w:cs="Times New Roman"/>
          <w:b/>
          <w:bCs/>
          <w:szCs w:val="28"/>
          <w:lang w:val="en-US" w:eastAsia="en-US"/>
        </w:rPr>
        <w:t xml:space="preserve">  </w:t>
      </w:r>
      <w:r>
        <w:rPr>
          <w:rFonts w:hint="eastAsia" w:ascii="Times New Roman" w:hAnsi="Times New Roman" w:eastAsia="宋体" w:cs="Times New Roman"/>
          <w:b/>
          <w:bCs/>
          <w:szCs w:val="28"/>
          <w:lang w:val="en-US" w:eastAsia="zh-CN"/>
        </w:rPr>
        <w:t>变更后</w:t>
      </w:r>
      <w:r>
        <w:rPr>
          <w:rFonts w:hint="eastAsia" w:ascii="Times New Roman" w:hAnsi="Times New Roman" w:eastAsia="宋体" w:cs="Times New Roman"/>
          <w:b/>
          <w:bCs/>
          <w:szCs w:val="28"/>
          <w:lang w:val="en-US" w:eastAsia="en-US"/>
        </w:rPr>
        <w:t>土石方平衡表  单位：万 m</w:t>
      </w:r>
      <w:r>
        <w:rPr>
          <w:rFonts w:hint="eastAsia" w:ascii="Times New Roman" w:hAnsi="Times New Roman" w:eastAsia="宋体" w:cs="Times New Roman"/>
          <w:b/>
          <w:bCs/>
          <w:szCs w:val="28"/>
          <w:vertAlign w:val="superscript"/>
          <w:lang w:val="en-US" w:eastAsia="en-US"/>
        </w:rPr>
        <w:t>3</w:t>
      </w:r>
    </w:p>
    <w:tbl>
      <w:tblPr>
        <w:tblStyle w:val="32"/>
        <w:tblW w:w="14177"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5"/>
        <w:gridCol w:w="1265"/>
        <w:gridCol w:w="1474"/>
        <w:gridCol w:w="854"/>
        <w:gridCol w:w="792"/>
        <w:gridCol w:w="725"/>
        <w:gridCol w:w="1115"/>
        <w:gridCol w:w="620"/>
        <w:gridCol w:w="1443"/>
        <w:gridCol w:w="620"/>
        <w:gridCol w:w="1919"/>
        <w:gridCol w:w="620"/>
        <w:gridCol w:w="620"/>
        <w:gridCol w:w="620"/>
        <w:gridCol w:w="985"/>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505" w:type="dxa"/>
            <w:vMerge w:val="restart"/>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序号</w:t>
            </w:r>
          </w:p>
        </w:tc>
        <w:tc>
          <w:tcPr>
            <w:tcW w:w="2739" w:type="dxa"/>
            <w:gridSpan w:val="2"/>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项目组成</w:t>
            </w:r>
          </w:p>
        </w:tc>
        <w:tc>
          <w:tcPr>
            <w:tcW w:w="2371" w:type="dxa"/>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挖方</w:t>
            </w: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填方</w:t>
            </w:r>
          </w:p>
        </w:tc>
        <w:tc>
          <w:tcPr>
            <w:tcW w:w="2063"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调入</w:t>
            </w:r>
          </w:p>
        </w:tc>
        <w:tc>
          <w:tcPr>
            <w:tcW w:w="2539"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调出</w:t>
            </w:r>
          </w:p>
        </w:tc>
        <w:tc>
          <w:tcPr>
            <w:tcW w:w="1240"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外借</w:t>
            </w:r>
          </w:p>
        </w:tc>
        <w:tc>
          <w:tcPr>
            <w:tcW w:w="1605"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弃方</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505"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p>
        </w:tc>
        <w:tc>
          <w:tcPr>
            <w:tcW w:w="2739" w:type="dxa"/>
            <w:gridSpan w:val="2"/>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p>
        </w:tc>
        <w:tc>
          <w:tcPr>
            <w:tcW w:w="85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场地平整</w:t>
            </w:r>
          </w:p>
        </w:tc>
        <w:tc>
          <w:tcPr>
            <w:tcW w:w="79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基础</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开挖</w:t>
            </w:r>
          </w:p>
        </w:tc>
        <w:tc>
          <w:tcPr>
            <w:tcW w:w="7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小计</w:t>
            </w: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场平及基</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础回填</w:t>
            </w:r>
          </w:p>
        </w:tc>
        <w:tc>
          <w:tcPr>
            <w:tcW w:w="620" w:type="dxa"/>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数量</w:t>
            </w:r>
          </w:p>
        </w:tc>
        <w:tc>
          <w:tcPr>
            <w:tcW w:w="144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来源</w:t>
            </w:r>
          </w:p>
        </w:tc>
        <w:tc>
          <w:tcPr>
            <w:tcW w:w="620" w:type="dxa"/>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数量</w:t>
            </w:r>
          </w:p>
        </w:tc>
        <w:tc>
          <w:tcPr>
            <w:tcW w:w="19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去向</w:t>
            </w:r>
          </w:p>
        </w:tc>
        <w:tc>
          <w:tcPr>
            <w:tcW w:w="620" w:type="dxa"/>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数量</w:t>
            </w:r>
          </w:p>
        </w:tc>
        <w:tc>
          <w:tcPr>
            <w:tcW w:w="620" w:type="dxa"/>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来源</w:t>
            </w:r>
          </w:p>
        </w:tc>
        <w:tc>
          <w:tcPr>
            <w:tcW w:w="620" w:type="dxa"/>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数量</w:t>
            </w:r>
          </w:p>
        </w:tc>
        <w:tc>
          <w:tcPr>
            <w:tcW w:w="98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去向</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505"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w:t>
            </w:r>
          </w:p>
        </w:tc>
        <w:tc>
          <w:tcPr>
            <w:tcW w:w="1265"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光伏发电区</w:t>
            </w:r>
          </w:p>
        </w:tc>
        <w:tc>
          <w:tcPr>
            <w:tcW w:w="14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松树湾片区</w:t>
            </w:r>
          </w:p>
        </w:tc>
        <w:tc>
          <w:tcPr>
            <w:tcW w:w="85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0.10</w:t>
            </w:r>
          </w:p>
        </w:tc>
        <w:tc>
          <w:tcPr>
            <w:tcW w:w="79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7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0.10</w:t>
            </w: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0.10</w:t>
            </w: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44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9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98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50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26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4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阿郎片区</w:t>
            </w:r>
          </w:p>
        </w:tc>
        <w:tc>
          <w:tcPr>
            <w:tcW w:w="85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79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7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44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9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98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50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26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4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沙沟片区</w:t>
            </w:r>
          </w:p>
        </w:tc>
        <w:tc>
          <w:tcPr>
            <w:tcW w:w="85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0.21</w:t>
            </w:r>
          </w:p>
        </w:tc>
        <w:tc>
          <w:tcPr>
            <w:tcW w:w="79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0.14</w:t>
            </w:r>
          </w:p>
        </w:tc>
        <w:tc>
          <w:tcPr>
            <w:tcW w:w="7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0.35</w:t>
            </w: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0.35</w:t>
            </w: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44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9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98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50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26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4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小计</w:t>
            </w:r>
          </w:p>
        </w:tc>
        <w:tc>
          <w:tcPr>
            <w:tcW w:w="85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0.31</w:t>
            </w:r>
          </w:p>
        </w:tc>
        <w:tc>
          <w:tcPr>
            <w:tcW w:w="79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0.14</w:t>
            </w:r>
          </w:p>
        </w:tc>
        <w:tc>
          <w:tcPr>
            <w:tcW w:w="7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0.45</w:t>
            </w: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0.45</w:t>
            </w: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44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9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98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505"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w:t>
            </w:r>
          </w:p>
        </w:tc>
        <w:tc>
          <w:tcPr>
            <w:tcW w:w="1265"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集电线路区</w:t>
            </w:r>
          </w:p>
        </w:tc>
        <w:tc>
          <w:tcPr>
            <w:tcW w:w="14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架空线路区</w:t>
            </w:r>
          </w:p>
        </w:tc>
        <w:tc>
          <w:tcPr>
            <w:tcW w:w="85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79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7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44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9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98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50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26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4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电缆区</w:t>
            </w:r>
          </w:p>
        </w:tc>
        <w:tc>
          <w:tcPr>
            <w:tcW w:w="85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0.12</w:t>
            </w:r>
          </w:p>
        </w:tc>
        <w:tc>
          <w:tcPr>
            <w:tcW w:w="79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0.21</w:t>
            </w:r>
          </w:p>
        </w:tc>
        <w:tc>
          <w:tcPr>
            <w:tcW w:w="7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0.33</w:t>
            </w: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0.33</w:t>
            </w: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44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9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98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50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26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4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小计</w:t>
            </w:r>
          </w:p>
        </w:tc>
        <w:tc>
          <w:tcPr>
            <w:tcW w:w="85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0.12</w:t>
            </w:r>
          </w:p>
        </w:tc>
        <w:tc>
          <w:tcPr>
            <w:tcW w:w="79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0.21</w:t>
            </w:r>
          </w:p>
        </w:tc>
        <w:tc>
          <w:tcPr>
            <w:tcW w:w="7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0.33</w:t>
            </w: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0.33</w:t>
            </w: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44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9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98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50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3</w:t>
            </w:r>
          </w:p>
        </w:tc>
        <w:tc>
          <w:tcPr>
            <w:tcW w:w="2739"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箱变及分支箱</w:t>
            </w:r>
          </w:p>
        </w:tc>
        <w:tc>
          <w:tcPr>
            <w:tcW w:w="85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0.24</w:t>
            </w:r>
          </w:p>
        </w:tc>
        <w:tc>
          <w:tcPr>
            <w:tcW w:w="79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0.01</w:t>
            </w:r>
          </w:p>
        </w:tc>
        <w:tc>
          <w:tcPr>
            <w:tcW w:w="7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0.25</w:t>
            </w: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0.25</w:t>
            </w: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44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9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98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50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4</w:t>
            </w:r>
          </w:p>
        </w:tc>
        <w:tc>
          <w:tcPr>
            <w:tcW w:w="2739"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升压站区</w:t>
            </w:r>
          </w:p>
        </w:tc>
        <w:tc>
          <w:tcPr>
            <w:tcW w:w="85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0.50</w:t>
            </w:r>
          </w:p>
        </w:tc>
        <w:tc>
          <w:tcPr>
            <w:tcW w:w="79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0.13</w:t>
            </w:r>
          </w:p>
        </w:tc>
        <w:tc>
          <w:tcPr>
            <w:tcW w:w="7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0.63</w:t>
            </w: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0.82</w:t>
            </w: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0.19</w:t>
            </w:r>
          </w:p>
        </w:tc>
        <w:tc>
          <w:tcPr>
            <w:tcW w:w="144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检修道路</w:t>
            </w: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9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98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505"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5</w:t>
            </w:r>
          </w:p>
        </w:tc>
        <w:tc>
          <w:tcPr>
            <w:tcW w:w="1265"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场内道路区</w:t>
            </w:r>
          </w:p>
        </w:tc>
        <w:tc>
          <w:tcPr>
            <w:tcW w:w="14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进站道路</w:t>
            </w:r>
          </w:p>
        </w:tc>
        <w:tc>
          <w:tcPr>
            <w:tcW w:w="85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2.92</w:t>
            </w:r>
          </w:p>
        </w:tc>
        <w:tc>
          <w:tcPr>
            <w:tcW w:w="79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0.29</w:t>
            </w:r>
          </w:p>
        </w:tc>
        <w:tc>
          <w:tcPr>
            <w:tcW w:w="7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3.21</w:t>
            </w: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3.30</w:t>
            </w: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0.09</w:t>
            </w:r>
          </w:p>
        </w:tc>
        <w:tc>
          <w:tcPr>
            <w:tcW w:w="144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检修道路</w:t>
            </w: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9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98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jc w:val="center"/>
        </w:trPr>
        <w:tc>
          <w:tcPr>
            <w:tcW w:w="50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26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4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检修道路</w:t>
            </w:r>
          </w:p>
        </w:tc>
        <w:tc>
          <w:tcPr>
            <w:tcW w:w="85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6.01</w:t>
            </w:r>
          </w:p>
        </w:tc>
        <w:tc>
          <w:tcPr>
            <w:tcW w:w="79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0.48</w:t>
            </w:r>
          </w:p>
        </w:tc>
        <w:tc>
          <w:tcPr>
            <w:tcW w:w="7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6.49</w:t>
            </w: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5.91</w:t>
            </w: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44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0.40</w:t>
            </w:r>
          </w:p>
        </w:tc>
        <w:tc>
          <w:tcPr>
            <w:tcW w:w="19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升压站0.19进站</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道路0.09施工生</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产生活区0.12</w:t>
            </w: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0.18</w:t>
            </w:r>
          </w:p>
        </w:tc>
        <w:tc>
          <w:tcPr>
            <w:tcW w:w="98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沙沟2#弃渣场</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50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26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4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临时施工便道</w:t>
            </w:r>
          </w:p>
        </w:tc>
        <w:tc>
          <w:tcPr>
            <w:tcW w:w="85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0.46</w:t>
            </w:r>
          </w:p>
        </w:tc>
        <w:tc>
          <w:tcPr>
            <w:tcW w:w="79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0.06</w:t>
            </w:r>
          </w:p>
        </w:tc>
        <w:tc>
          <w:tcPr>
            <w:tcW w:w="7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0.52</w:t>
            </w: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0.34</w:t>
            </w: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44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0.18</w:t>
            </w:r>
          </w:p>
        </w:tc>
        <w:tc>
          <w:tcPr>
            <w:tcW w:w="19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施工生产生活区</w:t>
            </w: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98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50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26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4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小计</w:t>
            </w:r>
          </w:p>
        </w:tc>
        <w:tc>
          <w:tcPr>
            <w:tcW w:w="85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9.39</w:t>
            </w:r>
          </w:p>
        </w:tc>
        <w:tc>
          <w:tcPr>
            <w:tcW w:w="79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0.83</w:t>
            </w:r>
          </w:p>
        </w:tc>
        <w:tc>
          <w:tcPr>
            <w:tcW w:w="7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10.22</w:t>
            </w: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9.55</w:t>
            </w: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0.09</w:t>
            </w:r>
          </w:p>
        </w:tc>
        <w:tc>
          <w:tcPr>
            <w:tcW w:w="144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0.58</w:t>
            </w:r>
          </w:p>
        </w:tc>
        <w:tc>
          <w:tcPr>
            <w:tcW w:w="19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0.18</w:t>
            </w:r>
          </w:p>
        </w:tc>
        <w:tc>
          <w:tcPr>
            <w:tcW w:w="98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jc w:val="center"/>
        </w:trPr>
        <w:tc>
          <w:tcPr>
            <w:tcW w:w="50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6</w:t>
            </w:r>
          </w:p>
        </w:tc>
        <w:tc>
          <w:tcPr>
            <w:tcW w:w="2739"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施工生产生活区</w:t>
            </w:r>
          </w:p>
        </w:tc>
        <w:tc>
          <w:tcPr>
            <w:tcW w:w="85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0.20</w:t>
            </w:r>
          </w:p>
        </w:tc>
        <w:tc>
          <w:tcPr>
            <w:tcW w:w="79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7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0.20</w:t>
            </w: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0.50</w:t>
            </w: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0.30</w:t>
            </w:r>
          </w:p>
        </w:tc>
        <w:tc>
          <w:tcPr>
            <w:tcW w:w="144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临时施工便道0.18</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检修道路0.12</w:t>
            </w: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9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98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50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7</w:t>
            </w:r>
          </w:p>
        </w:tc>
        <w:tc>
          <w:tcPr>
            <w:tcW w:w="2739"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弃渣场区</w:t>
            </w:r>
          </w:p>
        </w:tc>
        <w:tc>
          <w:tcPr>
            <w:tcW w:w="85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79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7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44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9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98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jc w:val="center"/>
        </w:trPr>
        <w:tc>
          <w:tcPr>
            <w:tcW w:w="50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8</w:t>
            </w:r>
          </w:p>
        </w:tc>
        <w:tc>
          <w:tcPr>
            <w:tcW w:w="2739"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合计</w:t>
            </w:r>
          </w:p>
        </w:tc>
        <w:tc>
          <w:tcPr>
            <w:tcW w:w="85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10.76</w:t>
            </w:r>
          </w:p>
        </w:tc>
        <w:tc>
          <w:tcPr>
            <w:tcW w:w="79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1.32</w:t>
            </w:r>
          </w:p>
        </w:tc>
        <w:tc>
          <w:tcPr>
            <w:tcW w:w="7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12.08</w:t>
            </w:r>
          </w:p>
        </w:tc>
        <w:tc>
          <w:tcPr>
            <w:tcW w:w="11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11.90</w:t>
            </w: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0.58</w:t>
            </w:r>
          </w:p>
        </w:tc>
        <w:tc>
          <w:tcPr>
            <w:tcW w:w="144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0.58</w:t>
            </w:r>
          </w:p>
        </w:tc>
        <w:tc>
          <w:tcPr>
            <w:tcW w:w="19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0.00</w:t>
            </w: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0.00</w:t>
            </w: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0.00</w:t>
            </w:r>
          </w:p>
        </w:tc>
        <w:tc>
          <w:tcPr>
            <w:tcW w:w="6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0.18</w:t>
            </w:r>
          </w:p>
        </w:tc>
        <w:tc>
          <w:tcPr>
            <w:tcW w:w="98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0.00</w:t>
            </w:r>
          </w:p>
        </w:tc>
      </w:tr>
    </w:tbl>
    <w:p>
      <w:pPr>
        <w:adjustRightInd w:val="0"/>
        <w:snapToGrid w:val="0"/>
        <w:spacing w:line="240" w:lineRule="auto"/>
        <w:jc w:val="center"/>
        <w:rPr>
          <w:rFonts w:hint="eastAsia" w:ascii="Times New Roman" w:hAnsi="Times New Roman" w:eastAsia="宋体" w:cs="Times New Roman"/>
          <w:b/>
          <w:bCs/>
          <w:szCs w:val="28"/>
          <w:lang w:val="en-US" w:eastAsia="en-US"/>
        </w:rPr>
      </w:pPr>
    </w:p>
    <w:p>
      <w:pPr>
        <w:adjustRightInd w:val="0"/>
        <w:snapToGrid w:val="0"/>
        <w:spacing w:line="240" w:lineRule="auto"/>
        <w:jc w:val="center"/>
        <w:rPr>
          <w:rFonts w:hint="eastAsia" w:ascii="Times New Roman" w:hAnsi="Times New Roman" w:eastAsia="宋体" w:cs="Times New Roman"/>
          <w:b/>
          <w:bCs/>
          <w:szCs w:val="28"/>
          <w:lang w:val="en-US" w:eastAsia="en-US"/>
        </w:rPr>
      </w:pPr>
    </w:p>
    <w:p>
      <w:pPr>
        <w:adjustRightInd w:val="0"/>
        <w:snapToGrid w:val="0"/>
        <w:spacing w:line="240" w:lineRule="auto"/>
        <w:jc w:val="center"/>
        <w:rPr>
          <w:rFonts w:hint="eastAsia" w:ascii="Times New Roman" w:hAnsi="Times New Roman" w:eastAsia="宋体" w:cs="Times New Roman"/>
          <w:b/>
          <w:bCs/>
          <w:szCs w:val="28"/>
          <w:lang w:val="en-US" w:eastAsia="en-US"/>
        </w:rPr>
      </w:pPr>
    </w:p>
    <w:p>
      <w:pPr>
        <w:adjustRightInd w:val="0"/>
        <w:snapToGrid w:val="0"/>
        <w:spacing w:line="240" w:lineRule="auto"/>
        <w:jc w:val="center"/>
        <w:rPr>
          <w:rFonts w:hint="eastAsia" w:ascii="Times New Roman" w:hAnsi="Times New Roman" w:eastAsia="宋体" w:cs="Times New Roman"/>
          <w:b/>
          <w:bCs/>
          <w:szCs w:val="28"/>
          <w:lang w:val="en-US" w:eastAsia="en-US"/>
        </w:rPr>
      </w:pPr>
      <w:r>
        <w:rPr>
          <w:rFonts w:hint="eastAsia" w:ascii="Times New Roman" w:hAnsi="Times New Roman" w:eastAsia="宋体" w:cs="Times New Roman"/>
          <w:b/>
          <w:bCs/>
          <w:szCs w:val="28"/>
          <w:lang w:val="en-US" w:eastAsia="en-US"/>
        </w:rPr>
        <w:t>表 2</w:t>
      </w:r>
      <w:r>
        <w:rPr>
          <w:rFonts w:hint="eastAsia" w:ascii="Times New Roman" w:hAnsi="Times New Roman" w:eastAsia="宋体" w:cs="Times New Roman"/>
          <w:b/>
          <w:bCs/>
          <w:szCs w:val="28"/>
          <w:lang w:val="en-US" w:eastAsia="zh-CN"/>
        </w:rPr>
        <w:t>.8-2</w:t>
      </w:r>
      <w:r>
        <w:rPr>
          <w:rFonts w:hint="eastAsia" w:ascii="Times New Roman" w:hAnsi="Times New Roman" w:eastAsia="宋体" w:cs="Times New Roman"/>
          <w:b/>
          <w:bCs/>
          <w:szCs w:val="28"/>
          <w:lang w:val="en-US" w:eastAsia="en-US"/>
        </w:rPr>
        <w:t xml:space="preserve">  弃渣场特性表</w:t>
      </w:r>
    </w:p>
    <w:tbl>
      <w:tblPr>
        <w:tblStyle w:val="32"/>
        <w:tblW w:w="4996" w:type="pct"/>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62"/>
        <w:gridCol w:w="530"/>
        <w:gridCol w:w="487"/>
        <w:gridCol w:w="431"/>
        <w:gridCol w:w="533"/>
        <w:gridCol w:w="911"/>
        <w:gridCol w:w="630"/>
        <w:gridCol w:w="627"/>
        <w:gridCol w:w="692"/>
        <w:gridCol w:w="420"/>
        <w:gridCol w:w="684"/>
        <w:gridCol w:w="428"/>
        <w:gridCol w:w="635"/>
        <w:gridCol w:w="474"/>
        <w:gridCol w:w="568"/>
        <w:gridCol w:w="544"/>
        <w:gridCol w:w="864"/>
        <w:gridCol w:w="458"/>
        <w:gridCol w:w="1387"/>
        <w:gridCol w:w="1390"/>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jc w:val="center"/>
        </w:trPr>
        <w:tc>
          <w:tcPr>
            <w:tcW w:w="295"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渣场</w:t>
            </w:r>
          </w:p>
        </w:tc>
        <w:tc>
          <w:tcPr>
            <w:tcW w:w="209"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000000"/>
                <w:kern w:val="0"/>
                <w:sz w:val="21"/>
                <w:szCs w:val="20"/>
                <w:lang w:val="en-US" w:eastAsia="zh-CN" w:bidi="ar-SA"/>
              </w:rPr>
            </w:pPr>
            <w:r>
              <w:rPr>
                <w:rFonts w:hint="eastAsia" w:ascii="Times New Roman" w:hAnsi="Times New Roman" w:eastAsia="宋体" w:cs="Times New Roman"/>
                <w:b/>
                <w:bCs/>
                <w:snapToGrid w:val="0"/>
                <w:color w:val="000000"/>
                <w:kern w:val="0"/>
                <w:sz w:val="21"/>
                <w:szCs w:val="20"/>
                <w:lang w:val="en-US" w:eastAsia="zh-CN" w:bidi="ar-SA"/>
              </w:rPr>
              <w:t>占地面积</w:t>
            </w:r>
          </w:p>
        </w:tc>
        <w:tc>
          <w:tcPr>
            <w:tcW w:w="193"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kern w:val="0"/>
                <w:sz w:val="21"/>
                <w:szCs w:val="20"/>
                <w:lang w:val="en-US" w:eastAsia="en-US" w:bidi="ar-SA"/>
              </w:rPr>
            </w:pPr>
            <w:r>
              <w:rPr>
                <w:rFonts w:ascii="Times New Roman" w:hAnsi="Times New Roman" w:eastAsia="宋体" w:cs="Times New Roman"/>
                <w:b/>
                <w:bCs/>
                <w:snapToGrid w:val="0"/>
                <w:color w:val="000000"/>
                <w:spacing w:val="-1"/>
                <w:kern w:val="0"/>
                <w:position w:val="4"/>
                <w:sz w:val="21"/>
                <w:szCs w:val="20"/>
                <w:lang w:val="en-US" w:eastAsia="en-US" w:bidi="ar-SA"/>
              </w:rPr>
              <w:t>渣场</w:t>
            </w:r>
            <w:r>
              <w:rPr>
                <w:rFonts w:ascii="Times New Roman" w:hAnsi="Times New Roman" w:eastAsia="宋体" w:cs="Times New Roman"/>
                <w:b/>
                <w:bCs/>
                <w:snapToGrid w:val="0"/>
                <w:color w:val="000000"/>
                <w:spacing w:val="-1"/>
                <w:kern w:val="0"/>
                <w:sz w:val="21"/>
                <w:szCs w:val="20"/>
                <w:lang w:val="en-US" w:eastAsia="en-US" w:bidi="ar-SA"/>
              </w:rPr>
              <w:t>类型</w:t>
            </w:r>
          </w:p>
        </w:tc>
        <w:tc>
          <w:tcPr>
            <w:tcW w:w="172"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kern w:val="0"/>
                <w:sz w:val="21"/>
                <w:szCs w:val="20"/>
                <w:lang w:val="en-US" w:eastAsia="en-US" w:bidi="ar-SA"/>
              </w:rPr>
            </w:pPr>
            <w:r>
              <w:rPr>
                <w:rFonts w:ascii="Times New Roman" w:hAnsi="Times New Roman" w:eastAsia="宋体" w:cs="Times New Roman"/>
                <w:b/>
                <w:bCs/>
                <w:snapToGrid w:val="0"/>
                <w:color w:val="000000"/>
                <w:spacing w:val="-12"/>
                <w:kern w:val="0"/>
                <w:position w:val="4"/>
                <w:sz w:val="21"/>
                <w:szCs w:val="20"/>
                <w:lang w:val="en-US" w:eastAsia="en-US" w:bidi="ar-SA"/>
              </w:rPr>
              <w:t>占地</w:t>
            </w:r>
            <w:r>
              <w:rPr>
                <w:rFonts w:ascii="Times New Roman" w:hAnsi="Times New Roman" w:eastAsia="宋体" w:cs="Times New Roman"/>
                <w:b/>
                <w:bCs/>
                <w:snapToGrid w:val="0"/>
                <w:color w:val="000000"/>
                <w:spacing w:val="-1"/>
                <w:kern w:val="0"/>
                <w:sz w:val="21"/>
                <w:szCs w:val="20"/>
                <w:lang w:val="en-US" w:eastAsia="en-US" w:bidi="ar-SA"/>
              </w:rPr>
              <w:t>类型</w:t>
            </w:r>
          </w:p>
        </w:tc>
        <w:tc>
          <w:tcPr>
            <w:tcW w:w="210"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kern w:val="0"/>
                <w:sz w:val="21"/>
                <w:szCs w:val="20"/>
                <w:lang w:val="en-US" w:eastAsia="en-US" w:bidi="ar-SA"/>
              </w:rPr>
            </w:pPr>
            <w:r>
              <w:rPr>
                <w:rFonts w:ascii="Times New Roman" w:hAnsi="Times New Roman" w:eastAsia="宋体" w:cs="Times New Roman"/>
                <w:b/>
                <w:bCs/>
                <w:snapToGrid w:val="0"/>
                <w:color w:val="000000"/>
                <w:spacing w:val="5"/>
                <w:kern w:val="0"/>
                <w:sz w:val="21"/>
                <w:szCs w:val="20"/>
                <w:lang w:val="en-US" w:eastAsia="en-US" w:bidi="ar-SA"/>
              </w:rPr>
              <w:t>坡比</w:t>
            </w:r>
          </w:p>
        </w:tc>
        <w:tc>
          <w:tcPr>
            <w:tcW w:w="202"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kern w:val="0"/>
                <w:sz w:val="21"/>
                <w:szCs w:val="20"/>
                <w:lang w:val="en-US" w:eastAsia="en-US" w:bidi="ar-SA"/>
              </w:rPr>
            </w:pPr>
            <w:r>
              <w:rPr>
                <w:rFonts w:ascii="Times New Roman" w:hAnsi="Times New Roman" w:eastAsia="宋体" w:cs="Times New Roman"/>
                <w:b/>
                <w:bCs/>
                <w:snapToGrid w:val="0"/>
                <w:color w:val="000000"/>
                <w:spacing w:val="6"/>
                <w:kern w:val="0"/>
                <w:sz w:val="21"/>
                <w:szCs w:val="20"/>
                <w:lang w:val="en-US" w:eastAsia="en-US" w:bidi="ar-SA"/>
              </w:rPr>
              <w:t>堆高范围</w:t>
            </w:r>
          </w:p>
        </w:tc>
        <w:tc>
          <w:tcPr>
            <w:tcW w:w="246"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kern w:val="0"/>
                <w:sz w:val="21"/>
                <w:szCs w:val="20"/>
                <w:lang w:val="en-US" w:eastAsia="en-US" w:bidi="ar-SA"/>
              </w:rPr>
            </w:pPr>
            <w:r>
              <w:rPr>
                <w:rFonts w:ascii="Times New Roman" w:hAnsi="Times New Roman" w:eastAsia="宋体" w:cs="Times New Roman"/>
                <w:b/>
                <w:bCs/>
                <w:snapToGrid w:val="0"/>
                <w:color w:val="000000"/>
                <w:spacing w:val="4"/>
                <w:kern w:val="0"/>
                <w:sz w:val="21"/>
                <w:szCs w:val="20"/>
                <w:lang w:val="en-US" w:eastAsia="en-US" w:bidi="ar-SA"/>
              </w:rPr>
              <w:t>渣场容量</w:t>
            </w:r>
            <w:r>
              <w:rPr>
                <w:rFonts w:ascii="Times New Roman" w:hAnsi="Times New Roman" w:eastAsia="宋体" w:cs="Times New Roman"/>
                <w:b/>
                <w:bCs/>
                <w:snapToGrid w:val="0"/>
                <w:color w:val="000000"/>
                <w:spacing w:val="-2"/>
                <w:kern w:val="0"/>
                <w:sz w:val="21"/>
                <w:szCs w:val="20"/>
                <w:lang w:val="en-US" w:eastAsia="en-US" w:bidi="ar-SA"/>
              </w:rPr>
              <w:t>（万m</w:t>
            </w:r>
            <w:r>
              <w:rPr>
                <w:rFonts w:ascii="Times New Roman" w:hAnsi="Times New Roman" w:eastAsia="宋体" w:cs="Times New Roman"/>
                <w:b/>
                <w:bCs/>
                <w:snapToGrid w:val="0"/>
                <w:color w:val="000000"/>
                <w:spacing w:val="-2"/>
                <w:kern w:val="0"/>
                <w:position w:val="6"/>
                <w:sz w:val="21"/>
                <w:szCs w:val="13"/>
                <w:lang w:val="en-US" w:eastAsia="en-US" w:bidi="ar-SA"/>
              </w:rPr>
              <w:t>3</w:t>
            </w:r>
            <w:r>
              <w:rPr>
                <w:rFonts w:ascii="Times New Roman" w:hAnsi="Times New Roman" w:eastAsia="宋体" w:cs="Times New Roman"/>
                <w:b/>
                <w:bCs/>
                <w:snapToGrid w:val="0"/>
                <w:color w:val="000000"/>
                <w:spacing w:val="-2"/>
                <w:kern w:val="0"/>
                <w:sz w:val="21"/>
                <w:szCs w:val="20"/>
                <w:lang w:val="en-US" w:eastAsia="en-US" w:bidi="ar-SA"/>
              </w:rPr>
              <w:t>）</w:t>
            </w:r>
          </w:p>
        </w:tc>
        <w:tc>
          <w:tcPr>
            <w:tcW w:w="245"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kern w:val="0"/>
                <w:sz w:val="21"/>
                <w:szCs w:val="20"/>
                <w:lang w:val="en-US" w:eastAsia="en-US" w:bidi="ar-SA"/>
              </w:rPr>
            </w:pPr>
            <w:r>
              <w:rPr>
                <w:rFonts w:ascii="Times New Roman" w:hAnsi="Times New Roman" w:eastAsia="宋体" w:cs="Times New Roman"/>
                <w:b/>
                <w:bCs/>
                <w:snapToGrid w:val="0"/>
                <w:color w:val="000000"/>
                <w:spacing w:val="5"/>
                <w:kern w:val="0"/>
                <w:sz w:val="21"/>
                <w:szCs w:val="20"/>
                <w:lang w:val="en-US" w:eastAsia="en-US" w:bidi="ar-SA"/>
              </w:rPr>
              <w:t>规划容量</w:t>
            </w:r>
            <w:r>
              <w:rPr>
                <w:rFonts w:ascii="Times New Roman" w:hAnsi="Times New Roman" w:eastAsia="宋体" w:cs="Times New Roman"/>
                <w:b/>
                <w:bCs/>
                <w:snapToGrid w:val="0"/>
                <w:color w:val="000000"/>
                <w:spacing w:val="-1"/>
                <w:kern w:val="0"/>
                <w:sz w:val="21"/>
                <w:szCs w:val="20"/>
                <w:lang w:val="en-US" w:eastAsia="en-US" w:bidi="ar-SA"/>
              </w:rPr>
              <w:t>（万m</w:t>
            </w:r>
            <w:r>
              <w:rPr>
                <w:rFonts w:ascii="Times New Roman" w:hAnsi="Times New Roman" w:eastAsia="宋体" w:cs="Times New Roman"/>
                <w:b/>
                <w:bCs/>
                <w:snapToGrid w:val="0"/>
                <w:color w:val="000000"/>
                <w:spacing w:val="-1"/>
                <w:kern w:val="0"/>
                <w:position w:val="6"/>
                <w:sz w:val="21"/>
                <w:szCs w:val="13"/>
                <w:lang w:val="en-US" w:eastAsia="en-US" w:bidi="ar-SA"/>
              </w:rPr>
              <w:t>3</w:t>
            </w:r>
            <w:r>
              <w:rPr>
                <w:rFonts w:ascii="Times New Roman" w:hAnsi="Times New Roman" w:eastAsia="宋体" w:cs="Times New Roman"/>
                <w:b/>
                <w:bCs/>
                <w:snapToGrid w:val="0"/>
                <w:color w:val="000000"/>
                <w:spacing w:val="-1"/>
                <w:kern w:val="0"/>
                <w:sz w:val="21"/>
                <w:szCs w:val="20"/>
                <w:lang w:val="en-US" w:eastAsia="en-US" w:bidi="ar-SA"/>
              </w:rPr>
              <w:t>）</w:t>
            </w:r>
          </w:p>
        </w:tc>
        <w:tc>
          <w:tcPr>
            <w:tcW w:w="43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kern w:val="0"/>
                <w:sz w:val="21"/>
                <w:szCs w:val="20"/>
                <w:lang w:val="en-US" w:eastAsia="en-US" w:bidi="ar-SA"/>
              </w:rPr>
            </w:pPr>
            <w:r>
              <w:rPr>
                <w:rFonts w:ascii="Times New Roman" w:hAnsi="Times New Roman" w:eastAsia="宋体" w:cs="Times New Roman"/>
                <w:b/>
                <w:bCs/>
                <w:snapToGrid w:val="0"/>
                <w:color w:val="000000"/>
                <w:spacing w:val="7"/>
                <w:kern w:val="0"/>
                <w:sz w:val="21"/>
                <w:szCs w:val="20"/>
                <w:lang w:val="en-US" w:eastAsia="en-US" w:bidi="ar-SA"/>
              </w:rPr>
              <w:t>计划堆渣量（万</w:t>
            </w:r>
            <w:r>
              <w:rPr>
                <w:rFonts w:ascii="Times New Roman" w:hAnsi="Times New Roman" w:eastAsia="宋体" w:cs="Times New Roman"/>
                <w:b/>
                <w:bCs/>
                <w:snapToGrid w:val="0"/>
                <w:color w:val="000000"/>
                <w:spacing w:val="3"/>
                <w:kern w:val="0"/>
                <w:position w:val="-1"/>
                <w:sz w:val="21"/>
                <w:szCs w:val="20"/>
                <w:lang w:val="en-US" w:eastAsia="en-US" w:bidi="ar-SA"/>
              </w:rPr>
              <w:t>m</w:t>
            </w:r>
            <w:r>
              <w:rPr>
                <w:rFonts w:ascii="Times New Roman" w:hAnsi="Times New Roman" w:eastAsia="宋体" w:cs="Times New Roman"/>
                <w:b/>
                <w:bCs/>
                <w:snapToGrid w:val="0"/>
                <w:color w:val="000000"/>
                <w:spacing w:val="3"/>
                <w:kern w:val="0"/>
                <w:position w:val="5"/>
                <w:sz w:val="21"/>
                <w:szCs w:val="13"/>
                <w:lang w:val="en-US" w:eastAsia="en-US" w:bidi="ar-SA"/>
              </w:rPr>
              <w:t>3</w:t>
            </w:r>
            <w:r>
              <w:rPr>
                <w:rFonts w:ascii="Times New Roman" w:hAnsi="Times New Roman" w:eastAsia="宋体" w:cs="Times New Roman"/>
                <w:b/>
                <w:bCs/>
                <w:snapToGrid w:val="0"/>
                <w:color w:val="000000"/>
                <w:spacing w:val="3"/>
                <w:kern w:val="0"/>
                <w:position w:val="-1"/>
                <w:sz w:val="21"/>
                <w:szCs w:val="20"/>
                <w:lang w:val="en-US" w:eastAsia="en-US" w:bidi="ar-SA"/>
              </w:rPr>
              <w:t>）</w:t>
            </w:r>
          </w:p>
        </w:tc>
        <w:tc>
          <w:tcPr>
            <w:tcW w:w="43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kern w:val="0"/>
                <w:sz w:val="21"/>
                <w:szCs w:val="20"/>
                <w:lang w:val="en-US" w:eastAsia="en-US" w:bidi="ar-SA"/>
              </w:rPr>
            </w:pPr>
            <w:r>
              <w:rPr>
                <w:rFonts w:ascii="Times New Roman" w:hAnsi="Times New Roman" w:eastAsia="宋体" w:cs="Times New Roman"/>
                <w:b/>
                <w:bCs/>
                <w:snapToGrid w:val="0"/>
                <w:color w:val="000000"/>
                <w:spacing w:val="8"/>
                <w:kern w:val="0"/>
                <w:sz w:val="21"/>
                <w:szCs w:val="20"/>
                <w:lang w:val="en-US" w:eastAsia="en-US" w:bidi="ar-SA"/>
              </w:rPr>
              <w:t>方案介入前已堆渣</w:t>
            </w:r>
            <w:r>
              <w:rPr>
                <w:rFonts w:ascii="Times New Roman" w:hAnsi="Times New Roman" w:eastAsia="宋体" w:cs="Times New Roman"/>
                <w:b/>
                <w:bCs/>
                <w:snapToGrid w:val="0"/>
                <w:color w:val="000000"/>
                <w:spacing w:val="4"/>
                <w:kern w:val="0"/>
                <w:sz w:val="21"/>
                <w:szCs w:val="20"/>
                <w:lang w:val="en-US" w:eastAsia="en-US" w:bidi="ar-SA"/>
              </w:rPr>
              <w:t>量（万m</w:t>
            </w:r>
            <w:r>
              <w:rPr>
                <w:rFonts w:ascii="Times New Roman" w:hAnsi="Times New Roman" w:eastAsia="宋体" w:cs="Times New Roman"/>
                <w:b/>
                <w:bCs/>
                <w:snapToGrid w:val="0"/>
                <w:color w:val="000000"/>
                <w:spacing w:val="4"/>
                <w:kern w:val="0"/>
                <w:position w:val="6"/>
                <w:sz w:val="21"/>
                <w:szCs w:val="13"/>
                <w:lang w:val="en-US" w:eastAsia="en-US" w:bidi="ar-SA"/>
              </w:rPr>
              <w:t>3</w:t>
            </w:r>
            <w:r>
              <w:rPr>
                <w:rFonts w:ascii="Times New Roman" w:hAnsi="Times New Roman" w:eastAsia="宋体" w:cs="Times New Roman"/>
                <w:b/>
                <w:bCs/>
                <w:snapToGrid w:val="0"/>
                <w:color w:val="000000"/>
                <w:spacing w:val="4"/>
                <w:kern w:val="0"/>
                <w:sz w:val="21"/>
                <w:szCs w:val="20"/>
                <w:lang w:val="en-US" w:eastAsia="en-US" w:bidi="ar-SA"/>
              </w:rPr>
              <w:t>）</w:t>
            </w:r>
          </w:p>
        </w:tc>
        <w:tc>
          <w:tcPr>
            <w:tcW w:w="436"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kern w:val="0"/>
                <w:sz w:val="21"/>
                <w:szCs w:val="20"/>
                <w:lang w:val="en-US" w:eastAsia="en-US" w:bidi="ar-SA"/>
              </w:rPr>
            </w:pPr>
            <w:r>
              <w:rPr>
                <w:rFonts w:ascii="Times New Roman" w:hAnsi="Times New Roman" w:eastAsia="宋体" w:cs="Times New Roman"/>
                <w:b/>
                <w:bCs/>
                <w:snapToGrid w:val="0"/>
                <w:color w:val="000000"/>
                <w:spacing w:val="7"/>
                <w:kern w:val="0"/>
                <w:sz w:val="21"/>
                <w:szCs w:val="20"/>
                <w:lang w:val="en-US" w:eastAsia="en-US" w:bidi="ar-SA"/>
              </w:rPr>
              <w:t>方案介入后堆</w:t>
            </w:r>
            <w:r>
              <w:rPr>
                <w:rFonts w:ascii="Times New Roman" w:hAnsi="Times New Roman" w:eastAsia="宋体" w:cs="Times New Roman"/>
                <w:b/>
                <w:bCs/>
                <w:snapToGrid w:val="0"/>
                <w:color w:val="000000"/>
                <w:kern w:val="0"/>
                <w:sz w:val="21"/>
                <w:szCs w:val="20"/>
                <w:lang w:val="en-US" w:eastAsia="en-US" w:bidi="ar-SA"/>
              </w:rPr>
              <w:t>渣量（万m</w:t>
            </w:r>
            <w:r>
              <w:rPr>
                <w:rFonts w:ascii="Times New Roman" w:hAnsi="Times New Roman" w:eastAsia="宋体" w:cs="Times New Roman"/>
                <w:b/>
                <w:bCs/>
                <w:snapToGrid w:val="0"/>
                <w:color w:val="000000"/>
                <w:kern w:val="0"/>
                <w:position w:val="6"/>
                <w:sz w:val="21"/>
                <w:szCs w:val="13"/>
                <w:lang w:val="en-US" w:eastAsia="en-US" w:bidi="ar-SA"/>
              </w:rPr>
              <w:t>3</w:t>
            </w:r>
            <w:r>
              <w:rPr>
                <w:rFonts w:ascii="Times New Roman" w:hAnsi="Times New Roman" w:eastAsia="宋体" w:cs="Times New Roman"/>
                <w:b/>
                <w:bCs/>
                <w:snapToGrid w:val="0"/>
                <w:color w:val="000000"/>
                <w:kern w:val="0"/>
                <w:sz w:val="21"/>
                <w:szCs w:val="20"/>
                <w:lang w:val="en-US" w:eastAsia="en-US" w:bidi="ar-SA"/>
              </w:rPr>
              <w:t>）</w:t>
            </w:r>
          </w:p>
        </w:tc>
        <w:tc>
          <w:tcPr>
            <w:tcW w:w="43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kern w:val="0"/>
                <w:sz w:val="21"/>
                <w:szCs w:val="20"/>
                <w:lang w:val="en-US" w:eastAsia="en-US" w:bidi="ar-SA"/>
              </w:rPr>
            </w:pPr>
            <w:r>
              <w:rPr>
                <w:rFonts w:ascii="Times New Roman" w:hAnsi="Times New Roman" w:eastAsia="宋体" w:cs="Times New Roman"/>
                <w:b/>
                <w:bCs/>
                <w:snapToGrid w:val="0"/>
                <w:color w:val="000000"/>
                <w:spacing w:val="5"/>
                <w:kern w:val="0"/>
                <w:sz w:val="21"/>
                <w:szCs w:val="20"/>
                <w:lang w:val="en-US" w:eastAsia="en-US" w:bidi="ar-SA"/>
              </w:rPr>
              <w:t>合计（万m</w:t>
            </w:r>
            <w:r>
              <w:rPr>
                <w:rFonts w:ascii="Times New Roman" w:hAnsi="Times New Roman" w:eastAsia="宋体" w:cs="Times New Roman"/>
                <w:b/>
                <w:bCs/>
                <w:snapToGrid w:val="0"/>
                <w:color w:val="000000"/>
                <w:spacing w:val="5"/>
                <w:kern w:val="0"/>
                <w:position w:val="6"/>
                <w:sz w:val="21"/>
                <w:szCs w:val="13"/>
                <w:lang w:val="en-US" w:eastAsia="en-US" w:bidi="ar-SA"/>
              </w:rPr>
              <w:t>3</w:t>
            </w:r>
            <w:r>
              <w:rPr>
                <w:rFonts w:ascii="Times New Roman" w:hAnsi="Times New Roman" w:eastAsia="宋体" w:cs="Times New Roman"/>
                <w:b/>
                <w:bCs/>
                <w:snapToGrid w:val="0"/>
                <w:color w:val="000000"/>
                <w:spacing w:val="5"/>
                <w:kern w:val="0"/>
                <w:sz w:val="21"/>
                <w:szCs w:val="20"/>
                <w:lang w:val="en-US" w:eastAsia="en-US" w:bidi="ar-SA"/>
              </w:rPr>
              <w:t>）</w:t>
            </w:r>
          </w:p>
        </w:tc>
        <w:tc>
          <w:tcPr>
            <w:tcW w:w="236"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kern w:val="0"/>
                <w:sz w:val="21"/>
                <w:szCs w:val="20"/>
                <w:lang w:val="en-US" w:eastAsia="en-US" w:bidi="ar-SA"/>
              </w:rPr>
            </w:pPr>
            <w:r>
              <w:rPr>
                <w:rFonts w:ascii="Times New Roman" w:hAnsi="Times New Roman" w:eastAsia="宋体" w:cs="Times New Roman"/>
                <w:b/>
                <w:bCs/>
                <w:snapToGrid w:val="0"/>
                <w:color w:val="000000"/>
                <w:kern w:val="0"/>
                <w:sz w:val="21"/>
                <w:szCs w:val="20"/>
                <w:lang w:val="en-US" w:eastAsia="en-US" w:bidi="ar-SA"/>
              </w:rPr>
              <w:t>汇水面积</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kern w:val="0"/>
                <w:sz w:val="21"/>
                <w:szCs w:val="20"/>
                <w:lang w:val="en-US" w:eastAsia="en-US" w:bidi="ar-SA"/>
              </w:rPr>
            </w:pPr>
            <w:r>
              <w:rPr>
                <w:rFonts w:ascii="Times New Roman" w:hAnsi="Times New Roman" w:eastAsia="宋体" w:cs="Times New Roman"/>
                <w:b/>
                <w:bCs/>
                <w:snapToGrid w:val="0"/>
                <w:color w:val="000000"/>
                <w:spacing w:val="7"/>
                <w:kern w:val="0"/>
                <w:sz w:val="21"/>
                <w:szCs w:val="20"/>
                <w:lang w:val="en-US" w:eastAsia="en-US" w:bidi="ar-SA"/>
              </w:rPr>
              <w:t>（</w:t>
            </w:r>
            <w:r>
              <w:rPr>
                <w:rFonts w:ascii="Times New Roman" w:hAnsi="Times New Roman" w:eastAsia="宋体" w:cs="Times New Roman"/>
                <w:b/>
                <w:bCs/>
                <w:snapToGrid w:val="0"/>
                <w:color w:val="000000"/>
                <w:kern w:val="0"/>
                <w:sz w:val="21"/>
                <w:szCs w:val="20"/>
                <w:lang w:val="en-US" w:eastAsia="en-US" w:bidi="ar-SA"/>
              </w:rPr>
              <w:t>km</w:t>
            </w:r>
            <w:r>
              <w:rPr>
                <w:rFonts w:ascii="Times New Roman" w:hAnsi="Times New Roman" w:eastAsia="宋体" w:cs="Times New Roman"/>
                <w:b/>
                <w:bCs/>
                <w:snapToGrid w:val="0"/>
                <w:color w:val="000000"/>
                <w:spacing w:val="7"/>
                <w:kern w:val="0"/>
                <w:position w:val="6"/>
                <w:sz w:val="21"/>
                <w:szCs w:val="13"/>
                <w:lang w:val="en-US" w:eastAsia="en-US" w:bidi="ar-SA"/>
              </w:rPr>
              <w:t>2</w:t>
            </w:r>
            <w:r>
              <w:rPr>
                <w:rFonts w:ascii="Times New Roman" w:hAnsi="Times New Roman" w:eastAsia="宋体" w:cs="Times New Roman"/>
                <w:b/>
                <w:bCs/>
                <w:snapToGrid w:val="0"/>
                <w:color w:val="000000"/>
                <w:spacing w:val="7"/>
                <w:kern w:val="0"/>
                <w:sz w:val="21"/>
                <w:szCs w:val="20"/>
                <w:lang w:val="en-US" w:eastAsia="en-US" w:bidi="ar-SA"/>
              </w:rPr>
              <w:t>）</w:t>
            </w:r>
          </w:p>
        </w:tc>
        <w:tc>
          <w:tcPr>
            <w:tcW w:w="182"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渣场等级</w:t>
            </w:r>
          </w:p>
        </w:tc>
        <w:tc>
          <w:tcPr>
            <w:tcW w:w="527"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kern w:val="0"/>
                <w:sz w:val="21"/>
                <w:szCs w:val="20"/>
                <w:lang w:val="en-US" w:eastAsia="en-US" w:bidi="ar-SA"/>
              </w:rPr>
            </w:pPr>
            <w:r>
              <w:rPr>
                <w:rFonts w:ascii="Times New Roman" w:hAnsi="Times New Roman" w:eastAsia="宋体" w:cs="Times New Roman"/>
                <w:b/>
                <w:bCs/>
                <w:snapToGrid w:val="0"/>
                <w:color w:val="000000"/>
                <w:spacing w:val="5"/>
                <w:kern w:val="0"/>
                <w:sz w:val="21"/>
                <w:szCs w:val="20"/>
                <w:lang w:val="en-US" w:eastAsia="en-US" w:bidi="ar-SA"/>
              </w:rPr>
              <w:t>下游情况</w:t>
            </w:r>
          </w:p>
        </w:tc>
        <w:tc>
          <w:tcPr>
            <w:tcW w:w="528"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kern w:val="0"/>
                <w:sz w:val="21"/>
                <w:szCs w:val="20"/>
                <w:lang w:val="en-US" w:eastAsia="en-US" w:bidi="ar-SA"/>
              </w:rPr>
            </w:pPr>
            <w:r>
              <w:rPr>
                <w:rFonts w:ascii="Times New Roman" w:hAnsi="Times New Roman" w:eastAsia="宋体" w:cs="Times New Roman"/>
                <w:b/>
                <w:bCs/>
                <w:snapToGrid w:val="0"/>
                <w:color w:val="000000"/>
                <w:spacing w:val="7"/>
                <w:kern w:val="0"/>
                <w:sz w:val="21"/>
                <w:szCs w:val="20"/>
                <w:lang w:val="en-US" w:eastAsia="en-US" w:bidi="ar-SA"/>
              </w:rPr>
              <w:t>选址敏感性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jc w:val="center"/>
        </w:trPr>
        <w:tc>
          <w:tcPr>
            <w:tcW w:w="29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1"/>
                <w:lang w:eastAsia="en-US"/>
              </w:rPr>
            </w:pPr>
          </w:p>
        </w:tc>
        <w:tc>
          <w:tcPr>
            <w:tcW w:w="20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1"/>
                <w:lang w:eastAsia="en-US"/>
              </w:rPr>
            </w:pPr>
          </w:p>
        </w:tc>
        <w:tc>
          <w:tcPr>
            <w:tcW w:w="193"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1"/>
                <w:lang w:eastAsia="en-US"/>
              </w:rPr>
            </w:pPr>
          </w:p>
        </w:tc>
        <w:tc>
          <w:tcPr>
            <w:tcW w:w="172"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1"/>
                <w:lang w:eastAsia="en-US"/>
              </w:rPr>
            </w:pPr>
          </w:p>
        </w:tc>
        <w:tc>
          <w:tcPr>
            <w:tcW w:w="21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1"/>
                <w:lang w:eastAsia="en-US"/>
              </w:rPr>
            </w:pPr>
          </w:p>
        </w:tc>
        <w:tc>
          <w:tcPr>
            <w:tcW w:w="202"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1"/>
                <w:lang w:eastAsia="en-US"/>
              </w:rPr>
            </w:pPr>
          </w:p>
        </w:tc>
        <w:tc>
          <w:tcPr>
            <w:tcW w:w="24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1"/>
                <w:lang w:eastAsia="en-US"/>
              </w:rPr>
            </w:pPr>
          </w:p>
        </w:tc>
        <w:tc>
          <w:tcPr>
            <w:tcW w:w="24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1"/>
                <w:lang w:eastAsia="en-US"/>
              </w:rPr>
            </w:pPr>
          </w:p>
        </w:tc>
        <w:tc>
          <w:tcPr>
            <w:tcW w:w="26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kern w:val="0"/>
                <w:sz w:val="21"/>
                <w:szCs w:val="20"/>
                <w:lang w:val="en-US" w:eastAsia="en-US" w:bidi="ar-SA"/>
              </w:rPr>
            </w:pPr>
            <w:r>
              <w:rPr>
                <w:rFonts w:ascii="Times New Roman" w:hAnsi="Times New Roman" w:eastAsia="宋体" w:cs="Times New Roman"/>
                <w:b/>
                <w:bCs/>
                <w:snapToGrid w:val="0"/>
                <w:color w:val="000000"/>
                <w:spacing w:val="-6"/>
                <w:kern w:val="0"/>
                <w:sz w:val="21"/>
                <w:szCs w:val="20"/>
                <w:lang w:val="en-US" w:eastAsia="en-US" w:bidi="ar-SA"/>
              </w:rPr>
              <w:t>自然方</w:t>
            </w:r>
          </w:p>
        </w:tc>
        <w:tc>
          <w:tcPr>
            <w:tcW w:w="16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kern w:val="0"/>
                <w:sz w:val="21"/>
                <w:szCs w:val="20"/>
                <w:lang w:val="en-US" w:eastAsia="en-US" w:bidi="ar-SA"/>
              </w:rPr>
            </w:pPr>
            <w:r>
              <w:rPr>
                <w:rFonts w:ascii="Times New Roman" w:hAnsi="Times New Roman" w:eastAsia="宋体" w:cs="Times New Roman"/>
                <w:b/>
                <w:bCs/>
                <w:snapToGrid w:val="0"/>
                <w:color w:val="000000"/>
                <w:spacing w:val="4"/>
                <w:kern w:val="0"/>
                <w:sz w:val="21"/>
                <w:szCs w:val="20"/>
                <w:lang w:val="en-US" w:eastAsia="en-US" w:bidi="ar-SA"/>
              </w:rPr>
              <w:t>松方</w:t>
            </w:r>
          </w:p>
        </w:tc>
        <w:tc>
          <w:tcPr>
            <w:tcW w:w="26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kern w:val="0"/>
                <w:sz w:val="21"/>
                <w:szCs w:val="20"/>
                <w:lang w:val="en-US" w:eastAsia="en-US" w:bidi="ar-SA"/>
              </w:rPr>
            </w:pPr>
            <w:r>
              <w:rPr>
                <w:rFonts w:ascii="Times New Roman" w:hAnsi="Times New Roman" w:eastAsia="宋体" w:cs="Times New Roman"/>
                <w:b/>
                <w:bCs/>
                <w:snapToGrid w:val="0"/>
                <w:color w:val="000000"/>
                <w:spacing w:val="-6"/>
                <w:kern w:val="0"/>
                <w:sz w:val="21"/>
                <w:szCs w:val="20"/>
                <w:lang w:val="en-US" w:eastAsia="en-US" w:bidi="ar-SA"/>
              </w:rPr>
              <w:t>自然方</w:t>
            </w:r>
          </w:p>
        </w:tc>
        <w:tc>
          <w:tcPr>
            <w:tcW w:w="17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kern w:val="0"/>
                <w:sz w:val="21"/>
                <w:szCs w:val="20"/>
                <w:lang w:val="en-US" w:eastAsia="en-US" w:bidi="ar-SA"/>
              </w:rPr>
            </w:pPr>
            <w:r>
              <w:rPr>
                <w:rFonts w:ascii="Times New Roman" w:hAnsi="Times New Roman" w:eastAsia="宋体" w:cs="Times New Roman"/>
                <w:b/>
                <w:bCs/>
                <w:snapToGrid w:val="0"/>
                <w:color w:val="000000"/>
                <w:spacing w:val="4"/>
                <w:kern w:val="0"/>
                <w:sz w:val="21"/>
                <w:szCs w:val="20"/>
                <w:lang w:val="en-US" w:eastAsia="en-US" w:bidi="ar-SA"/>
              </w:rPr>
              <w:t>松方</w:t>
            </w:r>
          </w:p>
        </w:tc>
        <w:tc>
          <w:tcPr>
            <w:tcW w:w="24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kern w:val="0"/>
                <w:sz w:val="21"/>
                <w:szCs w:val="20"/>
                <w:lang w:val="en-US" w:eastAsia="en-US" w:bidi="ar-SA"/>
              </w:rPr>
            </w:pPr>
            <w:r>
              <w:rPr>
                <w:rFonts w:ascii="Times New Roman" w:hAnsi="Times New Roman" w:eastAsia="宋体" w:cs="Times New Roman"/>
                <w:b/>
                <w:bCs/>
                <w:snapToGrid w:val="0"/>
                <w:color w:val="000000"/>
                <w:spacing w:val="-6"/>
                <w:kern w:val="0"/>
                <w:sz w:val="21"/>
                <w:szCs w:val="20"/>
                <w:lang w:val="en-US" w:eastAsia="en-US" w:bidi="ar-SA"/>
              </w:rPr>
              <w:t>自然方</w:t>
            </w:r>
          </w:p>
        </w:tc>
        <w:tc>
          <w:tcPr>
            <w:tcW w:w="18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kern w:val="0"/>
                <w:sz w:val="21"/>
                <w:szCs w:val="20"/>
                <w:lang w:val="en-US" w:eastAsia="en-US" w:bidi="ar-SA"/>
              </w:rPr>
            </w:pPr>
            <w:r>
              <w:rPr>
                <w:rFonts w:ascii="Times New Roman" w:hAnsi="Times New Roman" w:eastAsia="宋体" w:cs="Times New Roman"/>
                <w:b/>
                <w:bCs/>
                <w:snapToGrid w:val="0"/>
                <w:color w:val="000000"/>
                <w:spacing w:val="4"/>
                <w:kern w:val="0"/>
                <w:sz w:val="21"/>
                <w:szCs w:val="20"/>
                <w:lang w:val="en-US" w:eastAsia="en-US" w:bidi="ar-SA"/>
              </w:rPr>
              <w:t>松方</w:t>
            </w:r>
          </w:p>
        </w:tc>
        <w:tc>
          <w:tcPr>
            <w:tcW w:w="2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kern w:val="0"/>
                <w:sz w:val="21"/>
                <w:szCs w:val="20"/>
                <w:lang w:val="en-US" w:eastAsia="en-US" w:bidi="ar-SA"/>
              </w:rPr>
            </w:pPr>
            <w:r>
              <w:rPr>
                <w:rFonts w:ascii="Times New Roman" w:hAnsi="Times New Roman" w:eastAsia="宋体" w:cs="Times New Roman"/>
                <w:b/>
                <w:bCs/>
                <w:snapToGrid w:val="0"/>
                <w:color w:val="000000"/>
                <w:spacing w:val="-6"/>
                <w:kern w:val="0"/>
                <w:sz w:val="21"/>
                <w:szCs w:val="20"/>
                <w:lang w:val="en-US" w:eastAsia="en-US" w:bidi="ar-SA"/>
              </w:rPr>
              <w:t>自然方</w:t>
            </w:r>
          </w:p>
        </w:tc>
        <w:tc>
          <w:tcPr>
            <w:tcW w:w="21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kern w:val="0"/>
                <w:sz w:val="21"/>
                <w:szCs w:val="20"/>
                <w:lang w:val="en-US" w:eastAsia="en-US" w:bidi="ar-SA"/>
              </w:rPr>
            </w:pPr>
            <w:r>
              <w:rPr>
                <w:rFonts w:ascii="Times New Roman" w:hAnsi="Times New Roman" w:eastAsia="宋体" w:cs="Times New Roman"/>
                <w:b/>
                <w:bCs/>
                <w:snapToGrid w:val="0"/>
                <w:color w:val="000000"/>
                <w:spacing w:val="4"/>
                <w:kern w:val="0"/>
                <w:sz w:val="21"/>
                <w:szCs w:val="20"/>
                <w:lang w:val="en-US" w:eastAsia="en-US" w:bidi="ar-SA"/>
              </w:rPr>
              <w:t>松方</w:t>
            </w:r>
          </w:p>
        </w:tc>
        <w:tc>
          <w:tcPr>
            <w:tcW w:w="23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1"/>
                <w:lang w:eastAsia="en-US"/>
              </w:rPr>
            </w:pPr>
          </w:p>
        </w:tc>
        <w:tc>
          <w:tcPr>
            <w:tcW w:w="182"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1"/>
                <w:lang w:eastAsia="en-US"/>
              </w:rPr>
            </w:pPr>
          </w:p>
        </w:tc>
        <w:tc>
          <w:tcPr>
            <w:tcW w:w="527"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1"/>
                <w:lang w:eastAsia="en-US"/>
              </w:rPr>
            </w:pPr>
          </w:p>
        </w:tc>
        <w:tc>
          <w:tcPr>
            <w:tcW w:w="528"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1"/>
                <w:lang w:eastAsia="en-US"/>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jc w:val="center"/>
        </w:trPr>
        <w:tc>
          <w:tcPr>
            <w:tcW w:w="29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val="en-US" w:eastAsia="en-US" w:bidi="ar-SA"/>
              </w:rPr>
            </w:pPr>
            <w:r>
              <w:rPr>
                <w:rFonts w:ascii="Times New Roman" w:hAnsi="Times New Roman" w:eastAsia="宋体" w:cs="Times New Roman"/>
                <w:snapToGrid w:val="0"/>
                <w:color w:val="000000"/>
                <w:spacing w:val="1"/>
                <w:kern w:val="0"/>
                <w:sz w:val="21"/>
                <w:szCs w:val="20"/>
                <w:lang w:val="en-US" w:eastAsia="en-US" w:bidi="ar-SA"/>
              </w:rPr>
              <w:t>沙沟1#弃渣场</w:t>
            </w:r>
          </w:p>
        </w:tc>
        <w:tc>
          <w:tcPr>
            <w:tcW w:w="20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4"/>
                <w:kern w:val="0"/>
                <w:sz w:val="21"/>
                <w:szCs w:val="20"/>
                <w:lang w:eastAsia="en-US"/>
              </w:rPr>
              <w:t>0.12</w:t>
            </w:r>
          </w:p>
        </w:tc>
        <w:tc>
          <w:tcPr>
            <w:tcW w:w="1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val="en-US" w:eastAsia="en-US" w:bidi="ar-SA"/>
              </w:rPr>
            </w:pPr>
            <w:r>
              <w:rPr>
                <w:rFonts w:ascii="Times New Roman" w:hAnsi="Times New Roman" w:eastAsia="宋体" w:cs="Times New Roman"/>
                <w:snapToGrid w:val="0"/>
                <w:color w:val="000000"/>
                <w:spacing w:val="-2"/>
                <w:kern w:val="0"/>
                <w:sz w:val="21"/>
                <w:szCs w:val="20"/>
                <w:lang w:val="en-US" w:eastAsia="en-US" w:bidi="ar-SA"/>
              </w:rPr>
              <w:t>沟谷</w:t>
            </w:r>
          </w:p>
        </w:tc>
        <w:tc>
          <w:tcPr>
            <w:tcW w:w="17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val="en-US" w:eastAsia="en-US" w:bidi="ar-SA"/>
              </w:rPr>
            </w:pPr>
            <w:r>
              <w:rPr>
                <w:rFonts w:ascii="Times New Roman" w:hAnsi="Times New Roman" w:eastAsia="宋体" w:cs="Times New Roman"/>
                <w:snapToGrid w:val="0"/>
                <w:color w:val="000000"/>
                <w:spacing w:val="5"/>
                <w:kern w:val="0"/>
                <w:sz w:val="21"/>
                <w:szCs w:val="20"/>
                <w:lang w:val="en-US" w:eastAsia="en-US" w:bidi="ar-SA"/>
              </w:rPr>
              <w:t>林地</w:t>
            </w:r>
          </w:p>
        </w:tc>
        <w:tc>
          <w:tcPr>
            <w:tcW w:w="21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val="en-US" w:eastAsia="en-US" w:bidi="ar-SA"/>
              </w:rPr>
            </w:pPr>
            <w:r>
              <w:rPr>
                <w:rFonts w:ascii="Times New Roman" w:hAnsi="Times New Roman" w:eastAsia="宋体" w:cs="Times New Roman"/>
                <w:snapToGrid w:val="0"/>
                <w:color w:val="000000"/>
                <w:spacing w:val="-2"/>
                <w:kern w:val="0"/>
                <w:sz w:val="21"/>
                <w:szCs w:val="20"/>
                <w:lang w:val="en-US" w:eastAsia="en-US" w:bidi="ar-SA"/>
              </w:rPr>
              <w:t>1：2</w:t>
            </w:r>
          </w:p>
        </w:tc>
        <w:tc>
          <w:tcPr>
            <w:tcW w:w="20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1"/>
                <w:kern w:val="0"/>
                <w:sz w:val="21"/>
                <w:szCs w:val="20"/>
                <w:lang w:eastAsia="en-US"/>
              </w:rPr>
              <w:t>1380-1398</w:t>
            </w:r>
          </w:p>
        </w:tc>
        <w:tc>
          <w:tcPr>
            <w:tcW w:w="24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0.35</w:t>
            </w:r>
          </w:p>
        </w:tc>
        <w:tc>
          <w:tcPr>
            <w:tcW w:w="24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0.35</w:t>
            </w:r>
          </w:p>
        </w:tc>
        <w:tc>
          <w:tcPr>
            <w:tcW w:w="26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0.23</w:t>
            </w:r>
          </w:p>
        </w:tc>
        <w:tc>
          <w:tcPr>
            <w:tcW w:w="16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0.30</w:t>
            </w:r>
          </w:p>
        </w:tc>
        <w:tc>
          <w:tcPr>
            <w:tcW w:w="26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0.00</w:t>
            </w:r>
          </w:p>
        </w:tc>
        <w:tc>
          <w:tcPr>
            <w:tcW w:w="17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0.00</w:t>
            </w:r>
          </w:p>
        </w:tc>
        <w:tc>
          <w:tcPr>
            <w:tcW w:w="24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0.23</w:t>
            </w:r>
          </w:p>
        </w:tc>
        <w:tc>
          <w:tcPr>
            <w:tcW w:w="18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0.30</w:t>
            </w:r>
          </w:p>
        </w:tc>
        <w:tc>
          <w:tcPr>
            <w:tcW w:w="2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0.23</w:t>
            </w:r>
          </w:p>
        </w:tc>
        <w:tc>
          <w:tcPr>
            <w:tcW w:w="21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0.30</w:t>
            </w:r>
          </w:p>
        </w:tc>
        <w:tc>
          <w:tcPr>
            <w:tcW w:w="23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kern w:val="0"/>
                <w:sz w:val="21"/>
                <w:szCs w:val="20"/>
                <w:lang w:eastAsia="en-US"/>
              </w:rPr>
              <w:t>0.1</w:t>
            </w:r>
          </w:p>
        </w:tc>
        <w:tc>
          <w:tcPr>
            <w:tcW w:w="1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kern w:val="0"/>
                <w:sz w:val="21"/>
                <w:szCs w:val="20"/>
                <w:lang w:eastAsia="en-US"/>
              </w:rPr>
              <w:t>5</w:t>
            </w:r>
          </w:p>
        </w:tc>
        <w:tc>
          <w:tcPr>
            <w:tcW w:w="52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val="en-US" w:eastAsia="en-US" w:bidi="ar-SA"/>
              </w:rPr>
            </w:pPr>
            <w:r>
              <w:rPr>
                <w:rFonts w:ascii="Times New Roman" w:hAnsi="Times New Roman" w:eastAsia="宋体" w:cs="Times New Roman"/>
                <w:snapToGrid w:val="0"/>
                <w:color w:val="000000"/>
                <w:spacing w:val="7"/>
                <w:kern w:val="0"/>
                <w:sz w:val="21"/>
                <w:szCs w:val="20"/>
                <w:lang w:val="en-US" w:eastAsia="en-US" w:bidi="ar-SA"/>
              </w:rPr>
              <w:t>渣场下游为灌木林地，</w:t>
            </w:r>
            <w:r>
              <w:rPr>
                <w:rFonts w:ascii="Times New Roman" w:hAnsi="Times New Roman" w:eastAsia="宋体" w:cs="Times New Roman"/>
                <w:snapToGrid w:val="0"/>
                <w:color w:val="000000"/>
                <w:spacing w:val="8"/>
                <w:kern w:val="0"/>
                <w:sz w:val="21"/>
                <w:szCs w:val="20"/>
                <w:lang w:val="en-US" w:eastAsia="en-US" w:bidi="ar-SA"/>
              </w:rPr>
              <w:t>无重要基础设施和居民</w:t>
            </w:r>
            <w:r>
              <w:rPr>
                <w:rFonts w:ascii="Times New Roman" w:hAnsi="Times New Roman" w:eastAsia="宋体" w:cs="Times New Roman"/>
                <w:snapToGrid w:val="0"/>
                <w:color w:val="000000"/>
                <w:spacing w:val="4"/>
                <w:kern w:val="0"/>
                <w:sz w:val="21"/>
                <w:szCs w:val="20"/>
                <w:lang w:val="en-US" w:eastAsia="en-US" w:bidi="ar-SA"/>
              </w:rPr>
              <w:t>点等敏感设施，</w:t>
            </w:r>
          </w:p>
        </w:tc>
        <w:tc>
          <w:tcPr>
            <w:tcW w:w="52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val="en-US" w:eastAsia="en-US" w:bidi="ar-SA"/>
              </w:rPr>
            </w:pPr>
            <w:r>
              <w:rPr>
                <w:rFonts w:ascii="Times New Roman" w:hAnsi="Times New Roman" w:eastAsia="宋体" w:cs="Times New Roman"/>
                <w:snapToGrid w:val="0"/>
                <w:color w:val="000000"/>
                <w:spacing w:val="8"/>
                <w:kern w:val="0"/>
                <w:sz w:val="21"/>
                <w:szCs w:val="20"/>
                <w:lang w:val="en-US" w:eastAsia="en-US" w:bidi="ar-SA"/>
              </w:rPr>
              <w:t>未占用基本农</w:t>
            </w:r>
            <w:r>
              <w:rPr>
                <w:rFonts w:ascii="Times New Roman" w:hAnsi="Times New Roman" w:eastAsia="宋体" w:cs="Times New Roman"/>
                <w:snapToGrid w:val="0"/>
                <w:color w:val="000000"/>
                <w:spacing w:val="6"/>
                <w:kern w:val="0"/>
                <w:sz w:val="21"/>
                <w:szCs w:val="20"/>
                <w:lang w:val="en-US" w:eastAsia="en-US" w:bidi="ar-SA"/>
              </w:rPr>
              <w:t>田及生态红线等敏感性因素</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jc w:val="center"/>
        </w:trPr>
        <w:tc>
          <w:tcPr>
            <w:tcW w:w="29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val="en-US" w:eastAsia="en-US" w:bidi="ar-SA"/>
              </w:rPr>
            </w:pPr>
            <w:r>
              <w:rPr>
                <w:rFonts w:ascii="Times New Roman" w:hAnsi="Times New Roman" w:eastAsia="宋体" w:cs="Times New Roman"/>
                <w:snapToGrid w:val="0"/>
                <w:color w:val="000000"/>
                <w:spacing w:val="4"/>
                <w:kern w:val="0"/>
                <w:sz w:val="21"/>
                <w:szCs w:val="20"/>
                <w:lang w:val="en-US" w:eastAsia="en-US" w:bidi="ar-SA"/>
              </w:rPr>
              <w:t>沙沟2#弃渣场</w:t>
            </w:r>
          </w:p>
        </w:tc>
        <w:tc>
          <w:tcPr>
            <w:tcW w:w="20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0.18</w:t>
            </w:r>
          </w:p>
        </w:tc>
        <w:tc>
          <w:tcPr>
            <w:tcW w:w="1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val="en-US" w:eastAsia="en-US" w:bidi="ar-SA"/>
              </w:rPr>
            </w:pPr>
            <w:r>
              <w:rPr>
                <w:rFonts w:ascii="Times New Roman" w:hAnsi="Times New Roman" w:eastAsia="宋体" w:cs="Times New Roman"/>
                <w:snapToGrid w:val="0"/>
                <w:color w:val="000000"/>
                <w:spacing w:val="-2"/>
                <w:kern w:val="0"/>
                <w:sz w:val="21"/>
                <w:szCs w:val="20"/>
                <w:lang w:val="en-US" w:eastAsia="en-US" w:bidi="ar-SA"/>
              </w:rPr>
              <w:t>沟谷</w:t>
            </w:r>
          </w:p>
        </w:tc>
        <w:tc>
          <w:tcPr>
            <w:tcW w:w="17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val="en-US" w:eastAsia="en-US" w:bidi="ar-SA"/>
              </w:rPr>
            </w:pPr>
            <w:r>
              <w:rPr>
                <w:rFonts w:ascii="Times New Roman" w:hAnsi="Times New Roman" w:eastAsia="宋体" w:cs="Times New Roman"/>
                <w:snapToGrid w:val="0"/>
                <w:color w:val="000000"/>
                <w:spacing w:val="5"/>
                <w:kern w:val="0"/>
                <w:sz w:val="21"/>
                <w:szCs w:val="20"/>
                <w:lang w:val="en-US" w:eastAsia="en-US" w:bidi="ar-SA"/>
              </w:rPr>
              <w:t>林地</w:t>
            </w:r>
          </w:p>
        </w:tc>
        <w:tc>
          <w:tcPr>
            <w:tcW w:w="21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val="en-US" w:eastAsia="en-US" w:bidi="ar-SA"/>
              </w:rPr>
            </w:pPr>
            <w:r>
              <w:rPr>
                <w:rFonts w:ascii="Times New Roman" w:hAnsi="Times New Roman" w:eastAsia="宋体" w:cs="Times New Roman"/>
                <w:snapToGrid w:val="0"/>
                <w:color w:val="000000"/>
                <w:spacing w:val="-2"/>
                <w:kern w:val="0"/>
                <w:sz w:val="21"/>
                <w:szCs w:val="20"/>
                <w:lang w:val="en-US" w:eastAsia="en-US" w:bidi="ar-SA"/>
              </w:rPr>
              <w:t>1：2</w:t>
            </w:r>
          </w:p>
        </w:tc>
        <w:tc>
          <w:tcPr>
            <w:tcW w:w="20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1"/>
                <w:kern w:val="0"/>
                <w:sz w:val="21"/>
                <w:szCs w:val="20"/>
                <w:lang w:eastAsia="en-US"/>
              </w:rPr>
              <w:t>1285-1303</w:t>
            </w:r>
          </w:p>
        </w:tc>
        <w:tc>
          <w:tcPr>
            <w:tcW w:w="24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0.88</w:t>
            </w:r>
          </w:p>
        </w:tc>
        <w:tc>
          <w:tcPr>
            <w:tcW w:w="24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0.88</w:t>
            </w:r>
          </w:p>
        </w:tc>
        <w:tc>
          <w:tcPr>
            <w:tcW w:w="26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0.56</w:t>
            </w:r>
          </w:p>
        </w:tc>
        <w:tc>
          <w:tcPr>
            <w:tcW w:w="16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0.73</w:t>
            </w:r>
          </w:p>
        </w:tc>
        <w:tc>
          <w:tcPr>
            <w:tcW w:w="26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0.18</w:t>
            </w:r>
          </w:p>
        </w:tc>
        <w:tc>
          <w:tcPr>
            <w:tcW w:w="17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0.23</w:t>
            </w:r>
          </w:p>
        </w:tc>
        <w:tc>
          <w:tcPr>
            <w:tcW w:w="24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0.38</w:t>
            </w:r>
          </w:p>
        </w:tc>
        <w:tc>
          <w:tcPr>
            <w:tcW w:w="18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0.49</w:t>
            </w:r>
          </w:p>
        </w:tc>
        <w:tc>
          <w:tcPr>
            <w:tcW w:w="2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0.56</w:t>
            </w:r>
          </w:p>
        </w:tc>
        <w:tc>
          <w:tcPr>
            <w:tcW w:w="21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0.96</w:t>
            </w:r>
          </w:p>
        </w:tc>
        <w:tc>
          <w:tcPr>
            <w:tcW w:w="23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0.07</w:t>
            </w:r>
          </w:p>
        </w:tc>
        <w:tc>
          <w:tcPr>
            <w:tcW w:w="1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kern w:val="0"/>
                <w:sz w:val="21"/>
                <w:szCs w:val="20"/>
                <w:lang w:eastAsia="en-US"/>
              </w:rPr>
              <w:t>5</w:t>
            </w:r>
          </w:p>
        </w:tc>
        <w:tc>
          <w:tcPr>
            <w:tcW w:w="52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val="en-US" w:eastAsia="en-US" w:bidi="ar-SA"/>
              </w:rPr>
            </w:pPr>
            <w:r>
              <w:rPr>
                <w:rFonts w:ascii="Times New Roman" w:hAnsi="Times New Roman" w:eastAsia="宋体" w:cs="Times New Roman"/>
                <w:snapToGrid w:val="0"/>
                <w:color w:val="000000"/>
                <w:spacing w:val="7"/>
                <w:kern w:val="0"/>
                <w:sz w:val="21"/>
                <w:szCs w:val="20"/>
                <w:lang w:val="en-US" w:eastAsia="en-US" w:bidi="ar-SA"/>
              </w:rPr>
              <w:t>渣场下游为灌木林地，</w:t>
            </w:r>
            <w:r>
              <w:rPr>
                <w:rFonts w:ascii="Times New Roman" w:hAnsi="Times New Roman" w:eastAsia="宋体" w:cs="Times New Roman"/>
                <w:snapToGrid w:val="0"/>
                <w:color w:val="000000"/>
                <w:spacing w:val="8"/>
                <w:kern w:val="0"/>
                <w:sz w:val="21"/>
                <w:szCs w:val="20"/>
                <w:lang w:val="en-US" w:eastAsia="en-US" w:bidi="ar-SA"/>
              </w:rPr>
              <w:t>无重要基础设施和居民</w:t>
            </w:r>
            <w:r>
              <w:rPr>
                <w:rFonts w:ascii="Times New Roman" w:hAnsi="Times New Roman" w:eastAsia="宋体" w:cs="Times New Roman"/>
                <w:snapToGrid w:val="0"/>
                <w:color w:val="000000"/>
                <w:spacing w:val="4"/>
                <w:kern w:val="0"/>
                <w:sz w:val="21"/>
                <w:szCs w:val="20"/>
                <w:lang w:val="en-US" w:eastAsia="en-US" w:bidi="ar-SA"/>
              </w:rPr>
              <w:t>点等敏感设施，</w:t>
            </w:r>
          </w:p>
        </w:tc>
        <w:tc>
          <w:tcPr>
            <w:tcW w:w="52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val="en-US" w:eastAsia="en-US" w:bidi="ar-SA"/>
              </w:rPr>
            </w:pPr>
            <w:r>
              <w:rPr>
                <w:rFonts w:ascii="Times New Roman" w:hAnsi="Times New Roman" w:eastAsia="宋体" w:cs="Times New Roman"/>
                <w:snapToGrid w:val="0"/>
                <w:color w:val="000000"/>
                <w:spacing w:val="8"/>
                <w:kern w:val="0"/>
                <w:sz w:val="21"/>
                <w:szCs w:val="20"/>
                <w:lang w:val="en-US" w:eastAsia="en-US" w:bidi="ar-SA"/>
              </w:rPr>
              <w:t>未占用基本农</w:t>
            </w:r>
            <w:r>
              <w:rPr>
                <w:rFonts w:ascii="Times New Roman" w:hAnsi="Times New Roman" w:eastAsia="宋体" w:cs="Times New Roman"/>
                <w:snapToGrid w:val="0"/>
                <w:color w:val="000000"/>
                <w:spacing w:val="6"/>
                <w:kern w:val="0"/>
                <w:sz w:val="21"/>
                <w:szCs w:val="20"/>
                <w:lang w:val="en-US" w:eastAsia="en-US" w:bidi="ar-SA"/>
              </w:rPr>
              <w:t>田及生态红线等敏感性因素</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1035" w:hRule="atLeast"/>
          <w:jc w:val="center"/>
        </w:trPr>
        <w:tc>
          <w:tcPr>
            <w:tcW w:w="29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val="en-US" w:eastAsia="en-US" w:bidi="ar-SA"/>
              </w:rPr>
            </w:pPr>
            <w:r>
              <w:rPr>
                <w:rFonts w:ascii="Times New Roman" w:hAnsi="Times New Roman" w:eastAsia="宋体" w:cs="Times New Roman"/>
                <w:snapToGrid w:val="0"/>
                <w:color w:val="000000"/>
                <w:spacing w:val="8"/>
                <w:kern w:val="0"/>
                <w:sz w:val="21"/>
                <w:szCs w:val="20"/>
                <w:lang w:val="en-US" w:eastAsia="en-US" w:bidi="ar-SA"/>
              </w:rPr>
              <w:t>松树湾弃渣场</w:t>
            </w:r>
          </w:p>
        </w:tc>
        <w:tc>
          <w:tcPr>
            <w:tcW w:w="20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0.83</w:t>
            </w:r>
          </w:p>
        </w:tc>
        <w:tc>
          <w:tcPr>
            <w:tcW w:w="1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val="en-US" w:eastAsia="en-US" w:bidi="ar-SA"/>
              </w:rPr>
            </w:pPr>
            <w:r>
              <w:rPr>
                <w:rFonts w:ascii="Times New Roman" w:hAnsi="Times New Roman" w:eastAsia="宋体" w:cs="Times New Roman"/>
                <w:snapToGrid w:val="0"/>
                <w:color w:val="000000"/>
                <w:spacing w:val="-2"/>
                <w:kern w:val="0"/>
                <w:sz w:val="21"/>
                <w:szCs w:val="20"/>
                <w:lang w:val="en-US" w:eastAsia="en-US" w:bidi="ar-SA"/>
              </w:rPr>
              <w:t>沟谷</w:t>
            </w:r>
          </w:p>
        </w:tc>
        <w:tc>
          <w:tcPr>
            <w:tcW w:w="17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val="en-US" w:eastAsia="en-US" w:bidi="ar-SA"/>
              </w:rPr>
            </w:pPr>
            <w:r>
              <w:rPr>
                <w:rFonts w:ascii="Times New Roman" w:hAnsi="Times New Roman" w:eastAsia="宋体" w:cs="Times New Roman"/>
                <w:snapToGrid w:val="0"/>
                <w:color w:val="000000"/>
                <w:spacing w:val="5"/>
                <w:kern w:val="0"/>
                <w:sz w:val="21"/>
                <w:szCs w:val="20"/>
                <w:lang w:val="en-US" w:eastAsia="en-US" w:bidi="ar-SA"/>
              </w:rPr>
              <w:t>林地</w:t>
            </w:r>
          </w:p>
        </w:tc>
        <w:tc>
          <w:tcPr>
            <w:tcW w:w="21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val="en-US" w:eastAsia="en-US" w:bidi="ar-SA"/>
              </w:rPr>
            </w:pPr>
            <w:r>
              <w:rPr>
                <w:rFonts w:ascii="Times New Roman" w:hAnsi="Times New Roman" w:eastAsia="宋体" w:cs="Times New Roman"/>
                <w:snapToGrid w:val="0"/>
                <w:color w:val="000000"/>
                <w:spacing w:val="-2"/>
                <w:kern w:val="0"/>
                <w:sz w:val="21"/>
                <w:szCs w:val="20"/>
                <w:lang w:val="en-US" w:eastAsia="en-US" w:bidi="ar-SA"/>
              </w:rPr>
              <w:t>1：2</w:t>
            </w:r>
          </w:p>
        </w:tc>
        <w:tc>
          <w:tcPr>
            <w:tcW w:w="20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1"/>
                <w:kern w:val="0"/>
                <w:sz w:val="21"/>
                <w:szCs w:val="20"/>
                <w:lang w:eastAsia="en-US"/>
              </w:rPr>
              <w:t>1339-1348</w:t>
            </w:r>
          </w:p>
        </w:tc>
        <w:tc>
          <w:tcPr>
            <w:tcW w:w="24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3"/>
                <w:kern w:val="0"/>
                <w:sz w:val="21"/>
                <w:szCs w:val="20"/>
                <w:lang w:eastAsia="en-US"/>
              </w:rPr>
              <w:t>2.95</w:t>
            </w:r>
          </w:p>
        </w:tc>
        <w:tc>
          <w:tcPr>
            <w:tcW w:w="24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3"/>
                <w:kern w:val="0"/>
                <w:sz w:val="21"/>
                <w:szCs w:val="20"/>
                <w:lang w:eastAsia="en-US"/>
              </w:rPr>
              <w:t>2.95</w:t>
            </w:r>
          </w:p>
        </w:tc>
        <w:tc>
          <w:tcPr>
            <w:tcW w:w="26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1.70</w:t>
            </w:r>
          </w:p>
        </w:tc>
        <w:tc>
          <w:tcPr>
            <w:tcW w:w="16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3"/>
                <w:kern w:val="0"/>
                <w:sz w:val="21"/>
                <w:szCs w:val="20"/>
                <w:lang w:eastAsia="en-US"/>
              </w:rPr>
              <w:t>2.21</w:t>
            </w:r>
          </w:p>
        </w:tc>
        <w:tc>
          <w:tcPr>
            <w:tcW w:w="26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0.00</w:t>
            </w:r>
          </w:p>
        </w:tc>
        <w:tc>
          <w:tcPr>
            <w:tcW w:w="17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0.00</w:t>
            </w:r>
          </w:p>
        </w:tc>
        <w:tc>
          <w:tcPr>
            <w:tcW w:w="24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1.70</w:t>
            </w:r>
          </w:p>
        </w:tc>
        <w:tc>
          <w:tcPr>
            <w:tcW w:w="18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3"/>
                <w:kern w:val="0"/>
                <w:sz w:val="21"/>
                <w:szCs w:val="20"/>
                <w:lang w:eastAsia="en-US"/>
              </w:rPr>
              <w:t>2.21</w:t>
            </w:r>
          </w:p>
        </w:tc>
        <w:tc>
          <w:tcPr>
            <w:tcW w:w="2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1.70</w:t>
            </w:r>
          </w:p>
        </w:tc>
        <w:tc>
          <w:tcPr>
            <w:tcW w:w="21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3"/>
                <w:kern w:val="0"/>
                <w:sz w:val="21"/>
                <w:szCs w:val="20"/>
                <w:lang w:eastAsia="en-US"/>
              </w:rPr>
              <w:t>2.21</w:t>
            </w:r>
          </w:p>
        </w:tc>
        <w:tc>
          <w:tcPr>
            <w:tcW w:w="23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spacing w:val="2"/>
                <w:kern w:val="0"/>
                <w:sz w:val="21"/>
                <w:szCs w:val="20"/>
                <w:lang w:eastAsia="en-US"/>
              </w:rPr>
              <w:t>0.05</w:t>
            </w:r>
          </w:p>
        </w:tc>
        <w:tc>
          <w:tcPr>
            <w:tcW w:w="1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snapToGrid w:val="0"/>
                <w:color w:val="000000"/>
                <w:kern w:val="0"/>
                <w:sz w:val="21"/>
                <w:szCs w:val="20"/>
                <w:lang w:eastAsia="en-US"/>
              </w:rPr>
              <w:t>5</w:t>
            </w:r>
          </w:p>
        </w:tc>
        <w:tc>
          <w:tcPr>
            <w:tcW w:w="52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val="en-US" w:eastAsia="en-US" w:bidi="ar-SA"/>
              </w:rPr>
            </w:pPr>
            <w:r>
              <w:rPr>
                <w:rFonts w:ascii="Times New Roman" w:hAnsi="Times New Roman" w:eastAsia="宋体" w:cs="Times New Roman"/>
                <w:snapToGrid w:val="0"/>
                <w:color w:val="000000"/>
                <w:spacing w:val="7"/>
                <w:kern w:val="0"/>
                <w:sz w:val="21"/>
                <w:szCs w:val="20"/>
                <w:lang w:val="en-US" w:eastAsia="en-US" w:bidi="ar-SA"/>
              </w:rPr>
              <w:t>渣场下游为灌木林地，</w:t>
            </w:r>
            <w:r>
              <w:rPr>
                <w:rFonts w:ascii="Times New Roman" w:hAnsi="Times New Roman" w:eastAsia="宋体" w:cs="Times New Roman"/>
                <w:snapToGrid w:val="0"/>
                <w:color w:val="000000"/>
                <w:spacing w:val="8"/>
                <w:kern w:val="0"/>
                <w:sz w:val="21"/>
                <w:szCs w:val="20"/>
                <w:lang w:val="en-US" w:eastAsia="en-US" w:bidi="ar-SA"/>
              </w:rPr>
              <w:t>无重要基础设施和居民</w:t>
            </w:r>
            <w:r>
              <w:rPr>
                <w:rFonts w:ascii="Times New Roman" w:hAnsi="Times New Roman" w:eastAsia="宋体" w:cs="Times New Roman"/>
                <w:snapToGrid w:val="0"/>
                <w:color w:val="000000"/>
                <w:spacing w:val="4"/>
                <w:kern w:val="0"/>
                <w:sz w:val="21"/>
                <w:szCs w:val="20"/>
                <w:lang w:val="en-US" w:eastAsia="en-US" w:bidi="ar-SA"/>
              </w:rPr>
              <w:t>点等敏感设施</w:t>
            </w:r>
          </w:p>
        </w:tc>
        <w:tc>
          <w:tcPr>
            <w:tcW w:w="52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val="en-US" w:eastAsia="en-US" w:bidi="ar-SA"/>
              </w:rPr>
            </w:pPr>
            <w:r>
              <w:rPr>
                <w:rFonts w:ascii="Times New Roman" w:hAnsi="Times New Roman" w:eastAsia="宋体" w:cs="Times New Roman"/>
                <w:snapToGrid w:val="0"/>
                <w:color w:val="000000"/>
                <w:spacing w:val="8"/>
                <w:kern w:val="0"/>
                <w:sz w:val="21"/>
                <w:szCs w:val="20"/>
                <w:lang w:val="en-US" w:eastAsia="en-US" w:bidi="ar-SA"/>
              </w:rPr>
              <w:t>未占用基本农</w:t>
            </w:r>
            <w:r>
              <w:rPr>
                <w:rFonts w:ascii="Times New Roman" w:hAnsi="Times New Roman" w:eastAsia="宋体" w:cs="Times New Roman"/>
                <w:snapToGrid w:val="0"/>
                <w:color w:val="000000"/>
                <w:spacing w:val="6"/>
                <w:kern w:val="0"/>
                <w:sz w:val="21"/>
                <w:szCs w:val="20"/>
                <w:lang w:val="en-US" w:eastAsia="en-US" w:bidi="ar-SA"/>
              </w:rPr>
              <w:t>田及生态红线等敏感性因素</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29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val="en-US" w:eastAsia="en-US" w:bidi="ar-SA"/>
              </w:rPr>
            </w:pPr>
            <w:r>
              <w:rPr>
                <w:rFonts w:ascii="Times New Roman" w:hAnsi="Times New Roman" w:eastAsia="宋体" w:cs="Times New Roman"/>
                <w:snapToGrid w:val="0"/>
                <w:color w:val="000000"/>
                <w:spacing w:val="4"/>
                <w:kern w:val="0"/>
                <w:sz w:val="21"/>
                <w:szCs w:val="20"/>
                <w:lang w:val="en-US" w:eastAsia="en-US" w:bidi="ar-SA"/>
                <w14:textOutline w14:w="3795" w14:cap="sq" w14:cmpd="sng">
                  <w14:solidFill>
                    <w14:srgbClr w14:val="000000"/>
                  </w14:solidFill>
                  <w14:prstDash w14:val="solid"/>
                  <w14:bevel/>
                </w14:textOutline>
              </w:rPr>
              <w:t>合计</w:t>
            </w:r>
          </w:p>
        </w:tc>
        <w:tc>
          <w:tcPr>
            <w:tcW w:w="20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b/>
                <w:bCs/>
                <w:snapToGrid w:val="0"/>
                <w:color w:val="000000"/>
                <w:spacing w:val="1"/>
                <w:kern w:val="0"/>
                <w:sz w:val="21"/>
                <w:szCs w:val="20"/>
                <w:lang w:eastAsia="en-US"/>
              </w:rPr>
              <w:t>1.13</w:t>
            </w:r>
          </w:p>
        </w:tc>
        <w:tc>
          <w:tcPr>
            <w:tcW w:w="1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1"/>
                <w:lang w:eastAsia="en-US"/>
              </w:rPr>
            </w:pPr>
          </w:p>
        </w:tc>
        <w:tc>
          <w:tcPr>
            <w:tcW w:w="17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1"/>
                <w:lang w:eastAsia="en-US"/>
              </w:rPr>
            </w:pPr>
          </w:p>
        </w:tc>
        <w:tc>
          <w:tcPr>
            <w:tcW w:w="21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1"/>
                <w:lang w:eastAsia="en-US"/>
              </w:rPr>
            </w:pPr>
          </w:p>
        </w:tc>
        <w:tc>
          <w:tcPr>
            <w:tcW w:w="20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1"/>
                <w:lang w:eastAsia="en-US"/>
              </w:rPr>
            </w:pPr>
          </w:p>
        </w:tc>
        <w:tc>
          <w:tcPr>
            <w:tcW w:w="24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b/>
                <w:bCs/>
                <w:snapToGrid w:val="0"/>
                <w:color w:val="000000"/>
                <w:spacing w:val="3"/>
                <w:kern w:val="0"/>
                <w:sz w:val="21"/>
                <w:szCs w:val="20"/>
                <w:lang w:eastAsia="en-US"/>
              </w:rPr>
              <w:t>4.18</w:t>
            </w:r>
          </w:p>
        </w:tc>
        <w:tc>
          <w:tcPr>
            <w:tcW w:w="24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b/>
                <w:bCs/>
                <w:snapToGrid w:val="0"/>
                <w:color w:val="000000"/>
                <w:spacing w:val="3"/>
                <w:kern w:val="0"/>
                <w:sz w:val="21"/>
                <w:szCs w:val="20"/>
                <w:lang w:eastAsia="en-US"/>
              </w:rPr>
              <w:t>4.18</w:t>
            </w:r>
          </w:p>
        </w:tc>
        <w:tc>
          <w:tcPr>
            <w:tcW w:w="26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b/>
                <w:bCs/>
                <w:snapToGrid w:val="0"/>
                <w:color w:val="000000"/>
                <w:spacing w:val="2"/>
                <w:kern w:val="0"/>
                <w:sz w:val="21"/>
                <w:szCs w:val="20"/>
                <w:lang w:eastAsia="en-US"/>
              </w:rPr>
              <w:t>0.00</w:t>
            </w:r>
          </w:p>
        </w:tc>
        <w:tc>
          <w:tcPr>
            <w:tcW w:w="16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b/>
                <w:bCs/>
                <w:snapToGrid w:val="0"/>
                <w:color w:val="000000"/>
                <w:spacing w:val="3"/>
                <w:kern w:val="0"/>
                <w:sz w:val="21"/>
                <w:szCs w:val="20"/>
                <w:lang w:eastAsia="en-US"/>
              </w:rPr>
              <w:t>3.24</w:t>
            </w:r>
          </w:p>
        </w:tc>
        <w:tc>
          <w:tcPr>
            <w:tcW w:w="26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b/>
                <w:bCs/>
                <w:snapToGrid w:val="0"/>
                <w:color w:val="000000"/>
                <w:spacing w:val="2"/>
                <w:kern w:val="0"/>
                <w:sz w:val="21"/>
                <w:szCs w:val="20"/>
                <w:lang w:eastAsia="en-US"/>
              </w:rPr>
              <w:t>0.18</w:t>
            </w:r>
          </w:p>
        </w:tc>
        <w:tc>
          <w:tcPr>
            <w:tcW w:w="17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b/>
                <w:bCs/>
                <w:snapToGrid w:val="0"/>
                <w:color w:val="000000"/>
                <w:spacing w:val="2"/>
                <w:kern w:val="0"/>
                <w:sz w:val="21"/>
                <w:szCs w:val="20"/>
                <w:lang w:eastAsia="en-US"/>
              </w:rPr>
              <w:t>0.23</w:t>
            </w:r>
          </w:p>
        </w:tc>
        <w:tc>
          <w:tcPr>
            <w:tcW w:w="24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b/>
                <w:bCs/>
                <w:snapToGrid w:val="0"/>
                <w:color w:val="000000"/>
                <w:spacing w:val="3"/>
                <w:kern w:val="0"/>
                <w:sz w:val="21"/>
                <w:szCs w:val="20"/>
                <w:lang w:eastAsia="en-US"/>
              </w:rPr>
              <w:t>2.31</w:t>
            </w:r>
          </w:p>
        </w:tc>
        <w:tc>
          <w:tcPr>
            <w:tcW w:w="18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b/>
                <w:bCs/>
                <w:snapToGrid w:val="0"/>
                <w:color w:val="000000"/>
                <w:spacing w:val="3"/>
                <w:kern w:val="0"/>
                <w:sz w:val="21"/>
                <w:szCs w:val="20"/>
                <w:lang w:eastAsia="en-US"/>
              </w:rPr>
              <w:t>3.00</w:t>
            </w:r>
          </w:p>
        </w:tc>
        <w:tc>
          <w:tcPr>
            <w:tcW w:w="2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b/>
                <w:bCs/>
                <w:snapToGrid w:val="0"/>
                <w:color w:val="000000"/>
                <w:spacing w:val="3"/>
                <w:kern w:val="0"/>
                <w:sz w:val="21"/>
                <w:szCs w:val="20"/>
                <w:lang w:eastAsia="en-US"/>
              </w:rPr>
              <w:t>2.49</w:t>
            </w:r>
          </w:p>
        </w:tc>
        <w:tc>
          <w:tcPr>
            <w:tcW w:w="21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0"/>
                <w:lang w:eastAsia="en-US"/>
              </w:rPr>
            </w:pPr>
            <w:r>
              <w:rPr>
                <w:rFonts w:ascii="Times New Roman" w:hAnsi="Times New Roman" w:eastAsia="宋体" w:cs="Times New Roman"/>
                <w:b/>
                <w:bCs/>
                <w:snapToGrid w:val="0"/>
                <w:color w:val="000000"/>
                <w:spacing w:val="3"/>
                <w:kern w:val="0"/>
                <w:sz w:val="21"/>
                <w:szCs w:val="20"/>
                <w:lang w:eastAsia="en-US"/>
              </w:rPr>
              <w:t>3.47</w:t>
            </w:r>
          </w:p>
        </w:tc>
        <w:tc>
          <w:tcPr>
            <w:tcW w:w="23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1"/>
                <w:lang w:eastAsia="en-US"/>
              </w:rPr>
            </w:pPr>
          </w:p>
        </w:tc>
        <w:tc>
          <w:tcPr>
            <w:tcW w:w="1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1"/>
                <w:lang w:eastAsia="en-US"/>
              </w:rPr>
            </w:pPr>
          </w:p>
        </w:tc>
        <w:tc>
          <w:tcPr>
            <w:tcW w:w="52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1"/>
                <w:lang w:eastAsia="en-US"/>
              </w:rPr>
            </w:pPr>
          </w:p>
        </w:tc>
        <w:tc>
          <w:tcPr>
            <w:tcW w:w="52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napToGrid w:val="0"/>
                <w:color w:val="000000"/>
                <w:kern w:val="0"/>
                <w:sz w:val="21"/>
                <w:szCs w:val="21"/>
                <w:lang w:eastAsia="en-US"/>
              </w:rPr>
            </w:pPr>
          </w:p>
        </w:tc>
      </w:tr>
    </w:tbl>
    <w:p>
      <w:pPr>
        <w:widowControl w:val="0"/>
        <w:adjustRightInd w:val="0"/>
        <w:snapToGrid w:val="0"/>
        <w:spacing w:line="420" w:lineRule="exact"/>
        <w:ind w:firstLine="425"/>
        <w:jc w:val="both"/>
        <w:rPr>
          <w:rFonts w:hint="default" w:ascii="Times New Roman" w:hAnsi="Times New Roman" w:eastAsia="宋体" w:cs="Times New Roman"/>
          <w:kern w:val="2"/>
          <w:sz w:val="24"/>
          <w:szCs w:val="24"/>
          <w:lang w:val="en-US" w:eastAsia="zh-CN" w:bidi="ar-SA"/>
        </w:rPr>
      </w:pPr>
    </w:p>
    <w:p>
      <w:pPr>
        <w:adjustRightInd w:val="0"/>
        <w:snapToGrid w:val="0"/>
        <w:spacing w:line="240" w:lineRule="auto"/>
        <w:jc w:val="center"/>
        <w:rPr>
          <w:rFonts w:hint="eastAsia" w:ascii="Times New Roman" w:hAnsi="Times New Roman" w:eastAsia="宋体" w:cs="Times New Roman"/>
          <w:b/>
          <w:bCs/>
          <w:szCs w:val="28"/>
          <w:lang w:val="en-US" w:eastAsia="en-US"/>
        </w:rPr>
      </w:pPr>
      <w:r>
        <w:rPr>
          <w:rFonts w:hint="eastAsia" w:ascii="Times New Roman" w:hAnsi="Times New Roman" w:eastAsia="宋体" w:cs="Times New Roman"/>
          <w:b/>
          <w:bCs/>
          <w:szCs w:val="28"/>
          <w:lang w:val="en-US" w:eastAsia="en-US"/>
        </w:rPr>
        <w:t>表</w:t>
      </w:r>
      <w:r>
        <w:rPr>
          <w:rFonts w:hint="eastAsia" w:ascii="Times New Roman" w:hAnsi="Times New Roman" w:eastAsia="宋体" w:cs="Times New Roman"/>
          <w:b/>
          <w:bCs/>
          <w:szCs w:val="28"/>
          <w:lang w:val="en-US" w:eastAsia="zh-CN"/>
        </w:rPr>
        <w:t>3.3-1</w:t>
      </w:r>
      <w:r>
        <w:rPr>
          <w:rFonts w:hint="eastAsia" w:ascii="Times New Roman" w:hAnsi="Times New Roman" w:eastAsia="宋体" w:cs="Times New Roman"/>
          <w:b/>
          <w:bCs/>
          <w:szCs w:val="28"/>
          <w:lang w:val="en-US" w:eastAsia="en-US"/>
        </w:rPr>
        <w:t xml:space="preserve">  项目占地类型及面积统计表</w:t>
      </w:r>
    </w:p>
    <w:tbl>
      <w:tblPr>
        <w:tblStyle w:val="32"/>
        <w:tblW w:w="4998" w:type="pct"/>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93"/>
        <w:gridCol w:w="1670"/>
        <w:gridCol w:w="1670"/>
        <w:gridCol w:w="1923"/>
        <w:gridCol w:w="1058"/>
        <w:gridCol w:w="918"/>
        <w:gridCol w:w="1726"/>
        <w:gridCol w:w="1069"/>
        <w:gridCol w:w="1220"/>
        <w:gridCol w:w="1414"/>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295"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序号</w:t>
            </w:r>
          </w:p>
        </w:tc>
        <w:tc>
          <w:tcPr>
            <w:tcW w:w="1953" w:type="pct"/>
            <w:gridSpan w:val="3"/>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项目分区</w:t>
            </w:r>
          </w:p>
        </w:tc>
        <w:tc>
          <w:tcPr>
            <w:tcW w:w="1375" w:type="pct"/>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p>
        </w:tc>
        <w:tc>
          <w:tcPr>
            <w:tcW w:w="453"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占地性质</w:t>
            </w:r>
          </w:p>
        </w:tc>
        <w:tc>
          <w:tcPr>
            <w:tcW w:w="525"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备注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9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p>
        </w:tc>
        <w:tc>
          <w:tcPr>
            <w:tcW w:w="1953" w:type="pct"/>
            <w:gridSpan w:val="3"/>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林地</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草地</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交通运输用地</w:t>
            </w: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r>
              <w:rPr>
                <w:rFonts w:ascii="Times New Roman" w:hAnsi="Times New Roman" w:eastAsia="宋体" w:cs="Times New Roman"/>
                <w:b/>
                <w:bCs/>
                <w:snapToGrid w:val="0"/>
                <w:color w:val="000000"/>
                <w:spacing w:val="-1"/>
                <w:kern w:val="0"/>
                <w:sz w:val="21"/>
                <w:szCs w:val="20"/>
                <w:lang w:val="en-US" w:eastAsia="en-US" w:bidi="ar-SA"/>
              </w:rPr>
              <w:t>小计</w:t>
            </w:r>
          </w:p>
        </w:tc>
        <w:tc>
          <w:tcPr>
            <w:tcW w:w="453"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p>
        </w:tc>
        <w:tc>
          <w:tcPr>
            <w:tcW w:w="52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bCs/>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3624" w:type="pct"/>
            <w:gridSpan w:val="7"/>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按功能分区统计</w:t>
            </w: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95"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w:t>
            </w:r>
          </w:p>
        </w:tc>
        <w:tc>
          <w:tcPr>
            <w:tcW w:w="620"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光伏发电区</w:t>
            </w:r>
          </w:p>
        </w:tc>
        <w:tc>
          <w:tcPr>
            <w:tcW w:w="620"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松树湾片区</w:t>
            </w:r>
          </w:p>
        </w:tc>
        <w:tc>
          <w:tcPr>
            <w:tcW w:w="71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支架基础</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0.05</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0.05</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永久占地</w:t>
            </w: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施工扰动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9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71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光伏方阵空地</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17.50</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4.37</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21.87</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临时占地</w:t>
            </w: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不扰动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9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阿郎片区</w:t>
            </w:r>
          </w:p>
        </w:tc>
        <w:tc>
          <w:tcPr>
            <w:tcW w:w="71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支架基础</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0.04</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0.04</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永久占地</w:t>
            </w: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施工扰动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9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71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光伏方阵空地</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12.49</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3. 12</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15.61</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临时占地</w:t>
            </w: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不扰动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9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沙沟片区</w:t>
            </w:r>
          </w:p>
        </w:tc>
        <w:tc>
          <w:tcPr>
            <w:tcW w:w="71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支架基础</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0.32</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0.13</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0.45</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永久占地</w:t>
            </w: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施工扰动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9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71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光伏方阵空地</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168.48</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29.73</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198.21</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临时占地</w:t>
            </w: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不扰动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9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小计</w:t>
            </w:r>
          </w:p>
        </w:tc>
        <w:tc>
          <w:tcPr>
            <w:tcW w:w="71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支架基础</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0.41</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0.13</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0.00</w:t>
            </w: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0.54</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永久占地</w:t>
            </w: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施工扰动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9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71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光伏方阵空地</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198.47</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37.22</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0.00</w:t>
            </w: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235.69</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临时占地</w:t>
            </w: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不扰动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9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71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汇总</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198.88</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37.35</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0.00</w:t>
            </w: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236.23</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95"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w:t>
            </w:r>
          </w:p>
        </w:tc>
        <w:tc>
          <w:tcPr>
            <w:tcW w:w="620"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集电线路</w:t>
            </w:r>
          </w:p>
        </w:tc>
        <w:tc>
          <w:tcPr>
            <w:tcW w:w="620"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架空线路区</w:t>
            </w:r>
          </w:p>
        </w:tc>
        <w:tc>
          <w:tcPr>
            <w:tcW w:w="71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塔基基础区</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0.01</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0.01</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永久占地</w:t>
            </w: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施工扰动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9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71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塔基施工区</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0.13</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0.08</w:t>
            </w: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0.21</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临时占地</w:t>
            </w: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施工扰动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9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333"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电缆区</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1.53</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0.38</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1.91</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临时占地</w:t>
            </w: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施工扰动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9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333"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小计</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1.67</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0.38</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0.08</w:t>
            </w: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2.13</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29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3</w:t>
            </w:r>
          </w:p>
        </w:tc>
        <w:tc>
          <w:tcPr>
            <w:tcW w:w="1953" w:type="pct"/>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箱变及分支箱</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0.17</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0.17</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永久占地</w:t>
            </w: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施工扰动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9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4</w:t>
            </w:r>
          </w:p>
        </w:tc>
        <w:tc>
          <w:tcPr>
            <w:tcW w:w="1953" w:type="pct"/>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升压站区</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0.67</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0.67</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永久占地</w:t>
            </w: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施工扰动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95"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5</w:t>
            </w:r>
          </w:p>
        </w:tc>
        <w:tc>
          <w:tcPr>
            <w:tcW w:w="620"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场内道路区</w:t>
            </w:r>
          </w:p>
        </w:tc>
        <w:tc>
          <w:tcPr>
            <w:tcW w:w="1333"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进站道路</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1.24</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0.31</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1.55</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永久占地</w:t>
            </w: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施工扰动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9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检修道路</w:t>
            </w:r>
          </w:p>
        </w:tc>
        <w:tc>
          <w:tcPr>
            <w:tcW w:w="71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新建道路</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11.96</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2.99</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14.95</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临时占地</w:t>
            </w: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施工扰动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9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71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改扩建道路</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2.91</w:t>
            </w: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2.91</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临时占地</w:t>
            </w: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9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333"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临时施工便道</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0.72</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0.24</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0.96</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临时占地</w:t>
            </w: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9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2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1333"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小计</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13.92</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3.54</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2.91</w:t>
            </w: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20.37</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9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6</w:t>
            </w:r>
          </w:p>
        </w:tc>
        <w:tc>
          <w:tcPr>
            <w:tcW w:w="1953" w:type="pct"/>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施工生产生活区</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0.71</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0.48</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1.19</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临时占地</w:t>
            </w: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施工扰动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9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7</w:t>
            </w:r>
          </w:p>
        </w:tc>
        <w:tc>
          <w:tcPr>
            <w:tcW w:w="1953" w:type="pct"/>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弃渣场区</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1.13</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1.13</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临时占地</w:t>
            </w: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施工扰动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249" w:type="pct"/>
            <w:gridSpan w:val="4"/>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合计</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216.48</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42.42</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2.99</w:t>
            </w: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261.89</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PrEx>
        <w:trPr>
          <w:trHeight w:val="311" w:hRule="atLeast"/>
        </w:trPr>
        <w:tc>
          <w:tcPr>
            <w:tcW w:w="4021" w:type="pct"/>
            <w:gridSpan w:val="8"/>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按施工扰动情况统计</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2249" w:type="pct"/>
            <w:gridSpan w:val="4"/>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未扰动区</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198.47</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37.22</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0.00</w:t>
            </w: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235.69</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2249" w:type="pct"/>
            <w:gridSpan w:val="4"/>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施工扰动区</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18.01</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5.20</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2.99</w:t>
            </w: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26.20</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2249" w:type="pct"/>
            <w:gridSpan w:val="4"/>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合计</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216.48</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42.42</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2.99</w:t>
            </w: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261.89</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4021" w:type="pct"/>
            <w:gridSpan w:val="8"/>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按占地性质统计</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2249" w:type="pct"/>
            <w:gridSpan w:val="4"/>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永久占地</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1.83</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1. 11</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0.00</w:t>
            </w: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2.94</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2249" w:type="pct"/>
            <w:gridSpan w:val="4"/>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临时占地</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214.65</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41.31</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2.99</w:t>
            </w: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258.95</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249" w:type="pct"/>
            <w:gridSpan w:val="4"/>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合计</w:t>
            </w:r>
          </w:p>
        </w:tc>
        <w:tc>
          <w:tcPr>
            <w:tcW w:w="3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216.48</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42.42</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2.99</w:t>
            </w:r>
          </w:p>
        </w:tc>
        <w:tc>
          <w:tcPr>
            <w:tcW w:w="39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r>
              <w:rPr>
                <w:rFonts w:ascii="Times New Roman" w:hAnsi="Times New Roman" w:eastAsia="宋体" w:cs="Times New Roman"/>
                <w:b w:val="0"/>
                <w:bCs w:val="0"/>
                <w:snapToGrid w:val="0"/>
                <w:color w:val="000000"/>
                <w:spacing w:val="-1"/>
                <w:kern w:val="0"/>
                <w:sz w:val="21"/>
                <w:szCs w:val="20"/>
                <w:lang w:val="en-US" w:eastAsia="en-US" w:bidi="ar-SA"/>
              </w:rPr>
              <w:t>261.89</w:t>
            </w:r>
          </w:p>
        </w:tc>
        <w:tc>
          <w:tcPr>
            <w:tcW w:w="45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c>
          <w:tcPr>
            <w:tcW w:w="52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ascii="Times New Roman" w:hAnsi="Times New Roman" w:eastAsia="宋体" w:cs="Times New Roman"/>
                <w:b w:val="0"/>
                <w:bCs w:val="0"/>
                <w:snapToGrid w:val="0"/>
                <w:color w:val="000000"/>
                <w:spacing w:val="-1"/>
                <w:kern w:val="0"/>
                <w:sz w:val="21"/>
                <w:szCs w:val="20"/>
                <w:lang w:val="en-US" w:eastAsia="en-US" w:bidi="ar-SA"/>
              </w:rPr>
            </w:pPr>
          </w:p>
        </w:tc>
      </w:tr>
    </w:tbl>
    <w:p>
      <w:pPr>
        <w:adjustRightInd w:val="0"/>
        <w:snapToGrid w:val="0"/>
        <w:spacing w:line="240" w:lineRule="auto"/>
        <w:jc w:val="center"/>
        <w:rPr>
          <w:rFonts w:hint="eastAsia" w:ascii="Times New Roman" w:hAnsi="Times New Roman" w:eastAsia="宋体" w:cs="Times New Roman"/>
          <w:b/>
          <w:bCs/>
          <w:szCs w:val="28"/>
          <w:lang w:val="en-US" w:eastAsia="en-US"/>
        </w:rPr>
      </w:pPr>
    </w:p>
    <w:p>
      <w:pPr>
        <w:pStyle w:val="10"/>
        <w:rPr>
          <w:rFonts w:hint="default"/>
          <w:lang w:val="en-US" w:eastAsia="zh-CN"/>
        </w:rPr>
      </w:pPr>
    </w:p>
    <w:p>
      <w:pPr>
        <w:rPr>
          <w:rFonts w:hint="default"/>
          <w:lang w:val="en-US" w:eastAsia="zh-CN"/>
        </w:rPr>
        <w:sectPr>
          <w:pgSz w:w="16838" w:h="11906" w:orient="landscape"/>
          <w:pgMar w:top="1531" w:right="1701" w:bottom="1531" w:left="1701"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15"/>
        <w:jc w:val="center"/>
        <w:outlineLvl w:val="0"/>
        <w:rPr>
          <w:rFonts w:hint="default" w:ascii="黑体" w:hAnsi="黑体" w:eastAsia="黑体" w:cs="Times New Roman"/>
          <w:snapToGrid w:val="0"/>
          <w:sz w:val="30"/>
          <w:szCs w:val="30"/>
          <w:lang w:val="en-US" w:eastAsia="zh-CN"/>
        </w:rPr>
      </w:pPr>
      <w:bookmarkStart w:id="10" w:name="_Toc9041"/>
      <w:r>
        <w:rPr>
          <w:rFonts w:hint="default" w:ascii="黑体" w:hAnsi="黑体" w:eastAsia="黑体" w:cs="Times New Roman"/>
          <w:snapToGrid w:val="0"/>
          <w:sz w:val="30"/>
          <w:szCs w:val="30"/>
          <w:lang w:val="en-US" w:eastAsia="zh-CN"/>
        </w:rPr>
        <w:t>三、生态环境现状、保护目标及评价标准</w:t>
      </w:r>
      <w:bookmarkEnd w:id="10"/>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6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73" w:hRule="atLeast"/>
          <w:jc w:val="center"/>
        </w:trPr>
        <w:tc>
          <w:tcPr>
            <w:tcW w:w="250" w:type="pct"/>
            <w:noWrap w:val="0"/>
            <w:vAlign w:val="center"/>
          </w:tcPr>
          <w:p>
            <w:pPr>
              <w:ind w:left="0" w:leftChars="0" w:right="0" w:rightChars="0" w:firstLine="0" w:firstLineChars="0"/>
              <w:jc w:val="center"/>
              <w:rPr>
                <w:rFonts w:hint="default" w:ascii="Times New Roman" w:hAnsi="Times New Roman" w:eastAsia="宋体"/>
                <w:color w:val="auto"/>
                <w:sz w:val="24"/>
                <w:lang w:val="en-US" w:eastAsia="zh-CN"/>
              </w:rPr>
            </w:pPr>
            <w:r>
              <w:rPr>
                <w:rFonts w:hint="default" w:ascii="Times New Roman" w:hAnsi="Times New Roman" w:eastAsia="宋体"/>
                <w:color w:val="auto"/>
                <w:sz w:val="24"/>
                <w:lang w:val="en-US" w:eastAsia="zh-CN"/>
              </w:rPr>
              <w:t>生态环境现状</w:t>
            </w:r>
          </w:p>
        </w:tc>
        <w:tc>
          <w:tcPr>
            <w:tcW w:w="4750" w:type="pct"/>
            <w:noWrap w:val="0"/>
            <w:vAlign w:val="center"/>
          </w:tcPr>
          <w:p>
            <w:pPr>
              <w:keepNext w:val="0"/>
              <w:keepLines w:val="0"/>
              <w:pageBreakBefore w:val="0"/>
              <w:widowControl w:val="0"/>
              <w:kinsoku/>
              <w:wordWrap/>
              <w:overflowPunct/>
              <w:topLinePunct w:val="0"/>
              <w:autoSpaceDE/>
              <w:autoSpaceDN/>
              <w:bidi w:val="0"/>
              <w:spacing w:line="360" w:lineRule="auto"/>
              <w:ind w:right="0" w:rightChars="0"/>
              <w:jc w:val="both"/>
              <w:textAlignment w:val="auto"/>
              <w:rPr>
                <w:rFonts w:hint="default" w:ascii="Times New Roman" w:hAnsi="Times New Roman" w:eastAsia="宋体"/>
                <w:b/>
                <w:bCs/>
                <w:color w:val="auto"/>
                <w:sz w:val="24"/>
                <w:lang w:val="en-US" w:eastAsia="zh-CN"/>
              </w:rPr>
            </w:pPr>
            <w:r>
              <w:rPr>
                <w:rFonts w:hint="eastAsia" w:ascii="Times New Roman" w:hAnsi="Times New Roman" w:eastAsia="宋体"/>
                <w:b/>
                <w:bCs/>
                <w:color w:val="auto"/>
                <w:sz w:val="24"/>
                <w:lang w:val="en-US" w:eastAsia="zh-CN"/>
              </w:rPr>
              <w:t>3.1主体功能区划</w:t>
            </w:r>
          </w:p>
          <w:p>
            <w:pPr>
              <w:pStyle w:val="10"/>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olor w:val="auto"/>
                <w:sz w:val="24"/>
                <w:lang w:val="en-US" w:eastAsia="zh-CN"/>
              </w:rPr>
            </w:pPr>
            <w:r>
              <w:rPr>
                <w:rFonts w:hint="default" w:ascii="Times New Roman" w:hAnsi="Times New Roman" w:eastAsia="宋体"/>
                <w:color w:val="auto"/>
                <w:sz w:val="24"/>
                <w:lang w:val="en-US" w:eastAsia="zh-CN"/>
              </w:rPr>
              <w:t>本项目位于楚雄州元谋县，根据《云南省主体功能区规划》，属于国家层面重点开发区域。该区域的功能定位为：我国面向西南开放重要桥头堡建设的核心区，连接东南亚、南亚国家的陆路交通枢纽，面向东南亚、南亚对外开放的重要门户；全国重要的烟草、旅游、文化、能源和商贸物流基地，以化工、有色冶炼加工、生物为重点的区域性资源深加工基地，承接产业转移基地和外向型特色优势产业基地；我国城市化发展格局中特色鲜明的高原生态宜居城市群；全省跨越发展的引擎，我国西南地区重要的经济增长极。本项目属于新能源项目，与《云南省主体功能区规划》中的功能定位相符。</w:t>
            </w:r>
          </w:p>
          <w:p>
            <w:pPr>
              <w:pStyle w:val="10"/>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olor w:val="auto"/>
                <w:sz w:val="24"/>
                <w:lang w:val="en-US" w:eastAsia="zh-CN"/>
              </w:rPr>
            </w:pPr>
            <w:r>
              <w:rPr>
                <w:rFonts w:hint="default" w:ascii="Times New Roman" w:hAnsi="Times New Roman" w:eastAsia="宋体"/>
                <w:color w:val="auto"/>
                <w:sz w:val="24"/>
                <w:lang w:val="en-US" w:eastAsia="zh-CN"/>
              </w:rPr>
              <w:t>《云南省主体功能区划》</w:t>
            </w:r>
            <w:r>
              <w:rPr>
                <w:rFonts w:hint="eastAsia" w:ascii="Times New Roman" w:hAnsi="Times New Roman" w:eastAsia="宋体"/>
                <w:color w:val="auto"/>
                <w:sz w:val="24"/>
                <w:lang w:val="en-US" w:eastAsia="zh-CN"/>
              </w:rPr>
              <w:t>“因地制宜、有序推进、统筹协调”</w:t>
            </w:r>
            <w:r>
              <w:rPr>
                <w:rFonts w:hint="default" w:ascii="Times New Roman" w:hAnsi="Times New Roman" w:eastAsia="宋体"/>
                <w:color w:val="auto"/>
                <w:sz w:val="24"/>
                <w:lang w:val="en-US" w:eastAsia="zh-CN"/>
              </w:rPr>
              <w:t>原则里提出“大力发展清洁可再生能源，……解决制约新能源电源发展并网难、外输难等问题”，本项目开发的原则与《云南省主体功能区规划》能源开发的原则是一致的。</w:t>
            </w:r>
          </w:p>
          <w:p>
            <w:pPr>
              <w:pStyle w:val="10"/>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olor w:val="auto"/>
                <w:sz w:val="24"/>
                <w:lang w:val="en-US" w:eastAsia="zh-CN"/>
              </w:rPr>
            </w:pPr>
            <w:r>
              <w:rPr>
                <w:rFonts w:hint="default" w:ascii="Times New Roman" w:hAnsi="Times New Roman" w:eastAsia="宋体"/>
                <w:color w:val="auto"/>
                <w:sz w:val="24"/>
                <w:lang w:val="en-US" w:eastAsia="zh-CN"/>
              </w:rPr>
              <w:t>《云南省主体功能区划》能源空间布局提出</w:t>
            </w:r>
            <w:r>
              <w:rPr>
                <w:rFonts w:hint="eastAsia" w:ascii="Times New Roman" w:hAnsi="Times New Roman" w:eastAsia="宋体"/>
                <w:color w:val="auto"/>
                <w:sz w:val="24"/>
                <w:lang w:val="en-US" w:eastAsia="zh-CN"/>
              </w:rPr>
              <w:t>“……依托太阳能和生物质能源分布建设新能源示范基地……依托资源优势，稳步发展太阳能发电和热利用……”</w:t>
            </w:r>
            <w:r>
              <w:rPr>
                <w:rFonts w:hint="default" w:ascii="Times New Roman" w:hAnsi="Times New Roman" w:eastAsia="宋体"/>
                <w:color w:val="auto"/>
                <w:sz w:val="24"/>
                <w:lang w:val="en-US" w:eastAsia="zh-CN"/>
              </w:rPr>
              <w:t>。</w:t>
            </w:r>
          </w:p>
          <w:p>
            <w:pPr>
              <w:pStyle w:val="10"/>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olor w:val="auto"/>
                <w:sz w:val="24"/>
                <w:lang w:val="en-US" w:eastAsia="zh-CN"/>
              </w:rPr>
            </w:pPr>
            <w:r>
              <w:rPr>
                <w:rFonts w:hint="default" w:ascii="Times New Roman" w:hAnsi="Times New Roman" w:eastAsia="宋体"/>
                <w:color w:val="auto"/>
                <w:sz w:val="24"/>
                <w:lang w:val="en-US" w:eastAsia="zh-CN"/>
              </w:rPr>
              <w:t>本项目的开发空间布局与主体功能区规划中的能源开发空间布局基本一致，且本项目环评针对光伏开发提出了环境保护措施，符合《云南省主体功能区规划》中关于能源开发的空间布局要求。</w:t>
            </w:r>
          </w:p>
          <w:p>
            <w:pPr>
              <w:keepNext w:val="0"/>
              <w:keepLines w:val="0"/>
              <w:pageBreakBefore w:val="0"/>
              <w:widowControl w:val="0"/>
              <w:kinsoku/>
              <w:wordWrap/>
              <w:overflowPunct/>
              <w:topLinePunct w:val="0"/>
              <w:autoSpaceDE/>
              <w:autoSpaceDN/>
              <w:bidi w:val="0"/>
              <w:spacing w:line="360" w:lineRule="auto"/>
              <w:ind w:right="0" w:rightChars="0"/>
              <w:jc w:val="both"/>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3.2生态功能区划</w:t>
            </w:r>
          </w:p>
          <w:p>
            <w:pPr>
              <w:pStyle w:val="10"/>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olor w:val="auto"/>
                <w:sz w:val="24"/>
                <w:lang w:val="en-US" w:eastAsia="zh-CN"/>
              </w:rPr>
            </w:pPr>
            <w:r>
              <w:rPr>
                <w:rFonts w:hint="default" w:ascii="Times New Roman" w:hAnsi="Times New Roman" w:eastAsia="宋体"/>
                <w:color w:val="auto"/>
                <w:sz w:val="24"/>
                <w:lang w:val="en-US" w:eastAsia="zh-CN"/>
              </w:rPr>
              <w:t>根据《云南省生态功能区划》，本项目位于楚雄州元谋县，属于Ⅲ高原亚热带北部常绿阔叶林生态区—Ⅲ2滇中、北中山峡谷暖性针叶林生态亚区—Ⅲ2-4元谋龙川江干热河谷农业生态功能区。</w:t>
            </w:r>
          </w:p>
          <w:p>
            <w:pPr>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表3.2-1  项目所在区域生态功能区划</w:t>
            </w:r>
          </w:p>
          <w:tbl>
            <w:tblPr>
              <w:tblStyle w:val="18"/>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89"/>
              <w:gridCol w:w="715"/>
              <w:gridCol w:w="1002"/>
              <w:gridCol w:w="1002"/>
              <w:gridCol w:w="1290"/>
              <w:gridCol w:w="719"/>
              <w:gridCol w:w="715"/>
              <w:gridCol w:w="712"/>
              <w:gridCol w:w="153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37" w:type="pct"/>
                  <w:gridSpan w:val="3"/>
                  <w:tcBorders>
                    <w:top w:val="double" w:color="auto" w:sz="4" w:space="0"/>
                    <w:left w:val="double" w:color="auto" w:sz="4" w:space="0"/>
                    <w:bottom w:val="single" w:color="000000" w:sz="6" w:space="0"/>
                    <w:right w:val="single" w:color="000000" w:sz="6" w:space="0"/>
                  </w:tcBorders>
                  <w:noWrap w:val="0"/>
                  <w:vAlign w:val="center"/>
                </w:tcPr>
                <w:p>
                  <w:pPr>
                    <w:topLinePunct/>
                    <w:adjustRightInd w:val="0"/>
                    <w:snapToGrid w:val="0"/>
                    <w:jc w:val="center"/>
                    <w:rPr>
                      <w:b/>
                      <w:bCs/>
                      <w:snapToGrid w:val="0"/>
                      <w:color w:val="auto"/>
                      <w:szCs w:val="21"/>
                    </w:rPr>
                  </w:pPr>
                  <w:r>
                    <w:rPr>
                      <w:b/>
                      <w:bCs/>
                      <w:snapToGrid w:val="0"/>
                      <w:color w:val="auto"/>
                      <w:szCs w:val="21"/>
                    </w:rPr>
                    <w:t>生态功能分区单元</w:t>
                  </w:r>
                </w:p>
              </w:tc>
              <w:tc>
                <w:tcPr>
                  <w:tcW w:w="598" w:type="pct"/>
                  <w:vMerge w:val="restart"/>
                  <w:tcBorders>
                    <w:top w:val="double" w:color="auto" w:sz="4" w:space="0"/>
                    <w:left w:val="single" w:color="000000" w:sz="6" w:space="0"/>
                    <w:bottom w:val="single" w:color="000000" w:sz="6" w:space="0"/>
                    <w:right w:val="single" w:color="auto" w:sz="4" w:space="0"/>
                  </w:tcBorders>
                  <w:noWrap w:val="0"/>
                  <w:vAlign w:val="center"/>
                </w:tcPr>
                <w:p>
                  <w:pPr>
                    <w:topLinePunct/>
                    <w:adjustRightInd w:val="0"/>
                    <w:snapToGrid w:val="0"/>
                    <w:jc w:val="center"/>
                    <w:rPr>
                      <w:b/>
                      <w:bCs/>
                      <w:snapToGrid w:val="0"/>
                      <w:color w:val="auto"/>
                      <w:szCs w:val="21"/>
                    </w:rPr>
                  </w:pPr>
                  <w:r>
                    <w:rPr>
                      <w:b/>
                      <w:bCs/>
                      <w:snapToGrid w:val="0"/>
                      <w:color w:val="auto"/>
                      <w:szCs w:val="21"/>
                    </w:rPr>
                    <w:t>所在区域与面积</w:t>
                  </w:r>
                </w:p>
              </w:tc>
              <w:tc>
                <w:tcPr>
                  <w:tcW w:w="770" w:type="pct"/>
                  <w:vMerge w:val="restart"/>
                  <w:tcBorders>
                    <w:top w:val="double" w:color="auto" w:sz="4" w:space="0"/>
                    <w:left w:val="single" w:color="auto" w:sz="4" w:space="0"/>
                    <w:bottom w:val="single" w:color="000000" w:sz="6" w:space="0"/>
                    <w:right w:val="single" w:color="auto" w:sz="4" w:space="0"/>
                  </w:tcBorders>
                  <w:noWrap w:val="0"/>
                  <w:vAlign w:val="center"/>
                </w:tcPr>
                <w:p>
                  <w:pPr>
                    <w:adjustRightInd w:val="0"/>
                    <w:snapToGrid w:val="0"/>
                    <w:jc w:val="center"/>
                    <w:rPr>
                      <w:b/>
                      <w:bCs/>
                      <w:color w:val="auto"/>
                      <w:szCs w:val="21"/>
                    </w:rPr>
                  </w:pPr>
                  <w:r>
                    <w:rPr>
                      <w:b/>
                      <w:bCs/>
                      <w:color w:val="auto"/>
                      <w:szCs w:val="21"/>
                    </w:rPr>
                    <w:t>主要生态特征</w:t>
                  </w:r>
                </w:p>
              </w:tc>
              <w:tc>
                <w:tcPr>
                  <w:tcW w:w="429" w:type="pct"/>
                  <w:vMerge w:val="restart"/>
                  <w:tcBorders>
                    <w:top w:val="double" w:color="auto" w:sz="4" w:space="0"/>
                    <w:left w:val="single" w:color="auto" w:sz="4" w:space="0"/>
                    <w:bottom w:val="single" w:color="000000" w:sz="6" w:space="0"/>
                    <w:right w:val="single" w:color="000000" w:sz="6" w:space="0"/>
                  </w:tcBorders>
                  <w:noWrap w:val="0"/>
                  <w:vAlign w:val="center"/>
                </w:tcPr>
                <w:p>
                  <w:pPr>
                    <w:topLinePunct/>
                    <w:adjustRightInd w:val="0"/>
                    <w:snapToGrid w:val="0"/>
                    <w:jc w:val="center"/>
                    <w:rPr>
                      <w:b/>
                      <w:bCs/>
                      <w:snapToGrid w:val="0"/>
                      <w:color w:val="auto"/>
                      <w:szCs w:val="21"/>
                    </w:rPr>
                  </w:pPr>
                  <w:r>
                    <w:rPr>
                      <w:b/>
                      <w:bCs/>
                      <w:snapToGrid w:val="0"/>
                      <w:color w:val="auto"/>
                      <w:szCs w:val="21"/>
                    </w:rPr>
                    <w:t>主要生态环境问题</w:t>
                  </w:r>
                </w:p>
              </w:tc>
              <w:tc>
                <w:tcPr>
                  <w:tcW w:w="427" w:type="pct"/>
                  <w:vMerge w:val="restart"/>
                  <w:tcBorders>
                    <w:top w:val="double" w:color="auto" w:sz="4" w:space="0"/>
                    <w:left w:val="single" w:color="000000" w:sz="6" w:space="0"/>
                    <w:bottom w:val="single" w:color="000000" w:sz="6" w:space="0"/>
                    <w:right w:val="single" w:color="000000" w:sz="6" w:space="0"/>
                  </w:tcBorders>
                  <w:noWrap w:val="0"/>
                  <w:vAlign w:val="center"/>
                </w:tcPr>
                <w:p>
                  <w:pPr>
                    <w:topLinePunct/>
                    <w:adjustRightInd w:val="0"/>
                    <w:snapToGrid w:val="0"/>
                    <w:jc w:val="center"/>
                    <w:rPr>
                      <w:b/>
                      <w:bCs/>
                      <w:snapToGrid w:val="0"/>
                      <w:color w:val="auto"/>
                      <w:szCs w:val="21"/>
                    </w:rPr>
                  </w:pPr>
                  <w:r>
                    <w:rPr>
                      <w:b/>
                      <w:bCs/>
                      <w:snapToGrid w:val="0"/>
                      <w:color w:val="auto"/>
                      <w:szCs w:val="21"/>
                    </w:rPr>
                    <w:t>生态环境敏感性</w:t>
                  </w:r>
                </w:p>
              </w:tc>
              <w:tc>
                <w:tcPr>
                  <w:tcW w:w="425" w:type="pct"/>
                  <w:vMerge w:val="restart"/>
                  <w:tcBorders>
                    <w:top w:val="double" w:color="auto" w:sz="4" w:space="0"/>
                    <w:left w:val="single" w:color="000000" w:sz="6" w:space="0"/>
                    <w:bottom w:val="single" w:color="000000" w:sz="6" w:space="0"/>
                    <w:right w:val="single" w:color="000000" w:sz="6" w:space="0"/>
                  </w:tcBorders>
                  <w:noWrap w:val="0"/>
                  <w:vAlign w:val="center"/>
                </w:tcPr>
                <w:p>
                  <w:pPr>
                    <w:topLinePunct/>
                    <w:adjustRightInd w:val="0"/>
                    <w:snapToGrid w:val="0"/>
                    <w:jc w:val="center"/>
                    <w:rPr>
                      <w:b/>
                      <w:bCs/>
                      <w:snapToGrid w:val="0"/>
                      <w:color w:val="auto"/>
                      <w:szCs w:val="21"/>
                    </w:rPr>
                  </w:pPr>
                  <w:r>
                    <w:rPr>
                      <w:b/>
                      <w:bCs/>
                      <w:snapToGrid w:val="0"/>
                      <w:color w:val="auto"/>
                      <w:szCs w:val="21"/>
                    </w:rPr>
                    <w:t>主要生态系统服务功能</w:t>
                  </w:r>
                </w:p>
              </w:tc>
              <w:tc>
                <w:tcPr>
                  <w:tcW w:w="914" w:type="pct"/>
                  <w:vMerge w:val="restart"/>
                  <w:tcBorders>
                    <w:top w:val="double" w:color="auto" w:sz="4" w:space="0"/>
                    <w:left w:val="single" w:color="000000" w:sz="6" w:space="0"/>
                    <w:bottom w:val="single" w:color="000000" w:sz="6" w:space="0"/>
                    <w:right w:val="double" w:color="auto" w:sz="4" w:space="0"/>
                  </w:tcBorders>
                  <w:noWrap w:val="0"/>
                  <w:vAlign w:val="center"/>
                </w:tcPr>
                <w:p>
                  <w:pPr>
                    <w:topLinePunct/>
                    <w:adjustRightInd w:val="0"/>
                    <w:snapToGrid w:val="0"/>
                    <w:jc w:val="center"/>
                    <w:rPr>
                      <w:b/>
                      <w:bCs/>
                      <w:snapToGrid w:val="0"/>
                      <w:color w:val="auto"/>
                      <w:szCs w:val="21"/>
                    </w:rPr>
                  </w:pPr>
                  <w:r>
                    <w:rPr>
                      <w:b/>
                      <w:bCs/>
                      <w:snapToGrid w:val="0"/>
                      <w:color w:val="auto"/>
                      <w:szCs w:val="21"/>
                    </w:rPr>
                    <w:t>保护措施与发展方向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tcBorders>
                    <w:top w:val="single" w:color="000000" w:sz="6" w:space="0"/>
                    <w:left w:val="double" w:color="auto" w:sz="4" w:space="0"/>
                    <w:bottom w:val="single" w:color="000000" w:sz="6" w:space="0"/>
                    <w:right w:val="single" w:color="000000" w:sz="6" w:space="0"/>
                  </w:tcBorders>
                  <w:noWrap w:val="0"/>
                  <w:vAlign w:val="center"/>
                </w:tcPr>
                <w:p>
                  <w:pPr>
                    <w:topLinePunct/>
                    <w:adjustRightInd w:val="0"/>
                    <w:snapToGrid w:val="0"/>
                    <w:jc w:val="center"/>
                    <w:rPr>
                      <w:b/>
                      <w:bCs/>
                      <w:snapToGrid w:val="0"/>
                      <w:color w:val="auto"/>
                      <w:szCs w:val="21"/>
                    </w:rPr>
                  </w:pPr>
                  <w:r>
                    <w:rPr>
                      <w:b/>
                      <w:bCs/>
                      <w:snapToGrid w:val="0"/>
                      <w:color w:val="auto"/>
                      <w:szCs w:val="21"/>
                    </w:rPr>
                    <w:t>生态区</w:t>
                  </w:r>
                </w:p>
              </w:tc>
              <w:tc>
                <w:tcPr>
                  <w:tcW w:w="427" w:type="pct"/>
                  <w:tcBorders>
                    <w:top w:val="single" w:color="000000" w:sz="6" w:space="0"/>
                    <w:left w:val="single" w:color="000000" w:sz="6" w:space="0"/>
                    <w:bottom w:val="single" w:color="000000" w:sz="6" w:space="0"/>
                    <w:right w:val="single" w:color="000000" w:sz="6" w:space="0"/>
                  </w:tcBorders>
                  <w:noWrap w:val="0"/>
                  <w:vAlign w:val="center"/>
                </w:tcPr>
                <w:p>
                  <w:pPr>
                    <w:topLinePunct/>
                    <w:adjustRightInd w:val="0"/>
                    <w:snapToGrid w:val="0"/>
                    <w:jc w:val="center"/>
                    <w:rPr>
                      <w:b/>
                      <w:bCs/>
                      <w:snapToGrid w:val="0"/>
                      <w:color w:val="auto"/>
                      <w:szCs w:val="21"/>
                    </w:rPr>
                  </w:pPr>
                  <w:r>
                    <w:rPr>
                      <w:b/>
                      <w:bCs/>
                      <w:snapToGrid w:val="0"/>
                      <w:color w:val="auto"/>
                      <w:szCs w:val="21"/>
                    </w:rPr>
                    <w:t>生态</w:t>
                  </w:r>
                </w:p>
                <w:p>
                  <w:pPr>
                    <w:topLinePunct/>
                    <w:adjustRightInd w:val="0"/>
                    <w:snapToGrid w:val="0"/>
                    <w:jc w:val="center"/>
                    <w:rPr>
                      <w:b/>
                      <w:bCs/>
                      <w:snapToGrid w:val="0"/>
                      <w:color w:val="auto"/>
                      <w:szCs w:val="21"/>
                    </w:rPr>
                  </w:pPr>
                  <w:r>
                    <w:rPr>
                      <w:b/>
                      <w:bCs/>
                      <w:snapToGrid w:val="0"/>
                      <w:color w:val="auto"/>
                      <w:szCs w:val="21"/>
                    </w:rPr>
                    <w:t>亚区</w:t>
                  </w:r>
                </w:p>
              </w:tc>
              <w:tc>
                <w:tcPr>
                  <w:tcW w:w="598" w:type="pct"/>
                  <w:tcBorders>
                    <w:top w:val="single" w:color="000000" w:sz="6" w:space="0"/>
                    <w:left w:val="single" w:color="000000" w:sz="6" w:space="0"/>
                    <w:bottom w:val="single" w:color="000000" w:sz="6" w:space="0"/>
                    <w:right w:val="single" w:color="000000" w:sz="6" w:space="0"/>
                  </w:tcBorders>
                  <w:noWrap w:val="0"/>
                  <w:vAlign w:val="center"/>
                </w:tcPr>
                <w:p>
                  <w:pPr>
                    <w:topLinePunct/>
                    <w:adjustRightInd w:val="0"/>
                    <w:snapToGrid w:val="0"/>
                    <w:jc w:val="center"/>
                    <w:rPr>
                      <w:b/>
                      <w:bCs/>
                      <w:snapToGrid w:val="0"/>
                      <w:color w:val="auto"/>
                      <w:szCs w:val="21"/>
                    </w:rPr>
                  </w:pPr>
                  <w:r>
                    <w:rPr>
                      <w:b/>
                      <w:bCs/>
                      <w:snapToGrid w:val="0"/>
                      <w:color w:val="auto"/>
                      <w:szCs w:val="21"/>
                    </w:rPr>
                    <w:t>生态功能区</w:t>
                  </w:r>
                </w:p>
              </w:tc>
              <w:tc>
                <w:tcPr>
                  <w:tcW w:w="598" w:type="pct"/>
                  <w:vMerge w:val="continue"/>
                  <w:tcBorders>
                    <w:top w:val="single" w:color="000000" w:sz="6" w:space="0"/>
                    <w:left w:val="single" w:color="000000" w:sz="6" w:space="0"/>
                    <w:bottom w:val="single" w:color="000000" w:sz="6" w:space="0"/>
                    <w:right w:val="single" w:color="auto" w:sz="4" w:space="0"/>
                  </w:tcBorders>
                  <w:noWrap w:val="0"/>
                  <w:vAlign w:val="center"/>
                </w:tcPr>
                <w:p>
                  <w:pPr>
                    <w:adjustRightInd w:val="0"/>
                    <w:snapToGrid w:val="0"/>
                    <w:jc w:val="center"/>
                    <w:rPr>
                      <w:b/>
                      <w:bCs/>
                      <w:snapToGrid w:val="0"/>
                      <w:color w:val="auto"/>
                      <w:szCs w:val="21"/>
                    </w:rPr>
                  </w:pPr>
                </w:p>
              </w:tc>
              <w:tc>
                <w:tcPr>
                  <w:tcW w:w="770" w:type="pct"/>
                  <w:vMerge w:val="continue"/>
                  <w:tcBorders>
                    <w:top w:val="single" w:color="000000" w:sz="6" w:space="0"/>
                    <w:left w:val="single" w:color="auto" w:sz="4" w:space="0"/>
                    <w:bottom w:val="single" w:color="000000" w:sz="6" w:space="0"/>
                    <w:right w:val="single" w:color="auto" w:sz="4" w:space="0"/>
                  </w:tcBorders>
                  <w:noWrap w:val="0"/>
                  <w:vAlign w:val="center"/>
                </w:tcPr>
                <w:p>
                  <w:pPr>
                    <w:adjustRightInd w:val="0"/>
                    <w:snapToGrid w:val="0"/>
                    <w:jc w:val="center"/>
                    <w:rPr>
                      <w:b/>
                      <w:bCs/>
                      <w:color w:val="auto"/>
                      <w:szCs w:val="21"/>
                    </w:rPr>
                  </w:pPr>
                </w:p>
              </w:tc>
              <w:tc>
                <w:tcPr>
                  <w:tcW w:w="429" w:type="pct"/>
                  <w:vMerge w:val="continue"/>
                  <w:tcBorders>
                    <w:top w:val="single" w:color="000000" w:sz="6" w:space="0"/>
                    <w:left w:val="single" w:color="auto" w:sz="4" w:space="0"/>
                    <w:bottom w:val="single" w:color="000000" w:sz="6" w:space="0"/>
                    <w:right w:val="single" w:color="000000" w:sz="6" w:space="0"/>
                  </w:tcBorders>
                  <w:noWrap w:val="0"/>
                  <w:vAlign w:val="center"/>
                </w:tcPr>
                <w:p>
                  <w:pPr>
                    <w:adjustRightInd w:val="0"/>
                    <w:snapToGrid w:val="0"/>
                    <w:jc w:val="center"/>
                    <w:rPr>
                      <w:b/>
                      <w:bCs/>
                      <w:snapToGrid w:val="0"/>
                      <w:color w:val="auto"/>
                      <w:szCs w:val="21"/>
                    </w:rPr>
                  </w:pPr>
                </w:p>
              </w:tc>
              <w:tc>
                <w:tcPr>
                  <w:tcW w:w="427" w:type="pct"/>
                  <w:vMerge w:val="continue"/>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b/>
                      <w:bCs/>
                      <w:snapToGrid w:val="0"/>
                      <w:color w:val="auto"/>
                      <w:szCs w:val="21"/>
                    </w:rPr>
                  </w:pPr>
                </w:p>
              </w:tc>
              <w:tc>
                <w:tcPr>
                  <w:tcW w:w="425" w:type="pct"/>
                  <w:vMerge w:val="continue"/>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b/>
                      <w:bCs/>
                      <w:snapToGrid w:val="0"/>
                      <w:color w:val="auto"/>
                      <w:szCs w:val="21"/>
                    </w:rPr>
                  </w:pPr>
                </w:p>
              </w:tc>
              <w:tc>
                <w:tcPr>
                  <w:tcW w:w="914" w:type="pct"/>
                  <w:vMerge w:val="continue"/>
                  <w:tcBorders>
                    <w:top w:val="single" w:color="000000" w:sz="6" w:space="0"/>
                    <w:left w:val="single" w:color="000000" w:sz="6" w:space="0"/>
                    <w:bottom w:val="single" w:color="000000" w:sz="6" w:space="0"/>
                    <w:right w:val="double" w:color="auto" w:sz="4" w:space="0"/>
                  </w:tcBorders>
                  <w:noWrap w:val="0"/>
                  <w:vAlign w:val="center"/>
                </w:tcPr>
                <w:p>
                  <w:pPr>
                    <w:adjustRightInd w:val="0"/>
                    <w:snapToGrid w:val="0"/>
                    <w:jc w:val="center"/>
                    <w:rPr>
                      <w:b/>
                      <w:bCs/>
                      <w:snapToGrid w:val="0"/>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tcBorders>
                    <w:top w:val="single" w:color="000000" w:sz="6" w:space="0"/>
                    <w:left w:val="double" w:color="auto" w:sz="4" w:space="0"/>
                    <w:bottom w:val="double" w:color="auto" w:sz="4" w:space="0"/>
                    <w:right w:val="single" w:color="000000" w:sz="6" w:space="0"/>
                  </w:tcBorders>
                  <w:noWrap w:val="0"/>
                  <w:vAlign w:val="center"/>
                </w:tcPr>
                <w:p>
                  <w:pPr>
                    <w:topLinePunct/>
                    <w:adjustRightInd w:val="0"/>
                    <w:snapToGrid w:val="0"/>
                    <w:jc w:val="center"/>
                    <w:rPr>
                      <w:snapToGrid w:val="0"/>
                      <w:color w:val="auto"/>
                      <w:szCs w:val="21"/>
                    </w:rPr>
                  </w:pPr>
                  <w:r>
                    <w:rPr>
                      <w:snapToGrid w:val="0"/>
                      <w:color w:val="auto"/>
                      <w:szCs w:val="21"/>
                    </w:rPr>
                    <w:t>Ⅲ高原亚热带北部常绿阔叶林生态区</w:t>
                  </w:r>
                </w:p>
              </w:tc>
              <w:tc>
                <w:tcPr>
                  <w:tcW w:w="427" w:type="pct"/>
                  <w:tcBorders>
                    <w:top w:val="single" w:color="000000" w:sz="6" w:space="0"/>
                    <w:left w:val="single" w:color="000000" w:sz="6" w:space="0"/>
                    <w:bottom w:val="double" w:color="auto" w:sz="4" w:space="0"/>
                    <w:right w:val="single" w:color="000000" w:sz="6" w:space="0"/>
                  </w:tcBorders>
                  <w:noWrap w:val="0"/>
                  <w:vAlign w:val="center"/>
                </w:tcPr>
                <w:p>
                  <w:pPr>
                    <w:topLinePunct/>
                    <w:adjustRightInd w:val="0"/>
                    <w:snapToGrid w:val="0"/>
                    <w:jc w:val="center"/>
                    <w:rPr>
                      <w:snapToGrid w:val="0"/>
                      <w:color w:val="auto"/>
                      <w:szCs w:val="21"/>
                    </w:rPr>
                  </w:pPr>
                  <w:r>
                    <w:rPr>
                      <w:snapToGrid w:val="0"/>
                      <w:color w:val="auto"/>
                      <w:szCs w:val="21"/>
                    </w:rPr>
                    <w:t xml:space="preserve">Ⅲ2 </w:t>
                  </w:r>
                  <w:r>
                    <w:rPr>
                      <w:rFonts w:hint="eastAsia"/>
                      <w:snapToGrid w:val="0"/>
                      <w:color w:val="auto"/>
                      <w:szCs w:val="21"/>
                    </w:rPr>
                    <w:t>滇中、北中山峡谷暖性针叶林生态亚区</w:t>
                  </w:r>
                </w:p>
              </w:tc>
              <w:tc>
                <w:tcPr>
                  <w:tcW w:w="598" w:type="pct"/>
                  <w:tcBorders>
                    <w:top w:val="single" w:color="000000" w:sz="6" w:space="0"/>
                    <w:left w:val="single" w:color="000000" w:sz="6" w:space="0"/>
                    <w:bottom w:val="double" w:color="auto" w:sz="4" w:space="0"/>
                    <w:right w:val="single" w:color="000000" w:sz="6" w:space="0"/>
                  </w:tcBorders>
                  <w:noWrap w:val="0"/>
                  <w:vAlign w:val="center"/>
                </w:tcPr>
                <w:p>
                  <w:pPr>
                    <w:topLinePunct/>
                    <w:adjustRightInd w:val="0"/>
                    <w:snapToGrid w:val="0"/>
                    <w:jc w:val="center"/>
                    <w:rPr>
                      <w:snapToGrid w:val="0"/>
                      <w:color w:val="auto"/>
                      <w:szCs w:val="21"/>
                    </w:rPr>
                  </w:pPr>
                  <w:r>
                    <w:rPr>
                      <w:snapToGrid w:val="0"/>
                      <w:color w:val="auto"/>
                      <w:szCs w:val="21"/>
                    </w:rPr>
                    <w:t>Ⅲ</w:t>
                  </w:r>
                  <w:r>
                    <w:rPr>
                      <w:rFonts w:hint="eastAsia"/>
                      <w:snapToGrid w:val="0"/>
                      <w:color w:val="auto"/>
                      <w:szCs w:val="21"/>
                    </w:rPr>
                    <w:t>2-4 元谋龙川江干热河谷农业生态功能区</w:t>
                  </w:r>
                </w:p>
              </w:tc>
              <w:tc>
                <w:tcPr>
                  <w:tcW w:w="598" w:type="pct"/>
                  <w:tcBorders>
                    <w:top w:val="single" w:color="000000" w:sz="6" w:space="0"/>
                    <w:left w:val="single" w:color="000000" w:sz="6" w:space="0"/>
                    <w:bottom w:val="double" w:color="auto" w:sz="4" w:space="0"/>
                    <w:right w:val="single" w:color="auto" w:sz="4" w:space="0"/>
                  </w:tcBorders>
                  <w:noWrap w:val="0"/>
                  <w:vAlign w:val="center"/>
                </w:tcPr>
                <w:p>
                  <w:pPr>
                    <w:topLinePunct/>
                    <w:adjustRightInd w:val="0"/>
                    <w:snapToGrid w:val="0"/>
                    <w:jc w:val="center"/>
                    <w:rPr>
                      <w:snapToGrid w:val="0"/>
                      <w:color w:val="auto"/>
                      <w:szCs w:val="21"/>
                    </w:rPr>
                  </w:pPr>
                  <w:r>
                    <w:rPr>
                      <w:rFonts w:hint="eastAsia"/>
                      <w:snapToGrid w:val="0"/>
                      <w:color w:val="auto"/>
                      <w:szCs w:val="21"/>
                    </w:rPr>
                    <w:t>元谋县，武定、永仁、大姚县的部分地区，面积2863.93平方公里</w:t>
                  </w:r>
                </w:p>
              </w:tc>
              <w:tc>
                <w:tcPr>
                  <w:tcW w:w="770" w:type="pct"/>
                  <w:tcBorders>
                    <w:top w:val="single" w:color="000000" w:sz="6" w:space="0"/>
                    <w:left w:val="single" w:color="auto" w:sz="4" w:space="0"/>
                    <w:bottom w:val="double" w:color="auto" w:sz="4" w:space="0"/>
                    <w:right w:val="single" w:color="auto" w:sz="4" w:space="0"/>
                  </w:tcBorders>
                  <w:noWrap w:val="0"/>
                  <w:vAlign w:val="center"/>
                </w:tcPr>
                <w:p>
                  <w:pPr>
                    <w:topLinePunct/>
                    <w:adjustRightInd w:val="0"/>
                    <w:snapToGrid w:val="0"/>
                    <w:jc w:val="center"/>
                    <w:rPr>
                      <w:snapToGrid w:val="0"/>
                      <w:color w:val="auto"/>
                      <w:szCs w:val="21"/>
                    </w:rPr>
                  </w:pPr>
                  <w:r>
                    <w:rPr>
                      <w:rFonts w:hint="eastAsia"/>
                      <w:snapToGrid w:val="0"/>
                      <w:color w:val="auto"/>
                      <w:szCs w:val="21"/>
                    </w:rPr>
                    <w:t>以河谷地貌为主，年降雨量700-800毫米。主要植被类型是稀树灌木草丛，土壤以燥红土和紫色土为主</w:t>
                  </w:r>
                </w:p>
              </w:tc>
              <w:tc>
                <w:tcPr>
                  <w:tcW w:w="429" w:type="pct"/>
                  <w:tcBorders>
                    <w:top w:val="single" w:color="000000" w:sz="6" w:space="0"/>
                    <w:left w:val="single" w:color="auto" w:sz="4" w:space="0"/>
                    <w:bottom w:val="double" w:color="auto" w:sz="4" w:space="0"/>
                    <w:right w:val="single" w:color="000000" w:sz="6" w:space="0"/>
                  </w:tcBorders>
                  <w:noWrap w:val="0"/>
                  <w:vAlign w:val="center"/>
                </w:tcPr>
                <w:p>
                  <w:pPr>
                    <w:topLinePunct/>
                    <w:adjustRightInd w:val="0"/>
                    <w:snapToGrid w:val="0"/>
                    <w:jc w:val="center"/>
                    <w:rPr>
                      <w:snapToGrid w:val="0"/>
                      <w:color w:val="auto"/>
                      <w:szCs w:val="21"/>
                    </w:rPr>
                  </w:pPr>
                  <w:r>
                    <w:rPr>
                      <w:rFonts w:hint="eastAsia"/>
                      <w:snapToGrid w:val="0"/>
                      <w:color w:val="auto"/>
                      <w:szCs w:val="21"/>
                    </w:rPr>
                    <w:t>森林覆盖率低、土地退化严重</w:t>
                  </w:r>
                </w:p>
              </w:tc>
              <w:tc>
                <w:tcPr>
                  <w:tcW w:w="427" w:type="pct"/>
                  <w:tcBorders>
                    <w:top w:val="single" w:color="000000" w:sz="6" w:space="0"/>
                    <w:left w:val="single" w:color="000000" w:sz="6" w:space="0"/>
                    <w:bottom w:val="double" w:color="auto" w:sz="4" w:space="0"/>
                    <w:right w:val="single" w:color="000000" w:sz="6" w:space="0"/>
                  </w:tcBorders>
                  <w:noWrap w:val="0"/>
                  <w:vAlign w:val="center"/>
                </w:tcPr>
                <w:p>
                  <w:pPr>
                    <w:topLinePunct/>
                    <w:adjustRightInd w:val="0"/>
                    <w:snapToGrid w:val="0"/>
                    <w:jc w:val="center"/>
                    <w:rPr>
                      <w:snapToGrid w:val="0"/>
                      <w:color w:val="auto"/>
                      <w:szCs w:val="21"/>
                    </w:rPr>
                  </w:pPr>
                  <w:r>
                    <w:rPr>
                      <w:rFonts w:hint="eastAsia"/>
                      <w:snapToGrid w:val="0"/>
                      <w:color w:val="auto"/>
                      <w:szCs w:val="21"/>
                    </w:rPr>
                    <w:t>干热河谷脆弱地带</w:t>
                  </w:r>
                </w:p>
              </w:tc>
              <w:tc>
                <w:tcPr>
                  <w:tcW w:w="425" w:type="pct"/>
                  <w:tcBorders>
                    <w:top w:val="single" w:color="000000" w:sz="6" w:space="0"/>
                    <w:left w:val="single" w:color="000000" w:sz="6" w:space="0"/>
                    <w:bottom w:val="double" w:color="auto" w:sz="4" w:space="0"/>
                    <w:right w:val="single" w:color="000000" w:sz="6" w:space="0"/>
                  </w:tcBorders>
                  <w:noWrap w:val="0"/>
                  <w:vAlign w:val="center"/>
                </w:tcPr>
                <w:p>
                  <w:pPr>
                    <w:pStyle w:val="9"/>
                    <w:topLinePunct/>
                    <w:snapToGrid w:val="0"/>
                    <w:jc w:val="center"/>
                    <w:rPr>
                      <w:rFonts w:ascii="Times New Roman"/>
                      <w:snapToGrid w:val="0"/>
                      <w:color w:val="auto"/>
                    </w:rPr>
                  </w:pPr>
                  <w:r>
                    <w:rPr>
                      <w:rFonts w:hint="eastAsia" w:ascii="Times New Roman"/>
                      <w:snapToGrid w:val="0"/>
                      <w:color w:val="auto"/>
                    </w:rPr>
                    <w:t>维护干热河谷生态脆弱区的生态安全</w:t>
                  </w:r>
                </w:p>
              </w:tc>
              <w:tc>
                <w:tcPr>
                  <w:tcW w:w="914" w:type="pct"/>
                  <w:tcBorders>
                    <w:top w:val="single" w:color="000000" w:sz="6" w:space="0"/>
                    <w:left w:val="single" w:color="000000" w:sz="6" w:space="0"/>
                    <w:bottom w:val="double" w:color="auto" w:sz="4" w:space="0"/>
                    <w:right w:val="double" w:color="auto" w:sz="4" w:space="0"/>
                  </w:tcBorders>
                  <w:noWrap w:val="0"/>
                  <w:vAlign w:val="center"/>
                </w:tcPr>
                <w:p>
                  <w:pPr>
                    <w:pStyle w:val="9"/>
                    <w:topLinePunct/>
                    <w:snapToGrid w:val="0"/>
                    <w:jc w:val="center"/>
                    <w:rPr>
                      <w:rFonts w:ascii="Times New Roman"/>
                      <w:snapToGrid w:val="0"/>
                      <w:color w:val="auto"/>
                    </w:rPr>
                  </w:pPr>
                  <w:r>
                    <w:rPr>
                      <w:rFonts w:hint="eastAsia" w:ascii="Times New Roman"/>
                      <w:snapToGrid w:val="0"/>
                      <w:color w:val="auto"/>
                    </w:rPr>
                    <w:t>调整产业结构、增加沿江河谷面山的森林覆盖率，发展热带经济林木，改善区域的水环境条件，发展庭院经济，防止生态环境荒漠化</w:t>
                  </w:r>
                </w:p>
              </w:tc>
            </w:tr>
          </w:tbl>
          <w:p>
            <w:pPr>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
                <w:bCs/>
                <w:color w:val="auto"/>
                <w:kern w:val="0"/>
                <w:sz w:val="21"/>
                <w:szCs w:val="21"/>
                <w:lang w:val="en-US" w:eastAsia="zh-CN" w:bidi="ar-SA"/>
              </w:rPr>
            </w:pPr>
          </w:p>
          <w:p>
            <w:pPr>
              <w:keepNext w:val="0"/>
              <w:keepLines w:val="0"/>
              <w:pageBreakBefore w:val="0"/>
              <w:widowControl w:val="0"/>
              <w:kinsoku/>
              <w:wordWrap/>
              <w:overflowPunct/>
              <w:topLinePunct w:val="0"/>
              <w:autoSpaceDE/>
              <w:autoSpaceDN/>
              <w:bidi w:val="0"/>
              <w:spacing w:line="360" w:lineRule="auto"/>
              <w:ind w:right="0" w:rightChars="0"/>
              <w:jc w:val="both"/>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3.3项目用地及周边生态环境现状</w:t>
            </w:r>
          </w:p>
          <w:p>
            <w:pPr>
              <w:keepNext w:val="0"/>
              <w:keepLines w:val="0"/>
              <w:pageBreakBefore w:val="0"/>
              <w:widowControl w:val="0"/>
              <w:kinsoku/>
              <w:wordWrap/>
              <w:overflowPunct/>
              <w:topLinePunct w:val="0"/>
              <w:autoSpaceDE/>
              <w:autoSpaceDN/>
              <w:bidi w:val="0"/>
              <w:spacing w:line="360" w:lineRule="auto"/>
              <w:ind w:right="0" w:rightChars="0"/>
              <w:jc w:val="both"/>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3.3.1土地利用现状</w:t>
            </w:r>
          </w:p>
          <w:p>
            <w:pPr>
              <w:spacing w:line="360" w:lineRule="auto"/>
              <w:ind w:firstLine="480" w:firstLineChars="200"/>
              <w:rPr>
                <w:rFonts w:hint="eastAsia"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val="en-US" w:eastAsia="zh-CN"/>
              </w:rPr>
              <w:t>根据建设单位提供的《华能元谋</w:t>
            </w:r>
            <w:r>
              <w:rPr>
                <w:rFonts w:hint="eastAsia" w:ascii="Times New Roman" w:hAnsi="Times New Roman" w:eastAsia="宋体" w:cs="Times New Roman"/>
                <w:color w:val="auto"/>
                <w:kern w:val="0"/>
                <w:sz w:val="24"/>
                <w:lang w:val="en-US" w:eastAsia="zh-CN"/>
              </w:rPr>
              <w:t>马头地</w:t>
            </w:r>
            <w:r>
              <w:rPr>
                <w:rFonts w:hint="default" w:ascii="Times New Roman" w:hAnsi="Times New Roman" w:eastAsia="宋体" w:cs="Times New Roman"/>
                <w:color w:val="auto"/>
                <w:kern w:val="0"/>
                <w:sz w:val="24"/>
                <w:lang w:val="en-US" w:eastAsia="zh-CN"/>
              </w:rPr>
              <w:t>光伏电站水土保持方案</w:t>
            </w:r>
            <w:r>
              <w:rPr>
                <w:rFonts w:hint="eastAsia" w:ascii="Times New Roman" w:hAnsi="Times New Roman" w:eastAsia="宋体" w:cs="Times New Roman"/>
                <w:color w:val="auto"/>
                <w:kern w:val="0"/>
                <w:sz w:val="24"/>
                <w:lang w:val="en-US" w:eastAsia="zh-CN"/>
              </w:rPr>
              <w:t>变更</w:t>
            </w:r>
            <w:r>
              <w:rPr>
                <w:rFonts w:hint="default" w:ascii="Times New Roman" w:hAnsi="Times New Roman" w:eastAsia="宋体" w:cs="Times New Roman"/>
                <w:color w:val="auto"/>
                <w:kern w:val="0"/>
                <w:sz w:val="24"/>
                <w:lang w:val="en-US" w:eastAsia="zh-CN"/>
              </w:rPr>
              <w:t>报告书》，</w:t>
            </w:r>
            <w:r>
              <w:rPr>
                <w:rFonts w:hint="eastAsia" w:ascii="Times New Roman" w:hAnsi="Times New Roman" w:eastAsia="宋体" w:cs="Times New Roman"/>
                <w:color w:val="auto"/>
                <w:kern w:val="0"/>
                <w:sz w:val="24"/>
                <w:lang w:val="en-US" w:eastAsia="zh-CN"/>
              </w:rPr>
              <w:t>，工程建设占地面积</w:t>
            </w:r>
            <w:r>
              <w:rPr>
                <w:rFonts w:hint="default" w:ascii="Times New Roman" w:hAnsi="Times New Roman" w:eastAsia="宋体" w:cs="Times New Roman"/>
                <w:color w:val="auto"/>
                <w:kern w:val="0"/>
                <w:sz w:val="24"/>
                <w:lang w:val="en-US" w:eastAsia="zh-CN"/>
              </w:rPr>
              <w:t>261.89hm</w:t>
            </w:r>
            <w:r>
              <w:rPr>
                <w:rFonts w:hint="default" w:ascii="Times New Roman" w:hAnsi="Times New Roman" w:eastAsia="宋体" w:cs="Times New Roman"/>
                <w:color w:val="auto"/>
                <w:kern w:val="0"/>
                <w:sz w:val="24"/>
                <w:vertAlign w:val="superscript"/>
                <w:lang w:val="en-US" w:eastAsia="zh-CN"/>
              </w:rPr>
              <w:t>2</w:t>
            </w:r>
            <w:r>
              <w:rPr>
                <w:rFonts w:hint="eastAsia" w:ascii="Times New Roman" w:hAnsi="Times New Roman" w:eastAsia="宋体" w:cs="Times New Roman"/>
                <w:color w:val="auto"/>
                <w:kern w:val="0"/>
                <w:sz w:val="24"/>
                <w:lang w:val="en-US" w:eastAsia="zh-CN"/>
              </w:rPr>
              <w:t>，其中工程建设扰动面积</w:t>
            </w:r>
            <w:r>
              <w:rPr>
                <w:rFonts w:hint="default" w:ascii="Times New Roman" w:hAnsi="Times New Roman" w:eastAsia="宋体" w:cs="Times New Roman"/>
                <w:color w:val="auto"/>
                <w:kern w:val="0"/>
                <w:sz w:val="24"/>
                <w:lang w:val="en-US" w:eastAsia="zh-CN"/>
              </w:rPr>
              <w:t>26.20hm</w:t>
            </w:r>
            <w:r>
              <w:rPr>
                <w:rFonts w:hint="default" w:ascii="Times New Roman" w:hAnsi="Times New Roman" w:eastAsia="宋体" w:cs="Times New Roman"/>
                <w:color w:val="auto"/>
                <w:kern w:val="0"/>
                <w:sz w:val="24"/>
                <w:vertAlign w:val="superscript"/>
                <w:lang w:val="en-US" w:eastAsia="zh-CN"/>
              </w:rPr>
              <w:t>2</w:t>
            </w:r>
            <w:r>
              <w:rPr>
                <w:rFonts w:hint="eastAsia" w:ascii="Times New Roman" w:hAnsi="Times New Roman" w:eastAsia="宋体" w:cs="Times New Roman"/>
                <w:color w:val="auto"/>
                <w:kern w:val="0"/>
                <w:sz w:val="24"/>
                <w:lang w:val="en-US" w:eastAsia="zh-CN"/>
              </w:rPr>
              <w:t>，不扰动面积为</w:t>
            </w:r>
            <w:r>
              <w:rPr>
                <w:rFonts w:hint="default" w:ascii="Times New Roman" w:hAnsi="Times New Roman" w:eastAsia="宋体" w:cs="Times New Roman"/>
                <w:color w:val="auto"/>
                <w:kern w:val="0"/>
                <w:sz w:val="24"/>
                <w:lang w:val="en-US" w:eastAsia="zh-CN"/>
              </w:rPr>
              <w:t>235.69hm</w:t>
            </w:r>
            <w:r>
              <w:rPr>
                <w:rFonts w:hint="default" w:ascii="Times New Roman" w:hAnsi="Times New Roman" w:eastAsia="宋体" w:cs="Times New Roman"/>
                <w:color w:val="auto"/>
                <w:kern w:val="0"/>
                <w:sz w:val="24"/>
                <w:vertAlign w:val="superscript"/>
                <w:lang w:val="en-US" w:eastAsia="zh-CN"/>
              </w:rPr>
              <w:t>2</w:t>
            </w:r>
            <w:r>
              <w:rPr>
                <w:rFonts w:hint="eastAsia" w:ascii="Times New Roman" w:hAnsi="Times New Roman" w:eastAsia="宋体" w:cs="Times New Roman"/>
                <w:color w:val="auto"/>
                <w:kern w:val="0"/>
                <w:sz w:val="24"/>
                <w:lang w:val="en-US" w:eastAsia="zh-CN"/>
              </w:rPr>
              <w:t>。按占地性质，永久占地</w:t>
            </w:r>
            <w:r>
              <w:rPr>
                <w:rFonts w:hint="default" w:ascii="Times New Roman" w:hAnsi="Times New Roman" w:eastAsia="宋体" w:cs="Times New Roman"/>
                <w:color w:val="auto"/>
                <w:kern w:val="0"/>
                <w:sz w:val="24"/>
                <w:lang w:val="en-US" w:eastAsia="zh-CN"/>
              </w:rPr>
              <w:t>2.94hm</w:t>
            </w:r>
            <w:r>
              <w:rPr>
                <w:rFonts w:hint="default" w:ascii="Times New Roman" w:hAnsi="Times New Roman" w:eastAsia="宋体" w:cs="Times New Roman"/>
                <w:color w:val="auto"/>
                <w:kern w:val="0"/>
                <w:sz w:val="24"/>
                <w:vertAlign w:val="superscript"/>
                <w:lang w:val="en-US" w:eastAsia="zh-CN"/>
              </w:rPr>
              <w:t>2</w:t>
            </w:r>
            <w:r>
              <w:rPr>
                <w:rFonts w:hint="eastAsia" w:ascii="Times New Roman" w:hAnsi="Times New Roman" w:eastAsia="宋体" w:cs="Times New Roman"/>
                <w:color w:val="auto"/>
                <w:kern w:val="0"/>
                <w:sz w:val="24"/>
                <w:lang w:val="en-US" w:eastAsia="zh-CN"/>
              </w:rPr>
              <w:t>，临时占地</w:t>
            </w:r>
            <w:r>
              <w:rPr>
                <w:rFonts w:hint="default" w:ascii="Times New Roman" w:hAnsi="Times New Roman" w:eastAsia="宋体" w:cs="Times New Roman"/>
                <w:color w:val="auto"/>
                <w:kern w:val="0"/>
                <w:sz w:val="24"/>
                <w:lang w:val="en-US" w:eastAsia="zh-CN"/>
              </w:rPr>
              <w:t>258.95hm</w:t>
            </w:r>
            <w:r>
              <w:rPr>
                <w:rFonts w:hint="default" w:ascii="Times New Roman" w:hAnsi="Times New Roman" w:eastAsia="宋体" w:cs="Times New Roman"/>
                <w:color w:val="auto"/>
                <w:kern w:val="0"/>
                <w:sz w:val="24"/>
                <w:vertAlign w:val="superscript"/>
                <w:lang w:val="en-US" w:eastAsia="zh-CN"/>
              </w:rPr>
              <w:t>2</w:t>
            </w:r>
            <w:r>
              <w:rPr>
                <w:rFonts w:hint="eastAsia" w:ascii="Times New Roman" w:hAnsi="Times New Roman" w:eastAsia="宋体" w:cs="Times New Roman"/>
                <w:color w:val="auto"/>
                <w:kern w:val="0"/>
                <w:sz w:val="24"/>
                <w:lang w:val="en-US" w:eastAsia="zh-CN"/>
              </w:rPr>
              <w:t>。按项目组成划分，其中光伏发电区占地面积</w:t>
            </w:r>
            <w:r>
              <w:rPr>
                <w:rFonts w:hint="default" w:ascii="Times New Roman" w:hAnsi="Times New Roman" w:eastAsia="宋体" w:cs="Times New Roman"/>
                <w:color w:val="auto"/>
                <w:kern w:val="0"/>
                <w:sz w:val="24"/>
                <w:lang w:val="en-US" w:eastAsia="zh-CN"/>
              </w:rPr>
              <w:t>236.23hm</w:t>
            </w:r>
            <w:r>
              <w:rPr>
                <w:rFonts w:hint="default" w:ascii="Times New Roman" w:hAnsi="Times New Roman" w:eastAsia="宋体" w:cs="Times New Roman"/>
                <w:color w:val="auto"/>
                <w:kern w:val="0"/>
                <w:sz w:val="24"/>
                <w:vertAlign w:val="superscript"/>
                <w:lang w:val="en-US" w:eastAsia="zh-CN"/>
              </w:rPr>
              <w:t>2</w:t>
            </w:r>
            <w:r>
              <w:rPr>
                <w:rFonts w:hint="eastAsia" w:ascii="Times New Roman" w:hAnsi="Times New Roman" w:eastAsia="宋体" w:cs="Times New Roman"/>
                <w:color w:val="auto"/>
                <w:kern w:val="0"/>
                <w:sz w:val="24"/>
                <w:lang w:val="en-US" w:eastAsia="zh-CN"/>
              </w:rPr>
              <w:t>，集电线路区占地面积</w:t>
            </w:r>
            <w:r>
              <w:rPr>
                <w:rFonts w:hint="default" w:ascii="Times New Roman" w:hAnsi="Times New Roman" w:eastAsia="宋体" w:cs="Times New Roman"/>
                <w:color w:val="auto"/>
                <w:kern w:val="0"/>
                <w:sz w:val="24"/>
                <w:lang w:val="en-US" w:eastAsia="zh-CN"/>
              </w:rPr>
              <w:t>2.13hm</w:t>
            </w:r>
            <w:r>
              <w:rPr>
                <w:rFonts w:hint="default" w:ascii="Times New Roman" w:hAnsi="Times New Roman" w:eastAsia="宋体" w:cs="Times New Roman"/>
                <w:color w:val="auto"/>
                <w:kern w:val="0"/>
                <w:sz w:val="24"/>
                <w:vertAlign w:val="superscript"/>
                <w:lang w:val="en-US" w:eastAsia="zh-CN"/>
              </w:rPr>
              <w:t>2</w:t>
            </w:r>
            <w:r>
              <w:rPr>
                <w:rFonts w:hint="eastAsia" w:ascii="Times New Roman" w:hAnsi="Times New Roman" w:eastAsia="宋体" w:cs="Times New Roman"/>
                <w:color w:val="auto"/>
                <w:kern w:val="0"/>
                <w:sz w:val="24"/>
                <w:lang w:val="en-US" w:eastAsia="zh-CN"/>
              </w:rPr>
              <w:t>，箱变及分支箱占地面积</w:t>
            </w:r>
            <w:r>
              <w:rPr>
                <w:rFonts w:hint="default" w:ascii="Times New Roman" w:hAnsi="Times New Roman" w:eastAsia="宋体" w:cs="Times New Roman"/>
                <w:color w:val="auto"/>
                <w:kern w:val="0"/>
                <w:sz w:val="24"/>
                <w:lang w:val="en-US" w:eastAsia="zh-CN"/>
              </w:rPr>
              <w:t>0.17hm</w:t>
            </w:r>
            <w:r>
              <w:rPr>
                <w:rFonts w:hint="default" w:ascii="Times New Roman" w:hAnsi="Times New Roman" w:eastAsia="宋体" w:cs="Times New Roman"/>
                <w:color w:val="auto"/>
                <w:kern w:val="0"/>
                <w:sz w:val="24"/>
                <w:vertAlign w:val="superscript"/>
                <w:lang w:val="en-US" w:eastAsia="zh-CN"/>
              </w:rPr>
              <w:t>2</w:t>
            </w:r>
            <w:r>
              <w:rPr>
                <w:rFonts w:hint="eastAsia" w:ascii="Times New Roman" w:hAnsi="Times New Roman" w:eastAsia="宋体" w:cs="Times New Roman"/>
                <w:color w:val="auto"/>
                <w:kern w:val="0"/>
                <w:sz w:val="24"/>
                <w:lang w:val="en-US" w:eastAsia="zh-CN"/>
              </w:rPr>
              <w:t>，升压站区占地面积</w:t>
            </w:r>
            <w:r>
              <w:rPr>
                <w:rFonts w:hint="default" w:ascii="Times New Roman" w:hAnsi="Times New Roman" w:eastAsia="宋体" w:cs="Times New Roman"/>
                <w:color w:val="auto"/>
                <w:kern w:val="0"/>
                <w:sz w:val="24"/>
                <w:lang w:val="en-US" w:eastAsia="zh-CN"/>
              </w:rPr>
              <w:t>0.67hm</w:t>
            </w:r>
            <w:r>
              <w:rPr>
                <w:rFonts w:hint="default" w:ascii="Times New Roman" w:hAnsi="Times New Roman" w:eastAsia="宋体" w:cs="Times New Roman"/>
                <w:color w:val="auto"/>
                <w:kern w:val="0"/>
                <w:sz w:val="24"/>
                <w:vertAlign w:val="superscript"/>
                <w:lang w:val="en-US" w:eastAsia="zh-CN"/>
              </w:rPr>
              <w:t>2</w:t>
            </w:r>
            <w:r>
              <w:rPr>
                <w:rFonts w:hint="eastAsia" w:ascii="Times New Roman" w:hAnsi="Times New Roman" w:eastAsia="宋体" w:cs="Times New Roman"/>
                <w:color w:val="auto"/>
                <w:kern w:val="0"/>
                <w:sz w:val="24"/>
                <w:lang w:val="en-US" w:eastAsia="zh-CN"/>
              </w:rPr>
              <w:t>，场内道路区占地面积</w:t>
            </w:r>
            <w:r>
              <w:rPr>
                <w:rFonts w:hint="default" w:ascii="Times New Roman" w:hAnsi="Times New Roman" w:eastAsia="宋体" w:cs="Times New Roman"/>
                <w:color w:val="auto"/>
                <w:kern w:val="0"/>
                <w:sz w:val="24"/>
                <w:lang w:val="en-US" w:eastAsia="zh-CN"/>
              </w:rPr>
              <w:t>20.37hm</w:t>
            </w:r>
            <w:r>
              <w:rPr>
                <w:rFonts w:hint="default" w:ascii="Times New Roman" w:hAnsi="Times New Roman" w:eastAsia="宋体" w:cs="Times New Roman"/>
                <w:color w:val="auto"/>
                <w:kern w:val="0"/>
                <w:sz w:val="24"/>
                <w:vertAlign w:val="superscript"/>
                <w:lang w:val="en-US" w:eastAsia="zh-CN"/>
              </w:rPr>
              <w:t>2</w:t>
            </w:r>
            <w:r>
              <w:rPr>
                <w:rFonts w:hint="eastAsia" w:ascii="Times New Roman" w:hAnsi="Times New Roman" w:eastAsia="宋体" w:cs="Times New Roman"/>
                <w:color w:val="auto"/>
                <w:kern w:val="0"/>
                <w:sz w:val="24"/>
                <w:lang w:val="en-US" w:eastAsia="zh-CN"/>
              </w:rPr>
              <w:t>，施工生产生活区占地面积</w:t>
            </w:r>
            <w:r>
              <w:rPr>
                <w:rFonts w:hint="default" w:ascii="Times New Roman" w:hAnsi="Times New Roman" w:eastAsia="宋体" w:cs="Times New Roman"/>
                <w:color w:val="auto"/>
                <w:kern w:val="0"/>
                <w:sz w:val="24"/>
                <w:lang w:val="en-US" w:eastAsia="zh-CN"/>
              </w:rPr>
              <w:t>1.19hm</w:t>
            </w:r>
            <w:r>
              <w:rPr>
                <w:rFonts w:hint="default" w:ascii="Times New Roman" w:hAnsi="Times New Roman" w:eastAsia="宋体" w:cs="Times New Roman"/>
                <w:color w:val="auto"/>
                <w:kern w:val="0"/>
                <w:sz w:val="24"/>
                <w:vertAlign w:val="superscript"/>
                <w:lang w:val="en-US" w:eastAsia="zh-CN"/>
              </w:rPr>
              <w:t>2</w:t>
            </w:r>
            <w:r>
              <w:rPr>
                <w:rFonts w:hint="eastAsia" w:ascii="Times New Roman" w:hAnsi="Times New Roman" w:eastAsia="宋体" w:cs="Times New Roman"/>
                <w:color w:val="auto"/>
                <w:kern w:val="0"/>
                <w:sz w:val="24"/>
                <w:lang w:val="en-US" w:eastAsia="zh-CN"/>
              </w:rPr>
              <w:t>，弃渣场占地面积</w:t>
            </w:r>
            <w:r>
              <w:rPr>
                <w:rFonts w:hint="default" w:ascii="Times New Roman" w:hAnsi="Times New Roman" w:eastAsia="宋体" w:cs="Times New Roman"/>
                <w:color w:val="auto"/>
                <w:kern w:val="0"/>
                <w:sz w:val="24"/>
                <w:lang w:val="en-US" w:eastAsia="zh-CN"/>
              </w:rPr>
              <w:t>1.13hm</w:t>
            </w:r>
            <w:r>
              <w:rPr>
                <w:rFonts w:hint="default" w:ascii="Times New Roman" w:hAnsi="Times New Roman" w:eastAsia="宋体" w:cs="Times New Roman"/>
                <w:color w:val="auto"/>
                <w:kern w:val="0"/>
                <w:sz w:val="24"/>
                <w:vertAlign w:val="superscript"/>
                <w:lang w:val="en-US" w:eastAsia="zh-CN"/>
              </w:rPr>
              <w:t>2</w:t>
            </w:r>
            <w:r>
              <w:rPr>
                <w:rFonts w:hint="eastAsia" w:ascii="Times New Roman" w:hAnsi="Times New Roman" w:eastAsia="宋体" w:cs="Times New Roman"/>
                <w:color w:val="auto"/>
                <w:kern w:val="0"/>
                <w:sz w:val="24"/>
                <w:lang w:val="en-US" w:eastAsia="zh-CN"/>
              </w:rPr>
              <w:t>。工程主要占地类型为草地、林地和交通运输用地。其中林地主要为郁闭度小于</w:t>
            </w:r>
            <w:r>
              <w:rPr>
                <w:rFonts w:hint="default" w:ascii="Times New Roman" w:hAnsi="Times New Roman" w:eastAsia="宋体" w:cs="Times New Roman"/>
                <w:color w:val="auto"/>
                <w:kern w:val="0"/>
                <w:sz w:val="24"/>
                <w:lang w:val="en-US" w:eastAsia="zh-CN"/>
              </w:rPr>
              <w:t>50%</w:t>
            </w:r>
            <w:r>
              <w:rPr>
                <w:rFonts w:hint="eastAsia" w:ascii="Times New Roman" w:hAnsi="Times New Roman" w:eastAsia="宋体" w:cs="Times New Roman"/>
                <w:color w:val="auto"/>
                <w:kern w:val="0"/>
                <w:sz w:val="24"/>
                <w:lang w:val="en-US" w:eastAsia="zh-CN"/>
              </w:rPr>
              <w:t>的灌木林地。</w:t>
            </w:r>
          </w:p>
          <w:p>
            <w:pPr>
              <w:spacing w:line="360" w:lineRule="auto"/>
              <w:ind w:firstLine="480" w:firstLineChars="200"/>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项目</w:t>
            </w:r>
            <w:r>
              <w:rPr>
                <w:rFonts w:hint="eastAsia" w:ascii="Times New Roman" w:hAnsi="Times New Roman" w:eastAsia="宋体" w:cs="Times New Roman"/>
                <w:color w:val="auto"/>
                <w:kern w:val="0"/>
                <w:sz w:val="24"/>
                <w:lang w:val="en-US" w:eastAsia="en-US"/>
              </w:rPr>
              <w:t>占地类型及面积统计</w:t>
            </w:r>
            <w:r>
              <w:rPr>
                <w:rFonts w:hint="eastAsia" w:ascii="Times New Roman" w:hAnsi="Times New Roman" w:eastAsia="宋体" w:cs="Times New Roman"/>
                <w:color w:val="auto"/>
                <w:kern w:val="0"/>
                <w:sz w:val="24"/>
                <w:lang w:val="en-US" w:eastAsia="zh-CN"/>
              </w:rPr>
              <w:t>见表3.3-1（见62页）</w:t>
            </w:r>
          </w:p>
          <w:p>
            <w:pPr>
              <w:keepNext w:val="0"/>
              <w:keepLines w:val="0"/>
              <w:pageBreakBefore w:val="0"/>
              <w:widowControl w:val="0"/>
              <w:kinsoku/>
              <w:wordWrap/>
              <w:overflowPunct/>
              <w:topLinePunct w:val="0"/>
              <w:autoSpaceDE/>
              <w:autoSpaceDN/>
              <w:bidi w:val="0"/>
              <w:spacing w:line="360" w:lineRule="auto"/>
              <w:ind w:right="0" w:rightChars="0"/>
              <w:jc w:val="both"/>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3.3.2 植物、植被</w:t>
            </w:r>
          </w:p>
          <w:p>
            <w:pPr>
              <w:keepNext w:val="0"/>
              <w:keepLines w:val="0"/>
              <w:pageBreakBefore w:val="0"/>
              <w:widowControl w:val="0"/>
              <w:kinsoku/>
              <w:wordWrap/>
              <w:overflowPunct/>
              <w:topLinePunct w:val="0"/>
              <w:autoSpaceDE/>
              <w:autoSpaceDN/>
              <w:bidi w:val="0"/>
              <w:spacing w:line="360" w:lineRule="auto"/>
              <w:ind w:right="0" w:rightChars="0"/>
              <w:jc w:val="both"/>
              <w:textAlignment w:val="auto"/>
              <w:rPr>
                <w:rFonts w:hint="default" w:ascii="Times New Roman" w:hAnsi="Times New Roman" w:eastAsia="宋体" w:cs="Times New Roman"/>
                <w:b/>
                <w:bCs/>
                <w:color w:val="auto"/>
                <w:sz w:val="24"/>
                <w:lang w:val="en-US" w:eastAsia="zh-CN"/>
              </w:rPr>
            </w:pPr>
            <w:bookmarkStart w:id="11" w:name="_Toc493771762"/>
            <w:r>
              <w:rPr>
                <w:rFonts w:hint="default" w:ascii="Times New Roman" w:hAnsi="Times New Roman" w:eastAsia="宋体" w:cs="Times New Roman"/>
                <w:b/>
                <w:bCs/>
                <w:color w:val="auto"/>
                <w:sz w:val="24"/>
                <w:lang w:val="en-US" w:eastAsia="zh-CN"/>
              </w:rPr>
              <w:t>3.3.2.1陆生植被和植物资源</w:t>
            </w:r>
            <w:bookmarkEnd w:id="11"/>
          </w:p>
          <w:p>
            <w:pPr>
              <w:keepNext w:val="0"/>
              <w:keepLines w:val="0"/>
              <w:pageBreakBefore w:val="0"/>
              <w:widowControl w:val="0"/>
              <w:kinsoku/>
              <w:wordWrap/>
              <w:overflowPunct/>
              <w:topLinePunct w:val="0"/>
              <w:autoSpaceDE/>
              <w:autoSpaceDN/>
              <w:bidi w:val="0"/>
              <w:spacing w:line="360" w:lineRule="auto"/>
              <w:ind w:right="0" w:rightChars="0"/>
              <w:jc w:val="both"/>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（1）调查方法、范围和内容</w:t>
            </w:r>
          </w:p>
          <w:p>
            <w:pPr>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1）调查方法</w:t>
            </w:r>
          </w:p>
          <w:p>
            <w:pPr>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项目组于202</w:t>
            </w:r>
            <w:r>
              <w:rPr>
                <w:rFonts w:hint="eastAsia" w:cs="Times New Roman"/>
                <w:color w:val="auto"/>
                <w:kern w:val="0"/>
                <w:sz w:val="24"/>
                <w:lang w:val="en-US" w:eastAsia="zh-CN"/>
              </w:rPr>
              <w:t>3</w:t>
            </w:r>
            <w:r>
              <w:rPr>
                <w:rFonts w:hint="eastAsia" w:ascii="Times New Roman" w:hAnsi="Times New Roman" w:eastAsia="宋体" w:cs="Times New Roman"/>
                <w:color w:val="auto"/>
                <w:kern w:val="0"/>
                <w:sz w:val="24"/>
              </w:rPr>
              <w:t>年</w:t>
            </w:r>
            <w:r>
              <w:rPr>
                <w:rFonts w:hint="eastAsia" w:cs="Times New Roman"/>
                <w:color w:val="auto"/>
                <w:kern w:val="0"/>
                <w:sz w:val="24"/>
                <w:lang w:val="en-US" w:eastAsia="zh-CN"/>
              </w:rPr>
              <w:t>8</w:t>
            </w:r>
            <w:r>
              <w:rPr>
                <w:rFonts w:hint="eastAsia" w:ascii="Times New Roman" w:hAnsi="Times New Roman" w:eastAsia="宋体" w:cs="Times New Roman"/>
                <w:color w:val="auto"/>
                <w:kern w:val="0"/>
                <w:sz w:val="24"/>
              </w:rPr>
              <w:t>月实地考察了项目</w:t>
            </w:r>
            <w:r>
              <w:rPr>
                <w:rFonts w:hint="eastAsia" w:cs="Times New Roman"/>
                <w:color w:val="auto"/>
                <w:kern w:val="0"/>
                <w:sz w:val="24"/>
                <w:lang w:eastAsia="zh-CN"/>
              </w:rPr>
              <w:t>阿</w:t>
            </w:r>
            <w:r>
              <w:rPr>
                <w:rFonts w:hint="eastAsia" w:cs="Times New Roman"/>
                <w:color w:val="auto"/>
                <w:kern w:val="0"/>
                <w:sz w:val="24"/>
                <w:lang w:val="en-US" w:eastAsia="zh-CN"/>
              </w:rPr>
              <w:t>郎</w:t>
            </w:r>
            <w:r>
              <w:rPr>
                <w:rFonts w:hint="eastAsia" w:ascii="Times New Roman" w:hAnsi="Times New Roman" w:eastAsia="宋体" w:cs="Times New Roman"/>
                <w:color w:val="auto"/>
                <w:kern w:val="0"/>
                <w:sz w:val="24"/>
              </w:rPr>
              <w:t>片区、沙沟片区、松树湾片区共</w:t>
            </w:r>
            <w:r>
              <w:rPr>
                <w:rFonts w:hint="eastAsia" w:cs="Times New Roman"/>
                <w:color w:val="auto"/>
                <w:kern w:val="0"/>
                <w:sz w:val="24"/>
                <w:lang w:val="en-US" w:eastAsia="zh-CN"/>
              </w:rPr>
              <w:t>3</w:t>
            </w:r>
            <w:r>
              <w:rPr>
                <w:rFonts w:hint="eastAsia" w:ascii="Times New Roman" w:hAnsi="Times New Roman" w:eastAsia="宋体" w:cs="Times New Roman"/>
                <w:color w:val="auto"/>
                <w:kern w:val="0"/>
                <w:sz w:val="24"/>
              </w:rPr>
              <w:t>个片区周围的植被和植物。</w:t>
            </w:r>
            <w:r>
              <w:rPr>
                <w:rFonts w:ascii="Times New Roman" w:hAnsi="Times New Roman" w:eastAsia="宋体" w:cs="Times New Roman"/>
                <w:color w:val="auto"/>
                <w:kern w:val="0"/>
                <w:sz w:val="24"/>
              </w:rPr>
              <w:t>野外调查中，主要采用专家路线踏查</w:t>
            </w:r>
            <w:r>
              <w:rPr>
                <w:rFonts w:hint="eastAsia" w:ascii="Times New Roman" w:hAnsi="Times New Roman" w:eastAsia="宋体" w:cs="Times New Roman"/>
                <w:color w:val="auto"/>
                <w:kern w:val="0"/>
                <w:sz w:val="24"/>
              </w:rPr>
              <w:t>法，用GPS采点并</w:t>
            </w:r>
            <w:r>
              <w:rPr>
                <w:rFonts w:ascii="Times New Roman" w:hAnsi="Times New Roman" w:eastAsia="宋体" w:cs="Times New Roman"/>
                <w:color w:val="auto"/>
                <w:kern w:val="0"/>
                <w:sz w:val="24"/>
              </w:rPr>
              <w:t>观察记录</w:t>
            </w:r>
            <w:r>
              <w:rPr>
                <w:rFonts w:hint="eastAsia" w:ascii="Times New Roman" w:hAnsi="Times New Roman" w:eastAsia="宋体" w:cs="Times New Roman"/>
                <w:color w:val="auto"/>
                <w:kern w:val="0"/>
                <w:sz w:val="24"/>
              </w:rPr>
              <w:t>评价区的植被和植物区系</w:t>
            </w:r>
            <w:r>
              <w:rPr>
                <w:rFonts w:ascii="Times New Roman" w:hAnsi="Times New Roman" w:eastAsia="宋体" w:cs="Times New Roman"/>
                <w:color w:val="auto"/>
                <w:kern w:val="0"/>
                <w:sz w:val="24"/>
              </w:rPr>
              <w:t>状况；</w:t>
            </w:r>
            <w:r>
              <w:rPr>
                <w:rFonts w:hint="eastAsia" w:ascii="Times New Roman" w:hAnsi="Times New Roman" w:eastAsia="宋体" w:cs="Times New Roman"/>
                <w:color w:val="auto"/>
                <w:kern w:val="0"/>
                <w:sz w:val="24"/>
              </w:rPr>
              <w:t>同时注意</w:t>
            </w:r>
            <w:r>
              <w:rPr>
                <w:rFonts w:ascii="Times New Roman" w:hAnsi="Times New Roman" w:eastAsia="宋体" w:cs="Times New Roman"/>
                <w:color w:val="auto"/>
                <w:kern w:val="0"/>
                <w:sz w:val="24"/>
              </w:rPr>
              <w:t>收集</w:t>
            </w:r>
            <w:r>
              <w:rPr>
                <w:rFonts w:hint="eastAsia" w:ascii="Times New Roman" w:hAnsi="Times New Roman" w:eastAsia="宋体" w:cs="Times New Roman"/>
                <w:color w:val="auto"/>
                <w:kern w:val="0"/>
                <w:sz w:val="24"/>
              </w:rPr>
              <w:t>相关植物和植被调查的</w:t>
            </w:r>
            <w:r>
              <w:rPr>
                <w:rFonts w:ascii="Times New Roman" w:hAnsi="Times New Roman" w:eastAsia="宋体" w:cs="Times New Roman"/>
                <w:color w:val="auto"/>
                <w:kern w:val="0"/>
                <w:sz w:val="24"/>
              </w:rPr>
              <w:t>资料</w:t>
            </w:r>
            <w:r>
              <w:rPr>
                <w:rFonts w:hint="eastAsia" w:ascii="Times New Roman" w:hAnsi="Times New Roman" w:eastAsia="宋体" w:cs="Times New Roman"/>
                <w:color w:val="auto"/>
                <w:kern w:val="0"/>
                <w:sz w:val="24"/>
              </w:rPr>
              <w:t>并咨询当地林业部门等，结合3S系统</w:t>
            </w:r>
            <w:r>
              <w:rPr>
                <w:rFonts w:ascii="Times New Roman" w:hAnsi="Times New Roman" w:eastAsia="宋体" w:cs="Times New Roman"/>
                <w:color w:val="auto"/>
                <w:kern w:val="0"/>
                <w:sz w:val="24"/>
              </w:rPr>
              <w:t>制图分析</w:t>
            </w:r>
            <w:r>
              <w:rPr>
                <w:rFonts w:hint="eastAsia" w:ascii="Times New Roman" w:hAnsi="Times New Roman" w:eastAsia="宋体" w:cs="Times New Roman"/>
                <w:color w:val="auto"/>
                <w:kern w:val="0"/>
                <w:sz w:val="24"/>
              </w:rPr>
              <w:t>获得陆生植物现状数据</w:t>
            </w:r>
            <w:r>
              <w:rPr>
                <w:rFonts w:ascii="Times New Roman" w:hAnsi="Times New Roman" w:eastAsia="宋体" w:cs="Times New Roman"/>
                <w:color w:val="auto"/>
                <w:kern w:val="0"/>
                <w:sz w:val="24"/>
              </w:rPr>
              <w:t>。</w:t>
            </w:r>
          </w:p>
          <w:p>
            <w:pPr>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2）调查范围</w:t>
            </w:r>
          </w:p>
          <w:p>
            <w:pPr>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本项目对陆生植物的调查工作重点为</w:t>
            </w:r>
            <w:r>
              <w:rPr>
                <w:rFonts w:hint="eastAsia" w:ascii="Times New Roman" w:hAnsi="Times New Roman" w:eastAsia="宋体" w:cs="Times New Roman"/>
                <w:color w:val="auto"/>
                <w:kern w:val="0"/>
                <w:sz w:val="24"/>
              </w:rPr>
              <w:t>项目区及周边山体区域</w:t>
            </w:r>
            <w:r>
              <w:rPr>
                <w:rFonts w:ascii="Times New Roman" w:hAnsi="Times New Roman" w:eastAsia="宋体" w:cs="Times New Roman"/>
                <w:color w:val="auto"/>
                <w:kern w:val="0"/>
                <w:sz w:val="24"/>
              </w:rPr>
              <w:t>，其次是与</w:t>
            </w:r>
            <w:r>
              <w:rPr>
                <w:rFonts w:hint="eastAsia" w:ascii="Times New Roman" w:hAnsi="Times New Roman" w:eastAsia="宋体" w:cs="Times New Roman"/>
                <w:color w:val="auto"/>
                <w:kern w:val="0"/>
                <w:sz w:val="24"/>
              </w:rPr>
              <w:t>工程直接影响</w:t>
            </w:r>
            <w:r>
              <w:rPr>
                <w:rFonts w:ascii="Times New Roman" w:hAnsi="Times New Roman" w:eastAsia="宋体" w:cs="Times New Roman"/>
                <w:color w:val="auto"/>
                <w:kern w:val="0"/>
                <w:sz w:val="24"/>
              </w:rPr>
              <w:t>相邻的地区</w:t>
            </w:r>
            <w:r>
              <w:rPr>
                <w:rFonts w:hint="eastAsia" w:ascii="Times New Roman" w:hAnsi="Times New Roman" w:eastAsia="宋体" w:cs="Times New Roman"/>
                <w:color w:val="auto"/>
                <w:kern w:val="0"/>
                <w:sz w:val="24"/>
              </w:rPr>
              <w:t>；调查范围主要是从海拔1000m-1500m，项目区外延300m的区域</w:t>
            </w:r>
            <w:r>
              <w:rPr>
                <w:rFonts w:ascii="Times New Roman" w:hAnsi="Times New Roman" w:eastAsia="宋体" w:cs="Times New Roman"/>
                <w:color w:val="auto"/>
                <w:kern w:val="0"/>
                <w:sz w:val="24"/>
              </w:rPr>
              <w:t>。</w:t>
            </w:r>
          </w:p>
          <w:p>
            <w:pPr>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3）调查内容</w:t>
            </w:r>
          </w:p>
          <w:p>
            <w:pPr>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本项目评价区陆生植被和植物调查的主要内容是评价区植被分类系统及分布特征，评价区主要植被类型，评价区植物资源及保护物种现状等。</w:t>
            </w:r>
          </w:p>
          <w:p>
            <w:pPr>
              <w:spacing w:line="360" w:lineRule="auto"/>
              <w:rPr>
                <w:rFonts w:ascii="Times New Roman" w:hAnsi="Times New Roman" w:eastAsia="宋体" w:cs="Times New Roman"/>
                <w:b/>
                <w:color w:val="auto"/>
                <w:kern w:val="0"/>
                <w:sz w:val="24"/>
              </w:rPr>
            </w:pPr>
            <w:r>
              <w:rPr>
                <w:rFonts w:hint="eastAsia" w:ascii="Times New Roman" w:hAnsi="Times New Roman" w:eastAsia="宋体" w:cs="Times New Roman"/>
                <w:b/>
                <w:color w:val="auto"/>
                <w:kern w:val="0"/>
                <w:sz w:val="24"/>
              </w:rPr>
              <w:t>（2）</w:t>
            </w:r>
            <w:r>
              <w:rPr>
                <w:rFonts w:hint="eastAsia" w:ascii="宋体" w:hAnsi="宋体" w:eastAsia="宋体" w:cs="Times New Roman"/>
                <w:b/>
                <w:color w:val="auto"/>
                <w:sz w:val="24"/>
              </w:rPr>
              <w:t>评价</w:t>
            </w:r>
            <w:r>
              <w:rPr>
                <w:rFonts w:ascii="宋体" w:hAnsi="宋体" w:eastAsia="宋体" w:cs="Times New Roman"/>
                <w:b/>
                <w:color w:val="auto"/>
                <w:sz w:val="24"/>
              </w:rPr>
              <w:t>区</w:t>
            </w:r>
            <w:r>
              <w:rPr>
                <w:rFonts w:hint="eastAsia" w:ascii="宋体" w:hAnsi="宋体" w:eastAsia="宋体" w:cs="Times New Roman"/>
                <w:b/>
                <w:color w:val="auto"/>
                <w:sz w:val="24"/>
              </w:rPr>
              <w:t>植被分类系统及分布特征</w:t>
            </w:r>
          </w:p>
          <w:p>
            <w:pPr>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根据云南植被区划，本区域</w:t>
            </w:r>
            <w:r>
              <w:rPr>
                <w:rFonts w:ascii="Times New Roman" w:hAnsi="Times New Roman" w:eastAsia="宋体" w:cs="Times New Roman"/>
                <w:color w:val="auto"/>
                <w:kern w:val="0"/>
                <w:sz w:val="24"/>
              </w:rPr>
              <w:t>位于</w:t>
            </w:r>
            <w:r>
              <w:rPr>
                <w:rFonts w:hint="eastAsia" w:ascii="Times New Roman" w:hAnsi="Times New Roman" w:eastAsia="宋体" w:cs="Times New Roman"/>
                <w:color w:val="auto"/>
                <w:kern w:val="0"/>
                <w:sz w:val="24"/>
              </w:rPr>
              <w:t>亚热带常绿阔叶林区域(Ⅱ)，西部（半湿润）常绿阔叶林亚区域(Ⅱ</w:t>
            </w:r>
            <w:r>
              <w:rPr>
                <w:rFonts w:ascii="Times New Roman" w:hAnsi="Times New Roman" w:eastAsia="宋体" w:cs="Times New Roman"/>
                <w:color w:val="auto"/>
                <w:kern w:val="0"/>
                <w:sz w:val="24"/>
              </w:rPr>
              <w:t>A</w:t>
            </w:r>
            <w:r>
              <w:rPr>
                <w:rFonts w:hint="eastAsia" w:ascii="Times New Roman" w:hAnsi="Times New Roman" w:eastAsia="宋体" w:cs="Times New Roman"/>
                <w:color w:val="auto"/>
                <w:kern w:val="0"/>
                <w:sz w:val="24"/>
              </w:rPr>
              <w:t>)，高原亚热带北部常绿阔叶林地带(Ⅱ</w:t>
            </w:r>
            <w:r>
              <w:rPr>
                <w:rFonts w:ascii="Times New Roman" w:hAnsi="Times New Roman" w:eastAsia="宋体" w:cs="Times New Roman"/>
                <w:color w:val="auto"/>
                <w:kern w:val="0"/>
                <w:sz w:val="24"/>
              </w:rPr>
              <w:t>Aii</w:t>
            </w:r>
            <w:r>
              <w:rPr>
                <w:rFonts w:hint="eastAsia" w:ascii="Times New Roman" w:hAnsi="Times New Roman" w:eastAsia="宋体" w:cs="Times New Roman"/>
                <w:color w:val="auto"/>
                <w:kern w:val="0"/>
                <w:sz w:val="24"/>
              </w:rPr>
              <w:t>)，滇中、北中山峡谷云南松林、高山栎类林亚区(Ⅱ</w:t>
            </w:r>
            <w:r>
              <w:rPr>
                <w:rFonts w:ascii="Times New Roman" w:hAnsi="Times New Roman" w:eastAsia="宋体" w:cs="Times New Roman"/>
                <w:color w:val="auto"/>
                <w:kern w:val="0"/>
                <w:sz w:val="24"/>
              </w:rPr>
              <w:t>Aii-1</w:t>
            </w:r>
            <w:r>
              <w:rPr>
                <w:rFonts w:hint="eastAsia" w:ascii="Times New Roman" w:hAnsi="Times New Roman" w:eastAsia="宋体" w:cs="Times New Roman"/>
                <w:color w:val="auto"/>
                <w:kern w:val="0"/>
                <w:sz w:val="24"/>
              </w:rPr>
              <w:t>b)。</w:t>
            </w:r>
            <w:r>
              <w:rPr>
                <w:rFonts w:ascii="Times New Roman" w:hAnsi="Times New Roman" w:eastAsia="宋体" w:cs="Times New Roman"/>
                <w:color w:val="auto"/>
                <w:kern w:val="0"/>
                <w:sz w:val="24"/>
              </w:rPr>
              <w:t>在植物区系上，该地区</w:t>
            </w:r>
            <w:r>
              <w:rPr>
                <w:rFonts w:hint="eastAsia" w:ascii="Times New Roman" w:hAnsi="Times New Roman" w:eastAsia="宋体" w:cs="Times New Roman"/>
                <w:color w:val="auto"/>
                <w:kern w:val="0"/>
                <w:sz w:val="24"/>
              </w:rPr>
              <w:t>属泛北极区，</w:t>
            </w:r>
            <w:r>
              <w:rPr>
                <w:rFonts w:ascii="Times New Roman" w:hAnsi="Times New Roman" w:eastAsia="宋体" w:cs="Times New Roman"/>
                <w:color w:val="auto"/>
                <w:kern w:val="0"/>
                <w:sz w:val="24"/>
              </w:rPr>
              <w:t>中国-喜玛拉雅植物亚区。</w:t>
            </w:r>
            <w:r>
              <w:rPr>
                <w:rFonts w:hint="eastAsia" w:ascii="Times New Roman" w:hAnsi="Times New Roman" w:eastAsia="宋体" w:cs="Times New Roman"/>
                <w:color w:val="auto"/>
                <w:kern w:val="0"/>
                <w:sz w:val="24"/>
              </w:rPr>
              <w:t>元谋县</w:t>
            </w:r>
            <w:r>
              <w:rPr>
                <w:rFonts w:ascii="Times New Roman" w:hAnsi="Times New Roman" w:eastAsia="宋体" w:cs="Times New Roman"/>
                <w:color w:val="auto"/>
                <w:kern w:val="0"/>
                <w:sz w:val="24"/>
              </w:rPr>
              <w:t>主要的植被类型有干热河谷稀树</w:t>
            </w:r>
            <w:r>
              <w:rPr>
                <w:rFonts w:hint="eastAsia" w:ascii="Times New Roman" w:hAnsi="Times New Roman" w:eastAsia="宋体" w:cs="Times New Roman"/>
                <w:color w:val="auto"/>
                <w:kern w:val="0"/>
                <w:sz w:val="24"/>
              </w:rPr>
              <w:t>灌木草丛</w:t>
            </w:r>
            <w:r>
              <w:rPr>
                <w:rFonts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rPr>
              <w:t>暖温性针叶林、</w:t>
            </w:r>
            <w:r>
              <w:rPr>
                <w:rFonts w:ascii="Times New Roman" w:hAnsi="Times New Roman" w:eastAsia="宋体" w:cs="Times New Roman"/>
                <w:color w:val="auto"/>
                <w:kern w:val="0"/>
                <w:sz w:val="24"/>
              </w:rPr>
              <w:t>暖温性针阔混交林</w:t>
            </w:r>
            <w:r>
              <w:rPr>
                <w:rFonts w:hint="eastAsia" w:ascii="Times New Roman" w:hAnsi="Times New Roman" w:eastAsia="宋体" w:cs="Times New Roman"/>
                <w:color w:val="auto"/>
                <w:kern w:val="0"/>
                <w:sz w:val="24"/>
              </w:rPr>
              <w:t>、干热河谷硬叶常绿栎林等</w:t>
            </w:r>
            <w:r>
              <w:rPr>
                <w:rFonts w:ascii="Times New Roman" w:hAnsi="Times New Roman" w:eastAsia="宋体" w:cs="Times New Roman"/>
                <w:color w:val="auto"/>
                <w:kern w:val="0"/>
                <w:sz w:val="24"/>
              </w:rPr>
              <w:t>。</w:t>
            </w:r>
          </w:p>
          <w:p>
            <w:pPr>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本项目评价区</w:t>
            </w:r>
            <w:r>
              <w:rPr>
                <w:rFonts w:ascii="Times New Roman" w:hAnsi="Times New Roman" w:eastAsia="宋体" w:cs="Times New Roman"/>
                <w:color w:val="auto"/>
                <w:kern w:val="0"/>
                <w:sz w:val="24"/>
              </w:rPr>
              <w:t>海拔</w:t>
            </w:r>
            <w:r>
              <w:rPr>
                <w:rFonts w:hint="eastAsia" w:ascii="Times New Roman" w:hAnsi="Times New Roman" w:eastAsia="宋体" w:cs="Times New Roman"/>
                <w:color w:val="auto"/>
                <w:kern w:val="0"/>
                <w:sz w:val="24"/>
              </w:rPr>
              <w:t>范围</w:t>
            </w:r>
            <w:r>
              <w:rPr>
                <w:rFonts w:ascii="Times New Roman" w:hAnsi="Times New Roman" w:eastAsia="宋体" w:cs="Times New Roman"/>
                <w:color w:val="auto"/>
                <w:kern w:val="0"/>
                <w:sz w:val="24"/>
              </w:rPr>
              <w:t>从</w:t>
            </w:r>
            <w:r>
              <w:rPr>
                <w:rFonts w:hint="eastAsia" w:ascii="Times New Roman" w:hAnsi="Times New Roman" w:eastAsia="宋体" w:cs="Times New Roman"/>
                <w:color w:val="auto"/>
                <w:kern w:val="0"/>
                <w:sz w:val="24"/>
              </w:rPr>
              <w:t>1000</w:t>
            </w:r>
            <w:r>
              <w:rPr>
                <w:rFonts w:ascii="Times New Roman" w:hAnsi="Times New Roman" w:eastAsia="宋体" w:cs="Times New Roman"/>
                <w:color w:val="auto"/>
                <w:kern w:val="0"/>
                <w:sz w:val="24"/>
              </w:rPr>
              <w:t>m至</w:t>
            </w:r>
            <w:r>
              <w:rPr>
                <w:rFonts w:hint="eastAsia" w:ascii="Times New Roman" w:hAnsi="Times New Roman" w:eastAsia="宋体" w:cs="Times New Roman"/>
                <w:color w:val="auto"/>
                <w:kern w:val="0"/>
                <w:sz w:val="24"/>
              </w:rPr>
              <w:t>1500</w:t>
            </w:r>
            <w:r>
              <w:rPr>
                <w:rFonts w:ascii="Times New Roman" w:hAnsi="Times New Roman" w:eastAsia="宋体" w:cs="Times New Roman"/>
                <w:color w:val="auto"/>
                <w:kern w:val="0"/>
                <w:sz w:val="24"/>
              </w:rPr>
              <w:t>m</w:t>
            </w:r>
            <w:r>
              <w:rPr>
                <w:rFonts w:hint="eastAsia" w:ascii="Times New Roman" w:hAnsi="Times New Roman" w:eastAsia="宋体" w:cs="Times New Roman"/>
                <w:color w:val="auto"/>
                <w:kern w:val="0"/>
                <w:sz w:val="24"/>
              </w:rPr>
              <w:t>。</w:t>
            </w:r>
            <w:r>
              <w:rPr>
                <w:rFonts w:ascii="Times New Roman" w:hAnsi="Times New Roman" w:eastAsia="宋体" w:cs="Times New Roman"/>
                <w:color w:val="auto"/>
                <w:kern w:val="0"/>
                <w:sz w:val="24"/>
              </w:rPr>
              <w:t>据调查，项目区内呈现典型的干</w:t>
            </w:r>
            <w:r>
              <w:rPr>
                <w:rFonts w:hint="eastAsia" w:ascii="Times New Roman" w:hAnsi="Times New Roman" w:eastAsia="宋体" w:cs="Times New Roman"/>
                <w:color w:val="auto"/>
                <w:kern w:val="0"/>
                <w:sz w:val="24"/>
              </w:rPr>
              <w:t>热</w:t>
            </w:r>
            <w:r>
              <w:rPr>
                <w:rFonts w:ascii="Times New Roman" w:hAnsi="Times New Roman" w:eastAsia="宋体" w:cs="Times New Roman"/>
                <w:color w:val="auto"/>
                <w:kern w:val="0"/>
                <w:sz w:val="24"/>
              </w:rPr>
              <w:t>河谷型植被景观。</w:t>
            </w:r>
            <w:r>
              <w:rPr>
                <w:rFonts w:hint="eastAsia" w:ascii="Times New Roman" w:hAnsi="Times New Roman" w:eastAsia="宋体" w:cs="Times New Roman"/>
                <w:color w:val="auto"/>
                <w:kern w:val="0"/>
                <w:sz w:val="24"/>
              </w:rPr>
              <w:t>依据《云南植被》分类系统遵循群落学－生态学的分类原则项目区的植被类型分别有硬叶常绿阔叶林、暖性针叶林、稀树灌木草丛、灌丛、人工植被（水田、旱地和果园）等。</w:t>
            </w:r>
            <w:r>
              <w:rPr>
                <w:rFonts w:ascii="Times New Roman" w:hAnsi="Times New Roman" w:eastAsia="宋体" w:cs="Times New Roman"/>
                <w:color w:val="auto"/>
                <w:kern w:val="0"/>
                <w:sz w:val="24"/>
              </w:rPr>
              <w:t>在</w:t>
            </w:r>
            <w:r>
              <w:rPr>
                <w:rFonts w:hint="eastAsia" w:ascii="Times New Roman" w:hAnsi="Times New Roman" w:eastAsia="宋体" w:cs="Times New Roman"/>
                <w:color w:val="auto"/>
                <w:kern w:val="0"/>
                <w:sz w:val="24"/>
              </w:rPr>
              <w:t>麻柳水库</w:t>
            </w:r>
            <w:r>
              <w:rPr>
                <w:rFonts w:ascii="Times New Roman" w:hAnsi="Times New Roman" w:eastAsia="宋体" w:cs="Times New Roman"/>
                <w:color w:val="auto"/>
                <w:kern w:val="0"/>
                <w:sz w:val="24"/>
              </w:rPr>
              <w:t>区域调查到的植被</w:t>
            </w:r>
            <w:r>
              <w:rPr>
                <w:rFonts w:hint="eastAsia" w:ascii="Times New Roman" w:hAnsi="Times New Roman" w:eastAsia="宋体" w:cs="Times New Roman"/>
                <w:color w:val="auto"/>
                <w:kern w:val="0"/>
                <w:sz w:val="24"/>
              </w:rPr>
              <w:t>可划分为3</w:t>
            </w:r>
            <w:r>
              <w:rPr>
                <w:rFonts w:ascii="Times New Roman" w:hAnsi="Times New Roman" w:eastAsia="宋体" w:cs="Times New Roman"/>
                <w:color w:val="auto"/>
                <w:kern w:val="0"/>
                <w:sz w:val="24"/>
              </w:rPr>
              <w:t>个植被型</w:t>
            </w:r>
            <w:r>
              <w:rPr>
                <w:rFonts w:hint="eastAsia" w:ascii="Times New Roman" w:hAnsi="Times New Roman" w:eastAsia="宋体" w:cs="Times New Roman"/>
                <w:color w:val="auto"/>
                <w:kern w:val="0"/>
                <w:sz w:val="24"/>
              </w:rPr>
              <w:t>、3</w:t>
            </w:r>
            <w:r>
              <w:rPr>
                <w:rFonts w:ascii="Times New Roman" w:hAnsi="Times New Roman" w:eastAsia="宋体" w:cs="Times New Roman"/>
                <w:color w:val="auto"/>
                <w:kern w:val="0"/>
                <w:sz w:val="24"/>
              </w:rPr>
              <w:t>个植被亚型</w:t>
            </w:r>
            <w:r>
              <w:rPr>
                <w:rFonts w:hint="eastAsia" w:ascii="Times New Roman" w:hAnsi="Times New Roman" w:eastAsia="宋体" w:cs="Times New Roman"/>
                <w:color w:val="auto"/>
                <w:kern w:val="0"/>
                <w:sz w:val="24"/>
              </w:rPr>
              <w:t>、4个群落。见表3.3-</w:t>
            </w:r>
            <w:r>
              <w:rPr>
                <w:rFonts w:hint="eastAsia" w:cs="Times New Roman"/>
                <w:color w:val="auto"/>
                <w:kern w:val="0"/>
                <w:sz w:val="24"/>
                <w:lang w:val="en-US" w:eastAsia="zh-CN"/>
              </w:rPr>
              <w:t>2</w:t>
            </w:r>
            <w:r>
              <w:rPr>
                <w:rFonts w:ascii="Times New Roman" w:hAnsi="Times New Roman" w:eastAsia="宋体" w:cs="Times New Roman"/>
                <w:color w:val="auto"/>
                <w:kern w:val="0"/>
                <w:sz w:val="24"/>
              </w:rPr>
              <w:t>：</w:t>
            </w:r>
          </w:p>
          <w:p>
            <w:pPr>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表3.3-2  项目评价区植被分类系统表</w:t>
            </w:r>
          </w:p>
          <w:tbl>
            <w:tblPr>
              <w:tblStyle w:val="18"/>
              <w:tblW w:w="844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447" w:type="dxa"/>
                  <w:tcBorders>
                    <w:tl2br w:val="nil"/>
                    <w:tr2bl w:val="nil"/>
                  </w:tcBorders>
                  <w:noWrap w:val="0"/>
                  <w:vAlign w:val="center"/>
                </w:tcPr>
                <w:p>
                  <w:pPr>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A 自然植被</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447" w:type="dxa"/>
                  <w:tcBorders>
                    <w:tl2br w:val="nil"/>
                    <w:tr2bl w:val="nil"/>
                  </w:tcBorders>
                  <w:noWrap w:val="0"/>
                  <w:vAlign w:val="center"/>
                </w:tcPr>
                <w:p>
                  <w:pPr>
                    <w:autoSpaceDE w:val="0"/>
                    <w:autoSpaceDN w:val="0"/>
                    <w:adjustRightInd w:val="0"/>
                    <w:ind w:firstLine="420"/>
                    <w:jc w:val="left"/>
                    <w:rPr>
                      <w:rFonts w:ascii="宋体" w:hAnsi="宋体" w:eastAsia="宋体" w:cs="Times New Roman"/>
                      <w:color w:val="auto"/>
                      <w:szCs w:val="21"/>
                    </w:rPr>
                  </w:pPr>
                  <w:r>
                    <w:rPr>
                      <w:rFonts w:hint="eastAsia" w:ascii="宋体" w:hAnsi="宋体" w:eastAsia="宋体" w:cs="宋体"/>
                      <w:color w:val="auto"/>
                      <w:szCs w:val="21"/>
                    </w:rPr>
                    <w:t>Ⅰ 硬叶常绿阔叶林</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447" w:type="dxa"/>
                  <w:tcBorders>
                    <w:tl2br w:val="nil"/>
                    <w:tr2bl w:val="nil"/>
                  </w:tcBorders>
                  <w:noWrap w:val="0"/>
                  <w:vAlign w:val="center"/>
                </w:tcPr>
                <w:p>
                  <w:pPr>
                    <w:autoSpaceDE w:val="0"/>
                    <w:autoSpaceDN w:val="0"/>
                    <w:adjustRightInd w:val="0"/>
                    <w:ind w:firstLine="420"/>
                    <w:jc w:val="left"/>
                    <w:rPr>
                      <w:rFonts w:ascii="宋体" w:hAnsi="宋体" w:eastAsia="宋体" w:cs="TimesNewRomanPSMT"/>
                      <w:color w:val="auto"/>
                      <w:szCs w:val="21"/>
                    </w:rPr>
                  </w:pPr>
                  <w:r>
                    <w:rPr>
                      <w:rFonts w:ascii="宋体" w:hAnsi="宋体" w:eastAsia="宋体" w:cs="TimesNewRomanPSMT"/>
                      <w:color w:val="auto"/>
                      <w:szCs w:val="21"/>
                    </w:rPr>
                    <w:t>(</w:t>
                  </w:r>
                  <w:r>
                    <w:rPr>
                      <w:rFonts w:hint="eastAsia" w:ascii="宋体" w:hAnsi="宋体" w:eastAsia="宋体" w:cs="宋体"/>
                      <w:color w:val="auto"/>
                      <w:szCs w:val="21"/>
                    </w:rPr>
                    <w:t>Ⅰ</w:t>
                  </w:r>
                  <w:r>
                    <w:rPr>
                      <w:rFonts w:ascii="宋体" w:hAnsi="宋体" w:eastAsia="宋体" w:cs="TimesNewRomanPSMT"/>
                      <w:color w:val="auto"/>
                      <w:szCs w:val="21"/>
                    </w:rPr>
                    <w:t>)</w:t>
                  </w:r>
                  <w:r>
                    <w:rPr>
                      <w:rFonts w:hint="eastAsia" w:ascii="宋体" w:hAnsi="宋体" w:eastAsia="宋体" w:cs="TimesNewRomanPSMT"/>
                      <w:color w:val="auto"/>
                      <w:szCs w:val="21"/>
                    </w:rPr>
                    <w:t xml:space="preserve"> 干热河谷硬叶常绿阔叶林</w:t>
                  </w:r>
                  <w:r>
                    <w:rPr>
                      <w:rFonts w:ascii="宋体" w:hAnsi="宋体" w:eastAsia="宋体" w:cs="宋体"/>
                      <w:color w:val="auto"/>
                      <w:szCs w:val="21"/>
                    </w:rPr>
                    <w:t xml:space="preserve"> </w:t>
                  </w:r>
                </w:p>
                <w:p>
                  <w:pPr>
                    <w:autoSpaceDE w:val="0"/>
                    <w:autoSpaceDN w:val="0"/>
                    <w:adjustRightInd w:val="0"/>
                    <w:ind w:firstLine="420"/>
                    <w:jc w:val="left"/>
                    <w:rPr>
                      <w:rFonts w:ascii="宋体" w:hAnsi="宋体" w:eastAsia="宋体" w:cs="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447" w:type="dxa"/>
                  <w:tcBorders>
                    <w:tl2br w:val="nil"/>
                    <w:tr2bl w:val="nil"/>
                  </w:tcBorders>
                  <w:noWrap w:val="0"/>
                  <w:vAlign w:val="center"/>
                </w:tcPr>
                <w:p>
                  <w:pPr>
                    <w:autoSpaceDE w:val="0"/>
                    <w:autoSpaceDN w:val="0"/>
                    <w:adjustRightInd w:val="0"/>
                    <w:ind w:firstLine="840" w:firstLineChars="400"/>
                    <w:jc w:val="left"/>
                    <w:rPr>
                      <w:rFonts w:ascii="宋体" w:hAnsi="宋体" w:eastAsia="宋体" w:cs="宋体"/>
                      <w:color w:val="auto"/>
                      <w:szCs w:val="21"/>
                    </w:rPr>
                  </w:pPr>
                  <w:r>
                    <w:rPr>
                      <w:rFonts w:hint="eastAsia" w:ascii="宋体" w:hAnsi="宋体" w:eastAsia="宋体" w:cs="宋体"/>
                      <w:color w:val="auto"/>
                      <w:szCs w:val="21"/>
                    </w:rPr>
                    <w:t>1、</w:t>
                  </w:r>
                  <w:r>
                    <w:rPr>
                      <w:rFonts w:hint="eastAsia" w:ascii="宋体" w:hAnsi="Times New Roman" w:eastAsia="宋体" w:cs="宋体"/>
                      <w:color w:val="auto"/>
                      <w:kern w:val="0"/>
                      <w:szCs w:val="21"/>
                    </w:rPr>
                    <w:t>锥连栎、黄茅群落</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447" w:type="dxa"/>
                  <w:tcBorders>
                    <w:tl2br w:val="nil"/>
                    <w:tr2bl w:val="nil"/>
                  </w:tcBorders>
                  <w:noWrap w:val="0"/>
                  <w:vAlign w:val="center"/>
                </w:tcPr>
                <w:p>
                  <w:pPr>
                    <w:autoSpaceDE w:val="0"/>
                    <w:autoSpaceDN w:val="0"/>
                    <w:adjustRightInd w:val="0"/>
                    <w:ind w:firstLine="420"/>
                    <w:jc w:val="left"/>
                    <w:rPr>
                      <w:rFonts w:ascii="宋体" w:hAnsi="宋体" w:eastAsia="宋体" w:cs="TimesNewRomanPSMT"/>
                      <w:color w:val="auto"/>
                      <w:szCs w:val="21"/>
                      <w:lang w:val="pt-BR"/>
                    </w:rPr>
                  </w:pPr>
                  <w:r>
                    <w:rPr>
                      <w:rFonts w:hint="eastAsia" w:ascii="宋体" w:hAnsi="宋体" w:eastAsia="宋体" w:cs="宋体"/>
                      <w:color w:val="auto"/>
                      <w:szCs w:val="21"/>
                    </w:rPr>
                    <w:t>Ⅱ干热河谷稀树灌木草丛</w:t>
                  </w:r>
                </w:p>
                <w:p>
                  <w:pPr>
                    <w:autoSpaceDE w:val="0"/>
                    <w:autoSpaceDN w:val="0"/>
                    <w:adjustRightInd w:val="0"/>
                    <w:ind w:firstLine="420"/>
                    <w:jc w:val="left"/>
                    <w:rPr>
                      <w:rFonts w:ascii="宋体" w:hAnsi="宋体" w:eastAsia="宋体" w:cs="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447" w:type="dxa"/>
                  <w:tcBorders>
                    <w:tl2br w:val="nil"/>
                    <w:tr2bl w:val="nil"/>
                  </w:tcBorders>
                  <w:noWrap w:val="0"/>
                  <w:vAlign w:val="center"/>
                </w:tcPr>
                <w:p>
                  <w:pPr>
                    <w:autoSpaceDE w:val="0"/>
                    <w:autoSpaceDN w:val="0"/>
                    <w:adjustRightInd w:val="0"/>
                    <w:ind w:firstLine="420"/>
                    <w:jc w:val="left"/>
                    <w:rPr>
                      <w:rFonts w:ascii="宋体" w:hAnsi="宋体" w:eastAsia="宋体" w:cs="宋体"/>
                      <w:color w:val="auto"/>
                      <w:szCs w:val="21"/>
                    </w:rPr>
                  </w:pPr>
                  <w:r>
                    <w:rPr>
                      <w:rFonts w:ascii="宋体" w:hAnsi="宋体" w:eastAsia="宋体" w:cs="TimesNewRomanPSMT"/>
                      <w:color w:val="auto"/>
                      <w:szCs w:val="21"/>
                    </w:rPr>
                    <w:t>(</w:t>
                  </w:r>
                  <w:r>
                    <w:rPr>
                      <w:rFonts w:hint="eastAsia" w:ascii="宋体" w:hAnsi="宋体" w:eastAsia="宋体" w:cs="宋体"/>
                      <w:color w:val="auto"/>
                      <w:szCs w:val="21"/>
                    </w:rPr>
                    <w:t>Ⅱ</w:t>
                  </w:r>
                  <w:r>
                    <w:rPr>
                      <w:rFonts w:ascii="宋体" w:hAnsi="宋体" w:eastAsia="宋体" w:cs="TimesNewRomanPSMT"/>
                      <w:color w:val="auto"/>
                      <w:szCs w:val="21"/>
                    </w:rPr>
                    <w:t>)</w:t>
                  </w:r>
                  <w:r>
                    <w:rPr>
                      <w:rFonts w:hint="eastAsia" w:ascii="宋体" w:hAnsi="宋体" w:eastAsia="宋体" w:cs="宋体"/>
                      <w:color w:val="auto"/>
                      <w:szCs w:val="21"/>
                    </w:rPr>
                    <w:t xml:space="preserve"> 干热性稀树灌木草丛</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447" w:type="dxa"/>
                  <w:tcBorders>
                    <w:tl2br w:val="nil"/>
                    <w:tr2bl w:val="nil"/>
                  </w:tcBorders>
                  <w:noWrap w:val="0"/>
                  <w:vAlign w:val="center"/>
                </w:tcPr>
                <w:p>
                  <w:pPr>
                    <w:autoSpaceDE w:val="0"/>
                    <w:autoSpaceDN w:val="0"/>
                    <w:adjustRightInd w:val="0"/>
                    <w:ind w:firstLine="840" w:firstLineChars="400"/>
                    <w:jc w:val="left"/>
                    <w:rPr>
                      <w:rFonts w:ascii="宋体" w:hAnsi="宋体" w:eastAsia="宋体" w:cs="宋体"/>
                      <w:color w:val="auto"/>
                      <w:szCs w:val="21"/>
                    </w:rPr>
                  </w:pPr>
                  <w:r>
                    <w:rPr>
                      <w:rFonts w:hint="eastAsia" w:ascii="宋体" w:hAnsi="宋体" w:eastAsia="宋体" w:cs="宋体"/>
                      <w:color w:val="auto"/>
                      <w:szCs w:val="21"/>
                    </w:rPr>
                    <w:t>2、合欢、余甘子、车桑子、</w:t>
                  </w:r>
                  <w:r>
                    <w:rPr>
                      <w:rFonts w:ascii="宋体" w:hAnsi="宋体" w:eastAsia="宋体" w:cs="宋体"/>
                      <w:color w:val="auto"/>
                      <w:szCs w:val="21"/>
                    </w:rPr>
                    <w:t>扭</w:t>
                  </w:r>
                  <w:r>
                    <w:rPr>
                      <w:rFonts w:ascii="宋体" w:hAnsi="宋体" w:eastAsia="宋体" w:cs="宋体"/>
                      <w:color w:val="auto"/>
                      <w:szCs w:val="21"/>
                    </w:rPr>
                    <w:cr/>
                  </w:r>
                  <w:r>
                    <w:rPr>
                      <w:rFonts w:ascii="宋体" w:hAnsi="宋体" w:eastAsia="宋体" w:cs="宋体"/>
                      <w:color w:val="auto"/>
                      <w:szCs w:val="21"/>
                    </w:rPr>
                    <w:t>茅群落</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447" w:type="dxa"/>
                  <w:tcBorders>
                    <w:tl2br w:val="nil"/>
                    <w:tr2bl w:val="nil"/>
                  </w:tcBorders>
                  <w:noWrap w:val="0"/>
                  <w:vAlign w:val="center"/>
                </w:tcPr>
                <w:p>
                  <w:pPr>
                    <w:autoSpaceDE w:val="0"/>
                    <w:autoSpaceDN w:val="0"/>
                    <w:adjustRightInd w:val="0"/>
                    <w:ind w:firstLine="840" w:firstLineChars="400"/>
                    <w:jc w:val="left"/>
                    <w:rPr>
                      <w:rFonts w:hint="eastAsia" w:ascii="宋体" w:hAnsi="宋体" w:eastAsia="宋体" w:cs="TimesNewRomanPSMT"/>
                      <w:color w:val="auto"/>
                      <w:szCs w:val="21"/>
                    </w:rPr>
                  </w:pPr>
                  <w:r>
                    <w:rPr>
                      <w:rFonts w:hint="eastAsia" w:ascii="宋体" w:hAnsi="宋体" w:eastAsia="宋体" w:cs="宋体"/>
                      <w:color w:val="auto"/>
                      <w:szCs w:val="21"/>
                    </w:rPr>
                    <w:t>3、羽叶山黄麻、华西小石积、扭黄茅群落</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447" w:type="dxa"/>
                  <w:tcBorders>
                    <w:tl2br w:val="nil"/>
                    <w:tr2bl w:val="nil"/>
                  </w:tcBorders>
                  <w:noWrap w:val="0"/>
                  <w:vAlign w:val="center"/>
                </w:tcPr>
                <w:p>
                  <w:pPr>
                    <w:autoSpaceDE w:val="0"/>
                    <w:autoSpaceDN w:val="0"/>
                    <w:adjustRightInd w:val="0"/>
                    <w:ind w:firstLine="420"/>
                    <w:jc w:val="left"/>
                    <w:rPr>
                      <w:rFonts w:ascii="宋体" w:hAnsi="宋体" w:eastAsia="宋体" w:cs="TimesNewRomanPSMT"/>
                      <w:color w:val="auto"/>
                      <w:szCs w:val="21"/>
                      <w:lang w:val="pt-BR"/>
                    </w:rPr>
                  </w:pPr>
                  <w:r>
                    <w:rPr>
                      <w:rFonts w:hint="eastAsia" w:ascii="宋体" w:hAnsi="宋体" w:eastAsia="宋体" w:cs="宋体"/>
                      <w:color w:val="auto"/>
                      <w:szCs w:val="21"/>
                    </w:rPr>
                    <w:t>Ⅲ干热河谷次生灌木草丛</w:t>
                  </w:r>
                </w:p>
                <w:p>
                  <w:pPr>
                    <w:autoSpaceDE w:val="0"/>
                    <w:autoSpaceDN w:val="0"/>
                    <w:adjustRightInd w:val="0"/>
                    <w:ind w:firstLine="420"/>
                    <w:jc w:val="left"/>
                    <w:rPr>
                      <w:rFonts w:ascii="宋体" w:hAnsi="宋体" w:eastAsia="宋体" w:cs="宋体"/>
                      <w:color w:val="auto"/>
                      <w:szCs w:val="21"/>
                      <w:lang w:val="pt-BR"/>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447" w:type="dxa"/>
                  <w:tcBorders>
                    <w:tl2br w:val="nil"/>
                    <w:tr2bl w:val="nil"/>
                  </w:tcBorders>
                  <w:noWrap w:val="0"/>
                  <w:vAlign w:val="center"/>
                </w:tcPr>
                <w:p>
                  <w:pPr>
                    <w:autoSpaceDE w:val="0"/>
                    <w:autoSpaceDN w:val="0"/>
                    <w:adjustRightInd w:val="0"/>
                    <w:ind w:firstLine="357" w:firstLineChars="170"/>
                    <w:jc w:val="left"/>
                    <w:rPr>
                      <w:rFonts w:ascii="宋体" w:hAnsi="宋体" w:eastAsia="宋体" w:cs="宋体"/>
                      <w:color w:val="auto"/>
                      <w:szCs w:val="21"/>
                    </w:rPr>
                  </w:pPr>
                  <w:r>
                    <w:rPr>
                      <w:rFonts w:hint="eastAsia" w:ascii="宋体" w:hAnsi="宋体" w:eastAsia="宋体" w:cs="宋体"/>
                      <w:color w:val="auto"/>
                      <w:szCs w:val="21"/>
                    </w:rPr>
                    <w:t>(Ⅲ) 干热河谷次生灌木草丛</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447" w:type="dxa"/>
                  <w:tcBorders>
                    <w:tl2br w:val="nil"/>
                    <w:tr2bl w:val="nil"/>
                  </w:tcBorders>
                  <w:noWrap w:val="0"/>
                  <w:vAlign w:val="center"/>
                </w:tcPr>
                <w:p>
                  <w:pPr>
                    <w:autoSpaceDE w:val="0"/>
                    <w:autoSpaceDN w:val="0"/>
                    <w:adjustRightInd w:val="0"/>
                    <w:ind w:firstLine="840" w:firstLineChars="400"/>
                    <w:jc w:val="left"/>
                    <w:rPr>
                      <w:rFonts w:ascii="宋体" w:hAnsi="宋体" w:eastAsia="宋体" w:cs="宋体"/>
                      <w:color w:val="auto"/>
                      <w:szCs w:val="21"/>
                    </w:rPr>
                  </w:pPr>
                  <w:r>
                    <w:rPr>
                      <w:rFonts w:hint="eastAsia" w:ascii="宋体" w:hAnsi="宋体" w:eastAsia="宋体" w:cs="宋体"/>
                      <w:color w:val="auto"/>
                      <w:szCs w:val="21"/>
                    </w:rPr>
                    <w:t>4、</w:t>
                  </w:r>
                  <w:r>
                    <w:rPr>
                      <w:rFonts w:hint="eastAsia" w:ascii="宋体" w:hAnsi="Times New Roman" w:eastAsia="宋体" w:cs="Times New Roman"/>
                      <w:color w:val="auto"/>
                    </w:rPr>
                    <w:t>锥连栎、</w:t>
                  </w:r>
                  <w:r>
                    <w:rPr>
                      <w:rFonts w:hint="eastAsia" w:ascii="宋体" w:hAnsi="宋体" w:eastAsia="宋体" w:cs="宋体"/>
                      <w:color w:val="auto"/>
                      <w:szCs w:val="21"/>
                    </w:rPr>
                    <w:t>车桑子、</w:t>
                  </w:r>
                  <w:r>
                    <w:rPr>
                      <w:rFonts w:ascii="宋体" w:hAnsi="宋体" w:eastAsia="宋体" w:cs="宋体"/>
                      <w:color w:val="auto"/>
                      <w:szCs w:val="21"/>
                    </w:rPr>
                    <w:t>扭黄茅</w:t>
                  </w:r>
                  <w:r>
                    <w:rPr>
                      <w:rFonts w:hint="eastAsia" w:ascii="宋体" w:hAnsi="Times New Roman" w:eastAsia="宋体" w:cs="Times New Roman"/>
                      <w:color w:val="auto"/>
                    </w:rPr>
                    <w:t>群落</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447" w:type="dxa"/>
                  <w:tcBorders>
                    <w:tl2br w:val="nil"/>
                    <w:tr2bl w:val="nil"/>
                  </w:tcBorders>
                  <w:noWrap w:val="0"/>
                  <w:vAlign w:val="center"/>
                </w:tcPr>
                <w:p>
                  <w:pPr>
                    <w:autoSpaceDE w:val="0"/>
                    <w:autoSpaceDN w:val="0"/>
                    <w:adjustRightInd w:val="0"/>
                    <w:ind w:firstLine="420"/>
                    <w:jc w:val="left"/>
                    <w:rPr>
                      <w:rFonts w:ascii="宋体" w:hAnsi="宋体" w:eastAsia="宋体" w:cs="TimesNewRomanPSMT"/>
                      <w:color w:val="auto"/>
                      <w:szCs w:val="21"/>
                    </w:rPr>
                  </w:pPr>
                  <w:r>
                    <w:rPr>
                      <w:rFonts w:hint="eastAsia" w:ascii="宋体" w:hAnsi="宋体" w:eastAsia="宋体" w:cs="宋体"/>
                      <w:color w:val="auto"/>
                      <w:szCs w:val="21"/>
                    </w:rPr>
                    <w:t>B</w:t>
                  </w:r>
                  <w:r>
                    <w:rPr>
                      <w:rFonts w:ascii="宋体" w:hAnsi="宋体" w:eastAsia="宋体" w:cs="TimesNewRomanPSMT"/>
                      <w:color w:val="auto"/>
                      <w:szCs w:val="21"/>
                      <w:lang w:val="pt-BR"/>
                    </w:rPr>
                    <w:t>.</w:t>
                  </w:r>
                  <w:r>
                    <w:rPr>
                      <w:rFonts w:ascii="宋体" w:hAnsi="宋体" w:eastAsia="宋体" w:cs="TimesNewRomanPSMT"/>
                      <w:color w:val="auto"/>
                      <w:szCs w:val="21"/>
                    </w:rPr>
                    <w:t xml:space="preserve"> </w:t>
                  </w:r>
                  <w:r>
                    <w:rPr>
                      <w:rFonts w:hint="eastAsia" w:ascii="宋体" w:hAnsi="宋体" w:eastAsia="宋体" w:cs="宋体"/>
                      <w:color w:val="auto"/>
                      <w:szCs w:val="21"/>
                    </w:rPr>
                    <w:t>人工植被</w:t>
                  </w:r>
                </w:p>
                <w:p>
                  <w:pPr>
                    <w:ind w:firstLine="420"/>
                    <w:rPr>
                      <w:rFonts w:ascii="宋体" w:hAnsi="宋体" w:eastAsia="宋体" w:cs="Times New Roman"/>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447" w:type="dxa"/>
                  <w:tcBorders>
                    <w:tl2br w:val="nil"/>
                    <w:tr2bl w:val="nil"/>
                  </w:tcBorders>
                  <w:noWrap w:val="0"/>
                  <w:vAlign w:val="center"/>
                </w:tcPr>
                <w:p>
                  <w:pPr>
                    <w:autoSpaceDE w:val="0"/>
                    <w:autoSpaceDN w:val="0"/>
                    <w:adjustRightInd w:val="0"/>
                    <w:ind w:firstLine="420"/>
                    <w:jc w:val="left"/>
                    <w:rPr>
                      <w:rFonts w:ascii="宋体" w:hAnsi="宋体" w:eastAsia="宋体" w:cs="TimesNewRomanPSMT"/>
                      <w:color w:val="auto"/>
                      <w:szCs w:val="21"/>
                    </w:rPr>
                  </w:pPr>
                  <w:r>
                    <w:rPr>
                      <w:rFonts w:hint="eastAsia" w:ascii="宋体" w:hAnsi="宋体" w:eastAsia="宋体" w:cs="宋体"/>
                      <w:color w:val="auto"/>
                      <w:szCs w:val="21"/>
                    </w:rPr>
                    <w:t>Ⅰ</w:t>
                  </w:r>
                  <w:r>
                    <w:rPr>
                      <w:rFonts w:hint="eastAsia" w:ascii="宋体" w:hAnsi="宋体" w:eastAsia="宋体" w:cs="TimesNewRomanPSMT"/>
                      <w:color w:val="auto"/>
                      <w:szCs w:val="21"/>
                    </w:rPr>
                    <w:t>旱地（小麦、玉米、甘蔗等）</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447" w:type="dxa"/>
                  <w:tcBorders>
                    <w:tl2br w:val="nil"/>
                    <w:tr2bl w:val="nil"/>
                  </w:tcBorders>
                  <w:noWrap w:val="0"/>
                  <w:vAlign w:val="center"/>
                </w:tcPr>
                <w:p>
                  <w:pPr>
                    <w:autoSpaceDE w:val="0"/>
                    <w:autoSpaceDN w:val="0"/>
                    <w:adjustRightInd w:val="0"/>
                    <w:ind w:firstLine="420"/>
                    <w:jc w:val="left"/>
                    <w:rPr>
                      <w:rFonts w:ascii="宋体" w:hAnsi="宋体" w:eastAsia="宋体" w:cs="宋体"/>
                      <w:color w:val="auto"/>
                      <w:szCs w:val="21"/>
                    </w:rPr>
                  </w:pPr>
                  <w:r>
                    <w:rPr>
                      <w:rFonts w:hint="eastAsia" w:ascii="宋体" w:hAnsi="宋体" w:eastAsia="宋体" w:cs="宋体"/>
                      <w:color w:val="auto"/>
                      <w:szCs w:val="21"/>
                    </w:rPr>
                    <w:t>Ⅱ</w:t>
                  </w:r>
                  <w:r>
                    <w:rPr>
                      <w:rFonts w:hint="eastAsia" w:ascii="宋体" w:hAnsi="宋体" w:eastAsia="宋体" w:cs="TimesNewRomanPSMT"/>
                      <w:color w:val="auto"/>
                      <w:szCs w:val="21"/>
                    </w:rPr>
                    <w:t>水田（水稻）</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447" w:type="dxa"/>
                  <w:tcBorders>
                    <w:tl2br w:val="nil"/>
                    <w:tr2bl w:val="nil"/>
                  </w:tcBorders>
                  <w:noWrap w:val="0"/>
                  <w:vAlign w:val="center"/>
                </w:tcPr>
                <w:p>
                  <w:pPr>
                    <w:autoSpaceDE w:val="0"/>
                    <w:autoSpaceDN w:val="0"/>
                    <w:adjustRightInd w:val="0"/>
                    <w:ind w:firstLine="420"/>
                    <w:jc w:val="left"/>
                    <w:rPr>
                      <w:rFonts w:ascii="宋体" w:hAnsi="宋体" w:eastAsia="宋体" w:cs="宋体"/>
                      <w:color w:val="auto"/>
                      <w:szCs w:val="21"/>
                    </w:rPr>
                  </w:pPr>
                  <w:r>
                    <w:rPr>
                      <w:rFonts w:hint="eastAsia" w:ascii="宋体" w:hAnsi="宋体" w:eastAsia="宋体" w:cs="宋体"/>
                      <w:color w:val="auto"/>
                      <w:szCs w:val="21"/>
                    </w:rPr>
                    <w:t>Ⅲ果园</w:t>
                  </w:r>
                </w:p>
              </w:tc>
            </w:tr>
          </w:tbl>
          <w:p>
            <w:pPr>
              <w:widowControl/>
              <w:adjustRightInd w:val="0"/>
              <w:snapToGrid w:val="0"/>
              <w:spacing w:line="240" w:lineRule="exact"/>
              <w:ind w:firstLine="480"/>
              <w:jc w:val="both"/>
              <w:rPr>
                <w:rFonts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注：“</w:t>
            </w:r>
            <w:r>
              <w:rPr>
                <w:rFonts w:hint="eastAsia" w:ascii="Times New Roman" w:hAnsi="Times New Roman" w:eastAsia="宋体" w:cs="宋体"/>
                <w:color w:val="auto"/>
                <w:kern w:val="2"/>
                <w:sz w:val="21"/>
                <w:szCs w:val="24"/>
                <w:lang w:val="en-US" w:eastAsia="zh-CN" w:bidi="ar-SA"/>
              </w:rPr>
              <w:t>Ⅰ</w:t>
            </w:r>
            <w:r>
              <w:rPr>
                <w:rFonts w:hint="eastAsia" w:ascii="Times New Roman" w:hAnsi="Times New Roman" w:eastAsia="宋体" w:cs="Times New Roman"/>
                <w:color w:val="auto"/>
                <w:kern w:val="2"/>
                <w:sz w:val="21"/>
                <w:szCs w:val="24"/>
                <w:lang w:val="en-US" w:eastAsia="zh-CN" w:bidi="ar-SA"/>
              </w:rPr>
              <w:t>”表示植被型，“</w:t>
            </w:r>
            <w:r>
              <w:rPr>
                <w:rFonts w:ascii="Times New Roman" w:hAnsi="Times New Roman" w:eastAsia="宋体" w:cs="TimesNewRomanPSMT"/>
                <w:color w:val="auto"/>
                <w:kern w:val="2"/>
                <w:sz w:val="21"/>
                <w:szCs w:val="24"/>
                <w:lang w:val="en-US" w:eastAsia="zh-CN" w:bidi="ar-SA"/>
              </w:rPr>
              <w:t>(</w:t>
            </w:r>
            <w:r>
              <w:rPr>
                <w:rFonts w:hint="eastAsia" w:ascii="Times New Roman" w:hAnsi="Times New Roman" w:eastAsia="宋体" w:cs="宋体"/>
                <w:color w:val="auto"/>
                <w:kern w:val="2"/>
                <w:sz w:val="21"/>
                <w:szCs w:val="24"/>
                <w:lang w:val="en-US" w:eastAsia="zh-CN" w:bidi="ar-SA"/>
              </w:rPr>
              <w:t>Ⅰ</w:t>
            </w:r>
            <w:r>
              <w:rPr>
                <w:rFonts w:ascii="Times New Roman" w:hAnsi="Times New Roman" w:eastAsia="宋体" w:cs="TimesNewRomanPSMT"/>
                <w:color w:val="auto"/>
                <w:kern w:val="2"/>
                <w:sz w:val="21"/>
                <w:szCs w:val="24"/>
                <w:lang w:val="en-US" w:eastAsia="zh-CN" w:bidi="ar-SA"/>
              </w:rPr>
              <w:t>)</w:t>
            </w:r>
            <w:r>
              <w:rPr>
                <w:rFonts w:hint="eastAsia" w:ascii="Times New Roman" w:hAnsi="Times New Roman" w:eastAsia="宋体" w:cs="TimesNewRomanPSMT"/>
                <w:color w:val="auto"/>
                <w:kern w:val="2"/>
                <w:sz w:val="21"/>
                <w:szCs w:val="24"/>
                <w:lang w:val="en-US" w:eastAsia="zh-CN" w:bidi="ar-SA"/>
              </w:rPr>
              <w:t>”表示植被亚型，“（一）”表示群系，“1、”表示群落</w:t>
            </w:r>
          </w:p>
          <w:p>
            <w:pPr>
              <w:spacing w:before="120" w:beforeLines="50" w:line="360" w:lineRule="auto"/>
              <w:ind w:firstLine="482" w:firstLineChars="200"/>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（3）</w:t>
            </w:r>
            <w:r>
              <w:rPr>
                <w:rFonts w:ascii="Times New Roman" w:hAnsi="Times New Roman" w:eastAsia="宋体" w:cs="Times New Roman"/>
                <w:b/>
                <w:bCs/>
                <w:color w:val="auto"/>
                <w:kern w:val="0"/>
                <w:sz w:val="24"/>
              </w:rPr>
              <w:t>评价区的植被类型</w:t>
            </w:r>
          </w:p>
          <w:p>
            <w:pPr>
              <w:spacing w:line="360" w:lineRule="auto"/>
              <w:ind w:firstLine="482" w:firstLineChars="200"/>
              <w:rPr>
                <w:rFonts w:ascii="Times New Roman" w:hAnsi="Times New Roman" w:eastAsia="宋体" w:cs="Times New Roman"/>
                <w:b/>
                <w:bCs/>
                <w:color w:val="auto"/>
                <w:kern w:val="0"/>
                <w:sz w:val="24"/>
              </w:rPr>
            </w:pPr>
            <w:r>
              <w:rPr>
                <w:rFonts w:ascii="Times New Roman" w:hAnsi="Times New Roman" w:eastAsia="宋体" w:cs="Times New Roman"/>
                <w:b/>
                <w:bCs/>
                <w:color w:val="auto"/>
                <w:kern w:val="0"/>
                <w:sz w:val="24"/>
              </w:rPr>
              <w:t>①硬叶常绿阔叶林</w:t>
            </w:r>
          </w:p>
          <w:p>
            <w:pPr>
              <w:spacing w:line="360" w:lineRule="auto"/>
              <w:ind w:firstLine="480" w:firstLineChars="200"/>
              <w:rPr>
                <w:rFonts w:ascii="宋体" w:hAnsi="宋体" w:eastAsia="宋体" w:cs="Times New Roman"/>
                <w:color w:val="auto"/>
                <w:sz w:val="24"/>
                <w:lang w:val="zh-CN"/>
              </w:rPr>
            </w:pPr>
            <w:r>
              <w:rPr>
                <w:rFonts w:hint="eastAsia" w:ascii="宋体" w:hAnsi="Times New Roman" w:eastAsia="宋体" w:cs="宋体"/>
                <w:color w:val="auto"/>
                <w:kern w:val="0"/>
                <w:sz w:val="24"/>
              </w:rPr>
              <w:t>锥连栎、黄茅群落</w:t>
            </w:r>
            <w:r>
              <w:rPr>
                <w:rFonts w:ascii="宋体" w:hAnsi="宋体" w:eastAsia="宋体" w:cs="Times New Roman"/>
                <w:color w:val="auto"/>
                <w:kern w:val="0"/>
                <w:sz w:val="24"/>
              </w:rPr>
              <w:t>外貌有残留植被的特征，乔木层较稀疏</w:t>
            </w:r>
            <w:r>
              <w:rPr>
                <w:rFonts w:ascii="宋体" w:hAnsi="宋体" w:eastAsia="宋体" w:cs="Times New Roman"/>
                <w:color w:val="auto"/>
                <w:sz w:val="24"/>
                <w:lang w:val="zh-CN"/>
              </w:rPr>
              <w:t>，层盖度40%左右，受人为干扰的痕迹明显，部分地区呈灌木状。</w:t>
            </w:r>
            <w:r>
              <w:rPr>
                <w:rFonts w:hint="eastAsia" w:ascii="宋体" w:hAnsi="Times New Roman" w:eastAsia="宋体" w:cs="宋体"/>
                <w:color w:val="auto"/>
                <w:kern w:val="0"/>
                <w:sz w:val="24"/>
              </w:rPr>
              <w:t>群落结构以中等高度的耐旱禾草黄茅（</w:t>
            </w:r>
            <w:r>
              <w:rPr>
                <w:rFonts w:ascii="Times New Roman" w:hAnsi="Times New Roman" w:eastAsia="宋体" w:cs="Times New Roman"/>
                <w:i/>
                <w:iCs/>
                <w:color w:val="auto"/>
                <w:kern w:val="0"/>
                <w:sz w:val="24"/>
              </w:rPr>
              <w:t>Heteropogoncontortus</w:t>
            </w:r>
            <w:r>
              <w:rPr>
                <w:rFonts w:hint="eastAsia" w:ascii="宋体" w:hAnsi="Times New Roman" w:eastAsia="宋体" w:cs="宋体"/>
                <w:color w:val="auto"/>
                <w:kern w:val="0"/>
                <w:sz w:val="24"/>
              </w:rPr>
              <w:t>）为主要层次，灌木稀少，夹生于草丛之中，稀树分散生长，树木之间距离很大，树干粗壮而弯曲，树皮粗厚</w:t>
            </w:r>
            <w:r>
              <w:rPr>
                <w:rFonts w:ascii="宋体" w:hAnsi="宋体" w:eastAsia="宋体" w:cs="Times New Roman"/>
                <w:color w:val="auto"/>
                <w:sz w:val="24"/>
                <w:lang w:val="zh-CN"/>
              </w:rPr>
              <w:t>乔木层主要种类有</w:t>
            </w:r>
            <w:r>
              <w:rPr>
                <w:rFonts w:hint="eastAsia" w:ascii="宋体" w:hAnsi="宋体" w:eastAsia="宋体" w:cs="宋体"/>
                <w:color w:val="auto"/>
                <w:kern w:val="0"/>
                <w:sz w:val="24"/>
              </w:rPr>
              <w:t>锥连栎（</w:t>
            </w:r>
            <w:r>
              <w:rPr>
                <w:rFonts w:ascii="宋体" w:hAnsi="宋体" w:eastAsia="宋体" w:cs="Times New Roman"/>
                <w:i/>
                <w:iCs/>
                <w:color w:val="auto"/>
                <w:kern w:val="0"/>
                <w:sz w:val="24"/>
              </w:rPr>
              <w:t>Quercus ranchetii</w:t>
            </w:r>
            <w:r>
              <w:rPr>
                <w:rFonts w:hint="eastAsia" w:ascii="宋体" w:hAnsi="宋体" w:eastAsia="宋体" w:cs="宋体"/>
                <w:color w:val="auto"/>
                <w:kern w:val="0"/>
                <w:sz w:val="24"/>
              </w:rPr>
              <w:t>）</w:t>
            </w:r>
            <w:r>
              <w:rPr>
                <w:rFonts w:ascii="宋体" w:hAnsi="宋体" w:eastAsia="宋体" w:cs="Times New Roman"/>
                <w:color w:val="auto"/>
                <w:sz w:val="24"/>
                <w:lang w:val="zh-CN"/>
              </w:rPr>
              <w:t>、清香木</w:t>
            </w:r>
            <w:r>
              <w:rPr>
                <w:rFonts w:ascii="宋体" w:hAnsi="宋体" w:eastAsia="宋体" w:cs="Times New Roman"/>
                <w:color w:val="auto"/>
                <w:sz w:val="24"/>
              </w:rPr>
              <w:t>(</w:t>
            </w:r>
            <w:r>
              <w:rPr>
                <w:rFonts w:ascii="宋体" w:hAnsi="宋体" w:eastAsia="宋体" w:cs="Times New Roman"/>
                <w:i/>
                <w:color w:val="auto"/>
                <w:sz w:val="24"/>
              </w:rPr>
              <w:t>Pistacia weinmannifolia</w:t>
            </w:r>
            <w:r>
              <w:rPr>
                <w:rFonts w:ascii="宋体" w:hAnsi="宋体" w:eastAsia="宋体" w:cs="Times New Roman"/>
                <w:color w:val="auto"/>
                <w:sz w:val="24"/>
              </w:rPr>
              <w:t>)</w:t>
            </w:r>
            <w:r>
              <w:rPr>
                <w:rFonts w:ascii="宋体" w:hAnsi="宋体" w:eastAsia="宋体" w:cs="Times New Roman"/>
                <w:color w:val="auto"/>
                <w:sz w:val="24"/>
                <w:lang w:val="zh-CN"/>
              </w:rPr>
              <w:t>等。</w:t>
            </w:r>
            <w:r>
              <w:rPr>
                <w:rFonts w:hint="eastAsia" w:ascii="宋体" w:hAnsi="宋体" w:eastAsia="宋体" w:cs="宋体"/>
                <w:color w:val="auto"/>
                <w:kern w:val="0"/>
                <w:sz w:val="24"/>
              </w:rPr>
              <w:t>其它常见的树种有：余甘子（</w:t>
            </w:r>
            <w:r>
              <w:rPr>
                <w:rFonts w:ascii="宋体" w:hAnsi="宋体" w:eastAsia="宋体" w:cs="Times New Roman"/>
                <w:i/>
                <w:iCs/>
                <w:color w:val="auto"/>
                <w:kern w:val="0"/>
                <w:sz w:val="24"/>
              </w:rPr>
              <w:t>Phyllanthus emblica</w:t>
            </w:r>
            <w:r>
              <w:rPr>
                <w:rFonts w:hint="eastAsia" w:ascii="宋体" w:hAnsi="宋体" w:eastAsia="宋体" w:cs="宋体"/>
                <w:color w:val="auto"/>
                <w:kern w:val="0"/>
                <w:sz w:val="24"/>
              </w:rPr>
              <w:t>）、木棉（</w:t>
            </w:r>
            <w:r>
              <w:rPr>
                <w:rFonts w:ascii="宋体" w:hAnsi="宋体" w:eastAsia="宋体" w:cs="Times New Roman"/>
                <w:i/>
                <w:iCs/>
                <w:color w:val="auto"/>
                <w:kern w:val="0"/>
                <w:sz w:val="24"/>
              </w:rPr>
              <w:t>Bombax ceiba</w:t>
            </w:r>
            <w:r>
              <w:rPr>
                <w:rFonts w:hint="eastAsia" w:ascii="宋体" w:hAnsi="宋体" w:eastAsia="宋体" w:cs="宋体"/>
                <w:color w:val="auto"/>
                <w:kern w:val="0"/>
                <w:sz w:val="24"/>
              </w:rPr>
              <w:t>）、千张纸（</w:t>
            </w:r>
            <w:r>
              <w:rPr>
                <w:rFonts w:ascii="宋体" w:hAnsi="宋体" w:eastAsia="宋体" w:cs="Times New Roman"/>
                <w:i/>
                <w:iCs/>
                <w:color w:val="auto"/>
                <w:kern w:val="0"/>
                <w:sz w:val="24"/>
              </w:rPr>
              <w:t>Oroxylum indicum</w:t>
            </w:r>
            <w:r>
              <w:rPr>
                <w:rFonts w:hint="eastAsia" w:ascii="宋体" w:hAnsi="宋体" w:eastAsia="宋体" w:cs="宋体"/>
                <w:color w:val="auto"/>
                <w:kern w:val="0"/>
                <w:sz w:val="24"/>
              </w:rPr>
              <w:t>）、山合欢（</w:t>
            </w:r>
            <w:r>
              <w:rPr>
                <w:rFonts w:ascii="宋体" w:hAnsi="宋体" w:eastAsia="宋体" w:cs="Times New Roman"/>
                <w:i/>
                <w:iCs/>
                <w:color w:val="auto"/>
                <w:kern w:val="0"/>
                <w:sz w:val="24"/>
              </w:rPr>
              <w:t>Albizia kalkora</w:t>
            </w:r>
            <w:r>
              <w:rPr>
                <w:rFonts w:hint="eastAsia" w:ascii="宋体" w:hAnsi="宋体" w:eastAsia="宋体" w:cs="宋体"/>
                <w:color w:val="auto"/>
                <w:kern w:val="0"/>
                <w:sz w:val="24"/>
              </w:rPr>
              <w:t>）、白腊树（</w:t>
            </w:r>
            <w:r>
              <w:rPr>
                <w:rFonts w:ascii="宋体" w:hAnsi="宋体" w:eastAsia="宋体" w:cs="Times New Roman"/>
                <w:i/>
                <w:iCs/>
                <w:color w:val="auto"/>
                <w:kern w:val="0"/>
                <w:sz w:val="24"/>
              </w:rPr>
              <w:t>Fraxinus chinensis</w:t>
            </w:r>
            <w:r>
              <w:rPr>
                <w:rFonts w:hint="eastAsia" w:ascii="宋体" w:hAnsi="宋体" w:eastAsia="宋体" w:cs="宋体"/>
                <w:color w:val="auto"/>
                <w:kern w:val="0"/>
                <w:sz w:val="24"/>
              </w:rPr>
              <w:t>）等。</w:t>
            </w:r>
          </w:p>
          <w:p>
            <w:pPr>
              <w:spacing w:line="360" w:lineRule="auto"/>
              <w:ind w:firstLine="480"/>
              <w:rPr>
                <w:rFonts w:ascii="宋体" w:hAnsi="宋体" w:eastAsia="宋体" w:cs="Times New Roman"/>
                <w:color w:val="auto"/>
                <w:sz w:val="24"/>
                <w:lang w:val="zh-CN"/>
              </w:rPr>
            </w:pPr>
            <w:r>
              <w:rPr>
                <w:rFonts w:ascii="宋体" w:hAnsi="宋体" w:eastAsia="宋体" w:cs="Times New Roman"/>
                <w:color w:val="auto"/>
                <w:sz w:val="24"/>
                <w:lang w:val="zh-CN"/>
              </w:rPr>
              <w:t>灌木层高1.5-2.0m，层盖度20-25%，主要种类仍有干热河谷常见种如余甘子(</w:t>
            </w:r>
            <w:r>
              <w:rPr>
                <w:rFonts w:ascii="宋体" w:hAnsi="宋体" w:eastAsia="宋体" w:cs="Times New Roman"/>
                <w:i/>
                <w:iCs/>
                <w:color w:val="auto"/>
                <w:sz w:val="24"/>
                <w:lang w:val="zh-CN"/>
              </w:rPr>
              <w:t>Phyllanthus emblica</w:t>
            </w:r>
            <w:r>
              <w:rPr>
                <w:rFonts w:ascii="宋体" w:hAnsi="宋体" w:eastAsia="宋体" w:cs="Times New Roman"/>
                <w:color w:val="auto"/>
                <w:sz w:val="24"/>
                <w:lang w:val="zh-CN"/>
              </w:rPr>
              <w:t>)，另有野漆(</w:t>
            </w:r>
            <w:r>
              <w:rPr>
                <w:rFonts w:ascii="宋体" w:hAnsi="宋体" w:eastAsia="宋体" w:cs="Times New Roman"/>
                <w:i/>
                <w:iCs/>
                <w:color w:val="auto"/>
                <w:sz w:val="24"/>
                <w:lang w:val="zh-CN"/>
              </w:rPr>
              <w:t>Toxicodendron succedaneum</w:t>
            </w:r>
            <w:r>
              <w:rPr>
                <w:rFonts w:ascii="宋体" w:hAnsi="宋体" w:eastAsia="宋体" w:cs="Times New Roman"/>
                <w:color w:val="auto"/>
                <w:sz w:val="24"/>
                <w:lang w:val="zh-CN"/>
              </w:rPr>
              <w:t>)、盐肤木(</w:t>
            </w:r>
            <w:r>
              <w:rPr>
                <w:rFonts w:ascii="宋体" w:hAnsi="宋体" w:eastAsia="宋体" w:cs="Times New Roman"/>
                <w:i/>
                <w:iCs/>
                <w:color w:val="auto"/>
                <w:sz w:val="24"/>
                <w:lang w:val="zh-CN"/>
              </w:rPr>
              <w:t>Rhus chinensis</w:t>
            </w:r>
            <w:r>
              <w:rPr>
                <w:rFonts w:ascii="宋体" w:hAnsi="宋体" w:eastAsia="宋体" w:cs="Times New Roman"/>
                <w:color w:val="auto"/>
                <w:sz w:val="24"/>
                <w:lang w:val="zh-CN"/>
              </w:rPr>
              <w:t>)、薄皮木(</w:t>
            </w:r>
            <w:r>
              <w:rPr>
                <w:rFonts w:ascii="宋体" w:hAnsi="宋体" w:eastAsia="宋体" w:cs="Times New Roman"/>
                <w:i/>
                <w:iCs/>
                <w:color w:val="auto"/>
                <w:sz w:val="24"/>
                <w:lang w:val="zh-CN"/>
              </w:rPr>
              <w:t>Leptodermis pilosa</w:t>
            </w:r>
            <w:r>
              <w:rPr>
                <w:rFonts w:ascii="宋体" w:hAnsi="宋体" w:eastAsia="宋体" w:cs="Times New Roman"/>
                <w:color w:val="auto"/>
                <w:sz w:val="24"/>
                <w:lang w:val="zh-CN"/>
              </w:rPr>
              <w:t>)等种。</w:t>
            </w:r>
          </w:p>
          <w:p>
            <w:pPr>
              <w:spacing w:line="360" w:lineRule="auto"/>
              <w:ind w:firstLine="480"/>
              <w:rPr>
                <w:rFonts w:ascii="宋体" w:hAnsi="宋体" w:eastAsia="宋体" w:cs="Times New Roman"/>
                <w:color w:val="auto"/>
                <w:sz w:val="24"/>
                <w:lang w:val="zh-CN"/>
              </w:rPr>
            </w:pPr>
            <w:r>
              <w:rPr>
                <w:rFonts w:ascii="宋体" w:hAnsi="宋体" w:eastAsia="宋体" w:cs="Times New Roman"/>
                <w:color w:val="auto"/>
                <w:sz w:val="24"/>
                <w:lang w:val="zh-CN"/>
              </w:rPr>
              <w:t>草本层高1m左右，层盖度</w:t>
            </w:r>
            <w:r>
              <w:rPr>
                <w:rFonts w:hint="eastAsia" w:ascii="宋体" w:hAnsi="宋体" w:eastAsia="宋体" w:cs="Times New Roman"/>
                <w:color w:val="auto"/>
                <w:sz w:val="24"/>
                <w:lang w:val="zh-CN"/>
              </w:rPr>
              <w:t>7</w:t>
            </w:r>
            <w:r>
              <w:rPr>
                <w:rFonts w:ascii="宋体" w:hAnsi="宋体" w:eastAsia="宋体" w:cs="Times New Roman"/>
                <w:color w:val="auto"/>
                <w:sz w:val="24"/>
                <w:lang w:val="zh-CN"/>
              </w:rPr>
              <w:t>0%以上，</w:t>
            </w:r>
            <w:r>
              <w:rPr>
                <w:rFonts w:hint="eastAsia" w:ascii="宋体" w:hAnsi="Times New Roman" w:eastAsia="宋体" w:cs="宋体"/>
                <w:color w:val="auto"/>
                <w:kern w:val="0"/>
                <w:sz w:val="24"/>
              </w:rPr>
              <w:t>黄茅（</w:t>
            </w:r>
            <w:r>
              <w:rPr>
                <w:rFonts w:ascii="Times New Roman" w:hAnsi="Times New Roman" w:eastAsia="宋体" w:cs="Times New Roman"/>
                <w:i/>
                <w:iCs/>
                <w:color w:val="auto"/>
                <w:kern w:val="0"/>
                <w:sz w:val="24"/>
              </w:rPr>
              <w:t>Heteropogoncontortus</w:t>
            </w:r>
            <w:r>
              <w:rPr>
                <w:rFonts w:hint="eastAsia" w:ascii="宋体" w:hAnsi="Times New Roman" w:eastAsia="宋体" w:cs="宋体"/>
                <w:color w:val="auto"/>
                <w:kern w:val="0"/>
                <w:sz w:val="24"/>
              </w:rPr>
              <w:t>）为主要层次</w:t>
            </w:r>
            <w:r>
              <w:rPr>
                <w:rFonts w:hint="eastAsia" w:ascii="宋体" w:hAnsi="宋体" w:eastAsia="宋体" w:cs="Times New Roman"/>
                <w:color w:val="auto"/>
                <w:sz w:val="24"/>
                <w:lang w:val="zh-CN"/>
              </w:rPr>
              <w:t>，其他</w:t>
            </w:r>
            <w:r>
              <w:rPr>
                <w:rFonts w:ascii="宋体" w:hAnsi="宋体" w:eastAsia="宋体" w:cs="Times New Roman"/>
                <w:color w:val="auto"/>
                <w:sz w:val="24"/>
                <w:lang w:val="zh-CN"/>
              </w:rPr>
              <w:t>种类有鬼针草(Bidens pilosa)、荩草(</w:t>
            </w:r>
            <w:r>
              <w:rPr>
                <w:rFonts w:ascii="宋体" w:hAnsi="宋体" w:eastAsia="宋体" w:cs="Times New Roman"/>
                <w:i/>
                <w:iCs/>
                <w:color w:val="auto"/>
                <w:sz w:val="24"/>
                <w:lang w:val="zh-CN"/>
              </w:rPr>
              <w:t>Arthraxon hispidus</w:t>
            </w:r>
            <w:r>
              <w:rPr>
                <w:rFonts w:ascii="宋体" w:hAnsi="宋体" w:eastAsia="宋体" w:cs="Times New Roman"/>
                <w:color w:val="auto"/>
                <w:sz w:val="24"/>
                <w:lang w:val="zh-CN"/>
              </w:rPr>
              <w:t>)、毛萼香茶菜(</w:t>
            </w:r>
            <w:r>
              <w:rPr>
                <w:rFonts w:ascii="宋体" w:hAnsi="宋体" w:eastAsia="宋体" w:cs="Times New Roman"/>
                <w:i/>
                <w:iCs/>
                <w:color w:val="auto"/>
                <w:sz w:val="24"/>
                <w:lang w:val="zh-CN"/>
              </w:rPr>
              <w:t>Rabdosia eriocalyx</w:t>
            </w:r>
            <w:r>
              <w:rPr>
                <w:rFonts w:ascii="宋体" w:hAnsi="宋体" w:eastAsia="宋体" w:cs="Times New Roman"/>
                <w:color w:val="auto"/>
                <w:sz w:val="24"/>
                <w:lang w:val="zh-CN"/>
              </w:rPr>
              <w:t>)等。</w:t>
            </w:r>
          </w:p>
          <w:p>
            <w:pPr>
              <w:spacing w:line="360" w:lineRule="auto"/>
              <w:ind w:firstLine="480"/>
              <w:rPr>
                <w:rFonts w:ascii="Times New Roman" w:hAnsi="Times New Roman" w:eastAsia="宋体" w:cs="Times New Roman"/>
                <w:b/>
                <w:color w:val="auto"/>
                <w:spacing w:val="-6"/>
                <w:kern w:val="0"/>
                <w:sz w:val="24"/>
              </w:rPr>
            </w:pPr>
            <w:r>
              <w:rPr>
                <w:rFonts w:ascii="Times New Roman" w:hAnsi="Times New Roman" w:eastAsia="宋体" w:cs="Times New Roman"/>
                <w:b/>
                <w:color w:val="auto"/>
                <w:spacing w:val="-6"/>
                <w:kern w:val="0"/>
                <w:sz w:val="24"/>
              </w:rPr>
              <w:t>②</w:t>
            </w:r>
            <w:r>
              <w:rPr>
                <w:rFonts w:hint="eastAsia" w:ascii="宋体" w:hAnsi="宋体" w:eastAsia="宋体" w:cs="宋体"/>
                <w:b/>
                <w:color w:val="auto"/>
                <w:sz w:val="24"/>
              </w:rPr>
              <w:t>合欢、余甘子、</w:t>
            </w:r>
            <w:r>
              <w:rPr>
                <w:rFonts w:hint="eastAsia" w:ascii="Times New Roman" w:hAnsi="Times New Roman" w:eastAsia="宋体" w:cs="Times New Roman"/>
                <w:b/>
                <w:color w:val="auto"/>
                <w:sz w:val="24"/>
                <w:lang w:val="zh-CN"/>
              </w:rPr>
              <w:t>车桑子、</w:t>
            </w:r>
            <w:r>
              <w:rPr>
                <w:rFonts w:ascii="宋体" w:hAnsi="宋体" w:eastAsia="宋体" w:cs="宋体"/>
                <w:b/>
                <w:color w:val="auto"/>
                <w:sz w:val="24"/>
              </w:rPr>
              <w:t>扭黄茅群落</w:t>
            </w:r>
          </w:p>
          <w:p>
            <w:pPr>
              <w:spacing w:line="360" w:lineRule="auto"/>
              <w:ind w:firstLine="480"/>
              <w:rPr>
                <w:rFonts w:ascii="Times New Roman" w:hAnsi="Times New Roman" w:eastAsia="宋体" w:cs="Times New Roman"/>
                <w:color w:val="auto"/>
                <w:sz w:val="24"/>
                <w:lang w:val="zh-CN"/>
              </w:rPr>
            </w:pPr>
            <w:r>
              <w:rPr>
                <w:rFonts w:hint="eastAsia" w:ascii="Times New Roman" w:hAnsi="Times New Roman" w:eastAsia="宋体" w:cs="Times New Roman"/>
                <w:color w:val="auto"/>
                <w:sz w:val="24"/>
                <w:lang w:val="zh-CN"/>
              </w:rPr>
              <w:t>合欢、余甘子、车桑子、扭黄茅群落</w:t>
            </w:r>
            <w:r>
              <w:rPr>
                <w:rFonts w:hint="eastAsia" w:ascii="Times New Roman" w:hAnsi="Times New Roman" w:eastAsia="宋体" w:cs="Times New Roman"/>
                <w:color w:val="auto"/>
                <w:sz w:val="24"/>
              </w:rPr>
              <w:t>在拟建项目评价区分布较广，</w:t>
            </w:r>
            <w:r>
              <w:rPr>
                <w:rFonts w:ascii="Times New Roman" w:hAnsi="Times New Roman" w:eastAsia="宋体" w:cs="Times New Roman"/>
                <w:color w:val="auto"/>
                <w:sz w:val="24"/>
                <w:lang w:val="zh-CN"/>
              </w:rPr>
              <w:t>是评价区内的主要植被景观类型，以</w:t>
            </w:r>
            <w:r>
              <w:rPr>
                <w:rFonts w:hint="eastAsia" w:ascii="Times New Roman" w:hAnsi="Times New Roman" w:eastAsia="宋体" w:cs="Times New Roman"/>
                <w:color w:val="auto"/>
                <w:sz w:val="24"/>
                <w:lang w:val="zh-CN"/>
              </w:rPr>
              <w:t>合欢、余甘子、车桑子</w:t>
            </w:r>
            <w:r>
              <w:rPr>
                <w:rFonts w:hint="eastAsia" w:ascii="Times New Roman" w:hAnsi="Times New Roman" w:eastAsia="宋体" w:cs="Times New Roman"/>
                <w:color w:val="auto"/>
                <w:sz w:val="24"/>
              </w:rPr>
              <w:t>和</w:t>
            </w:r>
            <w:r>
              <w:rPr>
                <w:rFonts w:hint="eastAsia" w:ascii="Times New Roman" w:hAnsi="Times New Roman" w:eastAsia="宋体" w:cs="Times New Roman"/>
                <w:color w:val="auto"/>
                <w:sz w:val="24"/>
                <w:lang w:val="zh-CN"/>
              </w:rPr>
              <w:t>扭黄茅</w:t>
            </w:r>
            <w:r>
              <w:rPr>
                <w:rFonts w:ascii="Times New Roman" w:hAnsi="Times New Roman" w:eastAsia="宋体" w:cs="Times New Roman"/>
                <w:color w:val="auto"/>
                <w:sz w:val="24"/>
                <w:lang w:val="zh-CN"/>
              </w:rPr>
              <w:t>为特征种。评价区内的干热稀树灌木草丛部分有明显的稀树层，个别地段残留有</w:t>
            </w:r>
            <w:r>
              <w:rPr>
                <w:rFonts w:hint="eastAsia" w:ascii="Times New Roman" w:hAnsi="Times New Roman" w:eastAsia="宋体" w:cs="Times New Roman"/>
                <w:color w:val="auto"/>
                <w:sz w:val="24"/>
                <w:lang w:val="zh-CN"/>
              </w:rPr>
              <w:t>锥连栎</w:t>
            </w:r>
            <w:r>
              <w:rPr>
                <w:rFonts w:ascii="Times New Roman" w:hAnsi="Times New Roman" w:eastAsia="宋体" w:cs="Times New Roman"/>
                <w:iCs/>
                <w:color w:val="auto"/>
                <w:sz w:val="24"/>
                <w:lang w:val="pt-BR"/>
              </w:rPr>
              <w:t>、</w:t>
            </w:r>
            <w:r>
              <w:rPr>
                <w:rFonts w:hint="eastAsia" w:ascii="Times New Roman" w:hAnsi="Times New Roman" w:eastAsia="宋体" w:cs="Times New Roman"/>
                <w:iCs/>
                <w:color w:val="auto"/>
                <w:sz w:val="24"/>
                <w:lang w:val="pt-BR"/>
              </w:rPr>
              <w:t>厚叶栒子、</w:t>
            </w:r>
            <w:r>
              <w:rPr>
                <w:rFonts w:ascii="Times New Roman" w:hAnsi="Times New Roman" w:eastAsia="宋体" w:cs="Times New Roman"/>
                <w:iCs/>
                <w:color w:val="auto"/>
                <w:sz w:val="24"/>
                <w:lang w:val="pt-BR"/>
              </w:rPr>
              <w:t>清香木</w:t>
            </w:r>
            <w:r>
              <w:rPr>
                <w:rFonts w:hint="eastAsia" w:ascii="Times New Roman" w:hAnsi="Times New Roman" w:eastAsia="宋体" w:cs="Times New Roman"/>
                <w:iCs/>
                <w:color w:val="auto"/>
                <w:sz w:val="24"/>
                <w:lang w:val="pt-BR"/>
              </w:rPr>
              <w:t>、</w:t>
            </w:r>
            <w:r>
              <w:rPr>
                <w:rFonts w:hint="eastAsia" w:ascii="Times New Roman" w:hAnsi="Times New Roman" w:eastAsia="宋体" w:cs="Times New Roman"/>
                <w:iCs/>
                <w:color w:val="auto"/>
                <w:sz w:val="24"/>
              </w:rPr>
              <w:t>桉树、龙舌兰</w:t>
            </w:r>
            <w:r>
              <w:rPr>
                <w:rFonts w:ascii="Times New Roman" w:hAnsi="Times New Roman" w:eastAsia="宋体" w:cs="Times New Roman"/>
                <w:iCs/>
                <w:color w:val="auto"/>
                <w:sz w:val="24"/>
                <w:lang w:val="pt-BR"/>
              </w:rPr>
              <w:t>等</w:t>
            </w:r>
            <w:r>
              <w:rPr>
                <w:rFonts w:ascii="Times New Roman" w:hAnsi="Times New Roman" w:eastAsia="宋体" w:cs="Times New Roman"/>
                <w:color w:val="auto"/>
                <w:sz w:val="24"/>
                <w:lang w:val="fr-FR"/>
              </w:rPr>
              <w:t>树种</w:t>
            </w:r>
            <w:r>
              <w:rPr>
                <w:rFonts w:hint="eastAsia" w:ascii="Times New Roman" w:hAnsi="Times New Roman" w:eastAsia="宋体" w:cs="Times New Roman"/>
                <w:color w:val="auto"/>
                <w:sz w:val="24"/>
              </w:rPr>
              <w:t>分布</w:t>
            </w:r>
            <w:r>
              <w:rPr>
                <w:rFonts w:ascii="Times New Roman" w:hAnsi="Times New Roman" w:eastAsia="宋体" w:cs="Times New Roman"/>
                <w:color w:val="auto"/>
                <w:sz w:val="24"/>
                <w:lang w:val="fr-FR"/>
              </w:rPr>
              <w:t>。</w:t>
            </w:r>
            <w:r>
              <w:rPr>
                <w:rFonts w:ascii="Times New Roman" w:hAnsi="Times New Roman" w:eastAsia="宋体" w:cs="Times New Roman"/>
                <w:color w:val="auto"/>
                <w:sz w:val="24"/>
                <w:lang w:val="zh-CN"/>
              </w:rPr>
              <w:t>群落主要分布在</w:t>
            </w:r>
            <w:r>
              <w:rPr>
                <w:rFonts w:hint="eastAsia" w:ascii="Times New Roman" w:hAnsi="Times New Roman" w:eastAsia="宋体" w:cs="Times New Roman"/>
                <w:color w:val="auto"/>
                <w:sz w:val="24"/>
              </w:rPr>
              <w:t>评价</w:t>
            </w:r>
            <w:r>
              <w:rPr>
                <w:rFonts w:hint="eastAsia" w:ascii="Times New Roman" w:hAnsi="Times New Roman" w:eastAsia="宋体" w:cs="Times New Roman"/>
                <w:color w:val="auto"/>
                <w:sz w:val="24"/>
                <w:lang w:val="zh-CN"/>
              </w:rPr>
              <w:t>区</w:t>
            </w:r>
            <w:r>
              <w:rPr>
                <w:rFonts w:ascii="Times New Roman" w:hAnsi="Times New Roman" w:eastAsia="宋体" w:cs="Times New Roman"/>
                <w:color w:val="auto"/>
                <w:sz w:val="24"/>
                <w:lang w:val="zh-CN"/>
              </w:rPr>
              <w:t>海拔1</w:t>
            </w:r>
            <w:r>
              <w:rPr>
                <w:rFonts w:hint="eastAsia" w:ascii="Times New Roman" w:hAnsi="Times New Roman" w:eastAsia="宋体" w:cs="Times New Roman"/>
                <w:color w:val="auto"/>
                <w:sz w:val="24"/>
                <w:lang w:val="zh-CN"/>
              </w:rPr>
              <w:t>5</w:t>
            </w:r>
            <w:r>
              <w:rPr>
                <w:rFonts w:ascii="Times New Roman" w:hAnsi="Times New Roman" w:eastAsia="宋体" w:cs="Times New Roman"/>
                <w:color w:val="auto"/>
                <w:sz w:val="24"/>
                <w:lang w:val="zh-CN"/>
              </w:rPr>
              <w:t>00m以下</w:t>
            </w:r>
            <w:r>
              <w:rPr>
                <w:rFonts w:hint="eastAsia" w:ascii="Times New Roman" w:hAnsi="Times New Roman" w:eastAsia="宋体" w:cs="Times New Roman"/>
                <w:color w:val="auto"/>
                <w:sz w:val="24"/>
              </w:rPr>
              <w:t>的</w:t>
            </w:r>
            <w:r>
              <w:rPr>
                <w:rFonts w:ascii="Times New Roman" w:hAnsi="Times New Roman" w:eastAsia="宋体" w:cs="Times New Roman"/>
                <w:color w:val="auto"/>
                <w:sz w:val="24"/>
                <w:lang w:val="zh-CN"/>
              </w:rPr>
              <w:t>坡地上，呈荒草坡状。群落高1.5m左右，群落总盖度95%左右，以草本层为优势层。</w:t>
            </w:r>
          </w:p>
          <w:p>
            <w:pPr>
              <w:spacing w:line="360" w:lineRule="auto"/>
              <w:ind w:firstLine="480"/>
              <w:rPr>
                <w:rFonts w:ascii="宋体" w:hAnsi="宋体" w:eastAsia="宋体" w:cs="Times New Roman"/>
                <w:color w:val="auto"/>
                <w:sz w:val="24"/>
              </w:rPr>
            </w:pPr>
            <w:r>
              <w:rPr>
                <w:rFonts w:ascii="Times New Roman" w:hAnsi="Times New Roman" w:eastAsia="宋体" w:cs="Times New Roman"/>
                <w:color w:val="auto"/>
                <w:sz w:val="24"/>
              </w:rPr>
              <w:t>灌木层高度不超过5m，盖度5%~8%</w:t>
            </w:r>
            <w:r>
              <w:rPr>
                <w:rFonts w:ascii="Times New Roman" w:hAnsi="Times New Roman" w:eastAsia="宋体" w:cs="Times New Roman"/>
                <w:iCs/>
                <w:color w:val="auto"/>
                <w:kern w:val="0"/>
                <w:sz w:val="24"/>
              </w:rPr>
              <w:t>；以合欢</w:t>
            </w:r>
            <w:r>
              <w:rPr>
                <w:rFonts w:ascii="Times New Roman" w:hAnsi="Times New Roman" w:eastAsia="宋体" w:cs="Times New Roman"/>
                <w:i/>
                <w:iCs/>
                <w:color w:val="auto"/>
                <w:kern w:val="0"/>
                <w:sz w:val="24"/>
              </w:rPr>
              <w:t>Albizia julibrissin、</w:t>
            </w:r>
            <w:r>
              <w:rPr>
                <w:rFonts w:ascii="Times New Roman" w:hAnsi="Times New Roman" w:eastAsia="宋体" w:cs="Times New Roman"/>
                <w:iCs/>
                <w:color w:val="auto"/>
                <w:kern w:val="0"/>
                <w:sz w:val="24"/>
              </w:rPr>
              <w:t>余甘子</w:t>
            </w:r>
            <w:r>
              <w:rPr>
                <w:rFonts w:ascii="Times New Roman" w:hAnsi="Times New Roman" w:eastAsia="宋体" w:cs="Times New Roman"/>
                <w:i/>
                <w:color w:val="auto"/>
                <w:kern w:val="0"/>
                <w:sz w:val="24"/>
              </w:rPr>
              <w:t>Phyllanthus emblica、</w:t>
            </w:r>
            <w:r>
              <w:rPr>
                <w:rFonts w:ascii="Times New Roman" w:hAnsi="Times New Roman" w:eastAsia="宋体" w:cs="Times New Roman"/>
                <w:color w:val="auto"/>
                <w:kern w:val="0"/>
                <w:sz w:val="24"/>
              </w:rPr>
              <w:t>车桑子</w:t>
            </w:r>
            <w:r>
              <w:rPr>
                <w:rFonts w:ascii="Times New Roman" w:hAnsi="Times New Roman" w:eastAsia="宋体" w:cs="Times New Roman"/>
                <w:i/>
                <w:iCs/>
                <w:color w:val="auto"/>
                <w:kern w:val="0"/>
                <w:sz w:val="24"/>
              </w:rPr>
              <w:t>Dodonaea viscosa</w:t>
            </w:r>
            <w:r>
              <w:rPr>
                <w:rFonts w:ascii="Times New Roman" w:hAnsi="Times New Roman" w:eastAsia="宋体" w:cs="Times New Roman"/>
                <w:color w:val="auto"/>
                <w:kern w:val="0"/>
                <w:sz w:val="24"/>
              </w:rPr>
              <w:t>为突出优势，其他零星分布薄叶鼠李</w:t>
            </w:r>
            <w:r>
              <w:rPr>
                <w:rFonts w:ascii="Times New Roman" w:hAnsi="Times New Roman" w:eastAsia="宋体" w:cs="Times New Roman"/>
                <w:i/>
                <w:iCs/>
                <w:color w:val="auto"/>
                <w:kern w:val="0"/>
                <w:sz w:val="24"/>
              </w:rPr>
              <w:t>Rhamnus leptophylla、</w:t>
            </w:r>
            <w:r>
              <w:rPr>
                <w:rFonts w:ascii="Times New Roman" w:hAnsi="Times New Roman" w:eastAsia="宋体" w:cs="Times New Roman"/>
                <w:color w:val="auto"/>
                <w:kern w:val="0"/>
                <w:sz w:val="24"/>
              </w:rPr>
              <w:t>地果</w:t>
            </w:r>
            <w:r>
              <w:rPr>
                <w:rFonts w:ascii="Times New Roman" w:hAnsi="Times New Roman" w:eastAsia="宋体" w:cs="Times New Roman"/>
                <w:i/>
                <w:iCs/>
                <w:color w:val="auto"/>
                <w:kern w:val="0"/>
                <w:sz w:val="24"/>
              </w:rPr>
              <w:t>Ficus tikoua、</w:t>
            </w:r>
            <w:r>
              <w:rPr>
                <w:rFonts w:ascii="Times New Roman" w:hAnsi="Times New Roman" w:eastAsia="宋体" w:cs="Times New Roman"/>
                <w:color w:val="auto"/>
                <w:kern w:val="0"/>
                <w:sz w:val="24"/>
              </w:rPr>
              <w:t>密蒙花</w:t>
            </w:r>
            <w:r>
              <w:rPr>
                <w:rFonts w:ascii="Times New Roman" w:hAnsi="Times New Roman" w:eastAsia="宋体" w:cs="Times New Roman"/>
                <w:i/>
                <w:iCs/>
                <w:color w:val="auto"/>
                <w:kern w:val="0"/>
                <w:sz w:val="24"/>
              </w:rPr>
              <w:t>Buddleja myriantha、</w:t>
            </w:r>
            <w:r>
              <w:rPr>
                <w:rFonts w:ascii="Times New Roman" w:hAnsi="Times New Roman" w:eastAsia="宋体" w:cs="Times New Roman"/>
                <w:color w:val="auto"/>
                <w:kern w:val="0"/>
                <w:sz w:val="24"/>
              </w:rPr>
              <w:t>华西小石积</w:t>
            </w:r>
            <w:r>
              <w:rPr>
                <w:rFonts w:ascii="Times New Roman" w:hAnsi="Times New Roman" w:eastAsia="宋体" w:cs="Times New Roman"/>
                <w:i/>
                <w:iCs/>
                <w:color w:val="auto"/>
                <w:kern w:val="0"/>
                <w:sz w:val="24"/>
              </w:rPr>
              <w:t>Osteomeles schwerinae、</w:t>
            </w:r>
            <w:r>
              <w:rPr>
                <w:rFonts w:ascii="Times New Roman" w:hAnsi="Times New Roman" w:eastAsia="宋体" w:cs="Times New Roman"/>
                <w:color w:val="auto"/>
                <w:kern w:val="0"/>
                <w:sz w:val="24"/>
              </w:rPr>
              <w:t>黄花稔</w:t>
            </w:r>
            <w:r>
              <w:rPr>
                <w:rFonts w:ascii="Times New Roman" w:hAnsi="Times New Roman" w:eastAsia="宋体" w:cs="Times New Roman"/>
                <w:i/>
                <w:iCs/>
                <w:color w:val="auto"/>
                <w:kern w:val="0"/>
                <w:sz w:val="24"/>
              </w:rPr>
              <w:t>Sida acuta、</w:t>
            </w:r>
            <w:r>
              <w:rPr>
                <w:rFonts w:ascii="Times New Roman" w:hAnsi="Times New Roman" w:eastAsia="宋体" w:cs="Times New Roman"/>
                <w:iCs/>
                <w:color w:val="auto"/>
                <w:kern w:val="0"/>
                <w:sz w:val="24"/>
              </w:rPr>
              <w:t>小叶女贞</w:t>
            </w:r>
            <w:r>
              <w:rPr>
                <w:rFonts w:ascii="Times New Roman" w:hAnsi="Times New Roman" w:eastAsia="宋体" w:cs="Times New Roman"/>
                <w:i/>
                <w:iCs/>
                <w:color w:val="auto"/>
                <w:kern w:val="0"/>
                <w:sz w:val="24"/>
              </w:rPr>
              <w:t>Ligustrum quihoui、</w:t>
            </w:r>
            <w:r>
              <w:rPr>
                <w:rFonts w:ascii="Times New Roman" w:hAnsi="Times New Roman" w:eastAsia="宋体" w:cs="Times New Roman"/>
                <w:iCs/>
                <w:color w:val="auto"/>
                <w:kern w:val="0"/>
                <w:sz w:val="24"/>
              </w:rPr>
              <w:t>大叶千金拔</w:t>
            </w:r>
            <w:r>
              <w:rPr>
                <w:rFonts w:ascii="Times New Roman" w:hAnsi="Times New Roman" w:eastAsia="宋体" w:cs="Times New Roman"/>
                <w:i/>
                <w:color w:val="auto"/>
                <w:kern w:val="0"/>
                <w:sz w:val="24"/>
              </w:rPr>
              <w:t>Flemingia macrophylla</w:t>
            </w:r>
            <w:r>
              <w:rPr>
                <w:rFonts w:ascii="Times New Roman" w:hAnsi="Times New Roman" w:eastAsia="宋体" w:cs="Times New Roman"/>
                <w:color w:val="auto"/>
                <w:kern w:val="0"/>
                <w:sz w:val="24"/>
              </w:rPr>
              <w:t>、小叶干花豆</w:t>
            </w:r>
            <w:r>
              <w:rPr>
                <w:rFonts w:ascii="Times New Roman" w:hAnsi="Times New Roman" w:eastAsia="宋体" w:cs="Times New Roman"/>
                <w:i/>
                <w:color w:val="auto"/>
                <w:kern w:val="0"/>
                <w:sz w:val="24"/>
              </w:rPr>
              <w:t>Fordia microphylla、</w:t>
            </w:r>
            <w:r>
              <w:rPr>
                <w:rFonts w:ascii="Times New Roman" w:hAnsi="Times New Roman" w:eastAsia="宋体" w:cs="Times New Roman"/>
                <w:iCs/>
                <w:color w:val="auto"/>
                <w:kern w:val="0"/>
                <w:sz w:val="24"/>
              </w:rPr>
              <w:t>毛叶柿</w:t>
            </w:r>
            <w:r>
              <w:rPr>
                <w:rFonts w:ascii="Times New Roman" w:hAnsi="Times New Roman" w:eastAsia="宋体" w:cs="Times New Roman"/>
                <w:i/>
                <w:color w:val="auto"/>
                <w:kern w:val="0"/>
                <w:sz w:val="24"/>
              </w:rPr>
              <w:t>Diospyros mollifolia</w:t>
            </w:r>
            <w:r>
              <w:rPr>
                <w:rFonts w:ascii="Times New Roman" w:hAnsi="Times New Roman" w:eastAsia="宋体" w:cs="Times New Roman"/>
                <w:i/>
                <w:iCs/>
                <w:color w:val="auto"/>
                <w:kern w:val="0"/>
                <w:sz w:val="24"/>
              </w:rPr>
              <w:t>、</w:t>
            </w:r>
            <w:r>
              <w:rPr>
                <w:rFonts w:ascii="Times New Roman" w:hAnsi="Times New Roman" w:eastAsia="宋体" w:cs="Times New Roman"/>
                <w:color w:val="auto"/>
                <w:kern w:val="0"/>
                <w:sz w:val="24"/>
              </w:rPr>
              <w:t>假地豆</w:t>
            </w:r>
            <w:r>
              <w:rPr>
                <w:rFonts w:ascii="Times New Roman" w:hAnsi="Times New Roman" w:eastAsia="宋体" w:cs="Times New Roman"/>
                <w:i/>
                <w:iCs/>
                <w:color w:val="auto"/>
                <w:kern w:val="0"/>
                <w:sz w:val="24"/>
              </w:rPr>
              <w:t>Desmodium heterocarpon、</w:t>
            </w:r>
            <w:r>
              <w:rPr>
                <w:rFonts w:ascii="Times New Roman" w:hAnsi="Times New Roman" w:eastAsia="宋体" w:cs="Times New Roman"/>
                <w:color w:val="auto"/>
                <w:kern w:val="0"/>
                <w:sz w:val="24"/>
              </w:rPr>
              <w:t>茸毛木蓝</w:t>
            </w:r>
            <w:r>
              <w:rPr>
                <w:rFonts w:ascii="Times New Roman" w:hAnsi="Times New Roman" w:eastAsia="宋体" w:cs="Times New Roman"/>
                <w:i/>
                <w:iCs/>
                <w:color w:val="auto"/>
                <w:kern w:val="0"/>
                <w:sz w:val="24"/>
              </w:rPr>
              <w:t>Indigofera stachyodes、</w:t>
            </w:r>
            <w:r>
              <w:rPr>
                <w:rFonts w:ascii="Times New Roman" w:hAnsi="Times New Roman" w:eastAsia="宋体" w:cs="Times New Roman"/>
                <w:color w:val="auto"/>
                <w:kern w:val="0"/>
                <w:sz w:val="24"/>
              </w:rPr>
              <w:t>羽叶山黄麻</w:t>
            </w:r>
            <w:r>
              <w:rPr>
                <w:rFonts w:ascii="Times New Roman" w:hAnsi="Times New Roman" w:eastAsia="宋体" w:cs="Times New Roman"/>
                <w:i/>
                <w:color w:val="auto"/>
                <w:kern w:val="0"/>
                <w:sz w:val="24"/>
              </w:rPr>
              <w:t>Trema laevigata</w:t>
            </w:r>
            <w:r>
              <w:rPr>
                <w:rFonts w:ascii="Times New Roman" w:hAnsi="Times New Roman" w:eastAsia="宋体" w:cs="Times New Roman"/>
                <w:color w:val="auto"/>
                <w:kern w:val="0"/>
                <w:sz w:val="24"/>
              </w:rPr>
              <w:t>、蛇婆子</w:t>
            </w:r>
            <w:r>
              <w:rPr>
                <w:rFonts w:ascii="Times New Roman" w:hAnsi="Times New Roman" w:eastAsia="宋体" w:cs="Times New Roman"/>
                <w:i/>
                <w:iCs/>
                <w:color w:val="auto"/>
                <w:kern w:val="0"/>
                <w:sz w:val="24"/>
              </w:rPr>
              <w:t>Waltheria americana、蓖麻</w:t>
            </w:r>
            <w:r>
              <w:rPr>
                <w:rFonts w:ascii="Times New Roman" w:hAnsi="Times New Roman" w:eastAsia="宋体" w:cs="Times New Roman"/>
                <w:i/>
                <w:color w:val="auto"/>
                <w:kern w:val="0"/>
                <w:sz w:val="24"/>
              </w:rPr>
              <w:t>Ricinus communis</w:t>
            </w:r>
            <w:r>
              <w:rPr>
                <w:rFonts w:ascii="Times New Roman" w:hAnsi="Times New Roman" w:eastAsia="宋体" w:cs="Times New Roman"/>
                <w:iCs/>
                <w:color w:val="auto"/>
                <w:kern w:val="0"/>
                <w:sz w:val="24"/>
              </w:rPr>
              <w:t>等</w:t>
            </w:r>
            <w:r>
              <w:rPr>
                <w:rFonts w:ascii="宋体" w:hAnsi="宋体" w:eastAsia="宋体" w:cs="Times New Roman"/>
                <w:color w:val="auto"/>
                <w:sz w:val="24"/>
              </w:rPr>
              <w:t>。</w:t>
            </w:r>
          </w:p>
          <w:p>
            <w:pPr>
              <w:spacing w:line="360" w:lineRule="auto"/>
              <w:ind w:firstLine="480"/>
              <w:rPr>
                <w:rFonts w:ascii="Times New Roman" w:hAnsi="Times New Roman" w:eastAsia="宋体" w:cs="Times New Roman"/>
                <w:color w:val="auto"/>
                <w:sz w:val="24"/>
                <w:lang w:val="zh-CN"/>
              </w:rPr>
            </w:pPr>
            <w:r>
              <w:rPr>
                <w:rFonts w:ascii="Times New Roman" w:hAnsi="Times New Roman" w:eastAsia="宋体" w:cs="Times New Roman"/>
                <w:color w:val="auto"/>
                <w:kern w:val="0"/>
                <w:szCs w:val="21"/>
              </w:rPr>
              <w:t>草本层盖度大，达到60%</w:t>
            </w:r>
            <w:r>
              <w:rPr>
                <w:rFonts w:ascii="Times New Roman" w:hAnsi="Times New Roman" w:eastAsia="宋体" w:cs="Times New Roman"/>
                <w:color w:val="auto"/>
                <w:szCs w:val="21"/>
              </w:rPr>
              <w:t>~90%</w:t>
            </w:r>
            <w:r>
              <w:rPr>
                <w:rFonts w:ascii="Times New Roman" w:hAnsi="Times New Roman" w:eastAsia="宋体" w:cs="Times New Roman"/>
                <w:color w:val="auto"/>
                <w:kern w:val="0"/>
                <w:szCs w:val="21"/>
              </w:rPr>
              <w:t>，高0.1</w:t>
            </w:r>
            <w:r>
              <w:rPr>
                <w:rFonts w:ascii="Times New Roman" w:hAnsi="Times New Roman" w:eastAsia="宋体" w:cs="Times New Roman"/>
                <w:color w:val="auto"/>
                <w:szCs w:val="21"/>
              </w:rPr>
              <w:t>~1.5m</w:t>
            </w:r>
            <w:r>
              <w:rPr>
                <w:rFonts w:ascii="Times New Roman" w:hAnsi="Times New Roman" w:eastAsia="宋体" w:cs="Times New Roman"/>
                <w:color w:val="auto"/>
                <w:kern w:val="0"/>
                <w:szCs w:val="21"/>
              </w:rPr>
              <w:t>，以扭黄茅</w:t>
            </w:r>
            <w:r>
              <w:rPr>
                <w:rFonts w:ascii="Times New Roman" w:hAnsi="Times New Roman" w:eastAsia="宋体" w:cs="Times New Roman"/>
                <w:i/>
                <w:color w:val="auto"/>
                <w:kern w:val="0"/>
                <w:szCs w:val="21"/>
              </w:rPr>
              <w:t>Heteropogon contortus</w:t>
            </w:r>
            <w:r>
              <w:rPr>
                <w:rFonts w:ascii="Times New Roman" w:hAnsi="Times New Roman" w:eastAsia="宋体" w:cs="Times New Roman"/>
                <w:color w:val="auto"/>
                <w:kern w:val="0"/>
                <w:szCs w:val="21"/>
              </w:rPr>
              <w:t>为优势</w:t>
            </w:r>
            <w:r>
              <w:rPr>
                <w:rFonts w:ascii="Times New Roman" w:hAnsi="Times New Roman" w:eastAsia="宋体" w:cs="Times New Roman"/>
                <w:i/>
                <w:color w:val="auto"/>
                <w:kern w:val="0"/>
                <w:szCs w:val="21"/>
              </w:rPr>
              <w:t>，</w:t>
            </w:r>
            <w:r>
              <w:rPr>
                <w:rFonts w:ascii="Times New Roman" w:hAnsi="Times New Roman" w:eastAsia="宋体" w:cs="Times New Roman"/>
                <w:color w:val="auto"/>
                <w:kern w:val="0"/>
                <w:szCs w:val="21"/>
              </w:rPr>
              <w:t>其单种盖度可达70%</w:t>
            </w:r>
            <w:r>
              <w:rPr>
                <w:rFonts w:ascii="Times New Roman" w:hAnsi="Times New Roman" w:eastAsia="宋体" w:cs="Times New Roman"/>
                <w:i/>
                <w:color w:val="auto"/>
                <w:kern w:val="0"/>
                <w:szCs w:val="21"/>
              </w:rPr>
              <w:t>。</w:t>
            </w:r>
            <w:r>
              <w:rPr>
                <w:rFonts w:ascii="Times New Roman" w:hAnsi="Times New Roman" w:eastAsia="宋体" w:cs="Times New Roman"/>
                <w:iCs/>
                <w:color w:val="auto"/>
                <w:kern w:val="0"/>
                <w:szCs w:val="21"/>
              </w:rPr>
              <w:t>其他还有</w:t>
            </w:r>
            <w:r>
              <w:rPr>
                <w:rFonts w:ascii="Times New Roman" w:hAnsi="Times New Roman" w:eastAsia="宋体" w:cs="Times New Roman"/>
                <w:color w:val="auto"/>
                <w:kern w:val="0"/>
                <w:szCs w:val="21"/>
              </w:rPr>
              <w:t>钟萼草</w:t>
            </w:r>
            <w:r>
              <w:rPr>
                <w:rFonts w:ascii="Times New Roman" w:hAnsi="Times New Roman" w:eastAsia="宋体" w:cs="Times New Roman"/>
                <w:i/>
                <w:color w:val="auto"/>
                <w:kern w:val="0"/>
                <w:szCs w:val="21"/>
              </w:rPr>
              <w:t>Lindenbergia philippensis</w:t>
            </w:r>
            <w:r>
              <w:rPr>
                <w:rFonts w:ascii="Times New Roman" w:hAnsi="Times New Roman" w:eastAsia="宋体" w:cs="Times New Roman"/>
                <w:color w:val="auto"/>
                <w:kern w:val="0"/>
                <w:szCs w:val="21"/>
              </w:rPr>
              <w:t>、黄背草</w:t>
            </w:r>
            <w:r>
              <w:rPr>
                <w:rFonts w:ascii="Times New Roman" w:hAnsi="Times New Roman" w:eastAsia="宋体" w:cs="Times New Roman"/>
                <w:i/>
                <w:color w:val="auto"/>
                <w:kern w:val="0"/>
                <w:szCs w:val="21"/>
              </w:rPr>
              <w:t>Themeda triandra</w:t>
            </w:r>
            <w:r>
              <w:rPr>
                <w:rFonts w:ascii="Times New Roman" w:hAnsi="Times New Roman" w:eastAsia="宋体" w:cs="Times New Roman"/>
                <w:color w:val="auto"/>
                <w:kern w:val="0"/>
                <w:szCs w:val="21"/>
              </w:rPr>
              <w:t>、羊胡子草</w:t>
            </w:r>
            <w:r>
              <w:rPr>
                <w:rFonts w:ascii="Times New Roman" w:hAnsi="Times New Roman" w:eastAsia="宋体" w:cs="Times New Roman"/>
                <w:i/>
                <w:color w:val="auto"/>
                <w:kern w:val="0"/>
                <w:szCs w:val="21"/>
              </w:rPr>
              <w:t>Eriophorum comosum</w:t>
            </w:r>
            <w:r>
              <w:rPr>
                <w:rFonts w:ascii="Times New Roman" w:hAnsi="Times New Roman" w:eastAsia="宋体" w:cs="Times New Roman"/>
                <w:color w:val="auto"/>
                <w:kern w:val="0"/>
                <w:szCs w:val="21"/>
              </w:rPr>
              <w:t>、白茅</w:t>
            </w:r>
            <w:r>
              <w:rPr>
                <w:rFonts w:ascii="Times New Roman" w:hAnsi="Times New Roman" w:eastAsia="宋体" w:cs="Times New Roman"/>
                <w:i/>
                <w:color w:val="auto"/>
                <w:kern w:val="0"/>
                <w:szCs w:val="21"/>
              </w:rPr>
              <w:t>Imperata cylindrica</w:t>
            </w:r>
            <w:r>
              <w:rPr>
                <w:rFonts w:ascii="Times New Roman" w:hAnsi="Times New Roman" w:eastAsia="宋体" w:cs="Times New Roman"/>
                <w:color w:val="auto"/>
                <w:kern w:val="0"/>
                <w:szCs w:val="21"/>
              </w:rPr>
              <w:t>、白叶蒿</w:t>
            </w:r>
            <w:r>
              <w:rPr>
                <w:rFonts w:ascii="Times New Roman" w:hAnsi="Times New Roman" w:eastAsia="宋体" w:cs="Times New Roman"/>
                <w:i/>
                <w:iCs/>
                <w:color w:val="auto"/>
                <w:kern w:val="0"/>
                <w:szCs w:val="21"/>
              </w:rPr>
              <w:t>Artemisia leucophylla、</w:t>
            </w:r>
            <w:r>
              <w:rPr>
                <w:rFonts w:ascii="Times New Roman" w:hAnsi="Times New Roman" w:eastAsia="宋体" w:cs="Times New Roman"/>
                <w:color w:val="auto"/>
                <w:kern w:val="0"/>
                <w:szCs w:val="21"/>
              </w:rPr>
              <w:t>百日菊</w:t>
            </w:r>
            <w:r>
              <w:rPr>
                <w:rFonts w:ascii="Times New Roman" w:hAnsi="Times New Roman" w:eastAsia="宋体" w:cs="Times New Roman"/>
                <w:i/>
                <w:iCs/>
                <w:color w:val="auto"/>
                <w:kern w:val="0"/>
                <w:szCs w:val="21"/>
              </w:rPr>
              <w:t>Zinnia elegans、</w:t>
            </w:r>
            <w:r>
              <w:rPr>
                <w:rFonts w:ascii="Times New Roman" w:hAnsi="Times New Roman" w:eastAsia="宋体" w:cs="Times New Roman"/>
                <w:color w:val="auto"/>
                <w:kern w:val="0"/>
                <w:szCs w:val="21"/>
              </w:rPr>
              <w:t>臭灵丹</w:t>
            </w:r>
            <w:r>
              <w:rPr>
                <w:rFonts w:ascii="Times New Roman" w:hAnsi="Times New Roman" w:eastAsia="宋体" w:cs="Times New Roman"/>
                <w:i/>
                <w:iCs/>
                <w:color w:val="auto"/>
                <w:kern w:val="0"/>
                <w:szCs w:val="21"/>
              </w:rPr>
              <w:t>Laggera pterodonta、</w:t>
            </w:r>
            <w:r>
              <w:rPr>
                <w:rFonts w:ascii="Times New Roman" w:hAnsi="Times New Roman" w:eastAsia="宋体" w:cs="Times New Roman"/>
                <w:color w:val="auto"/>
                <w:kern w:val="0"/>
                <w:szCs w:val="21"/>
              </w:rPr>
              <w:t>刺苞果</w:t>
            </w:r>
            <w:r>
              <w:rPr>
                <w:rFonts w:ascii="Times New Roman" w:hAnsi="Times New Roman" w:eastAsia="宋体" w:cs="Times New Roman"/>
                <w:i/>
                <w:iCs/>
                <w:color w:val="auto"/>
                <w:kern w:val="0"/>
                <w:szCs w:val="21"/>
              </w:rPr>
              <w:t>Acanthospermum australe、</w:t>
            </w:r>
            <w:r>
              <w:rPr>
                <w:rFonts w:ascii="Times New Roman" w:hAnsi="Times New Roman" w:eastAsia="宋体" w:cs="Times New Roman"/>
                <w:color w:val="auto"/>
                <w:kern w:val="0"/>
                <w:szCs w:val="21"/>
              </w:rPr>
              <w:t>耳草</w:t>
            </w:r>
            <w:r>
              <w:rPr>
                <w:rFonts w:ascii="Times New Roman" w:hAnsi="Times New Roman" w:eastAsia="宋体" w:cs="Times New Roman"/>
                <w:i/>
                <w:iCs/>
                <w:color w:val="auto"/>
                <w:kern w:val="0"/>
                <w:szCs w:val="21"/>
              </w:rPr>
              <w:t>Hedyotis auricularia、</w:t>
            </w:r>
            <w:r>
              <w:rPr>
                <w:rFonts w:ascii="Times New Roman" w:hAnsi="Times New Roman" w:eastAsia="宋体" w:cs="Times New Roman"/>
                <w:color w:val="auto"/>
                <w:kern w:val="0"/>
                <w:szCs w:val="21"/>
              </w:rPr>
              <w:t>狗尾草</w:t>
            </w:r>
            <w:r>
              <w:rPr>
                <w:rFonts w:ascii="Times New Roman" w:hAnsi="Times New Roman" w:eastAsia="宋体" w:cs="Times New Roman"/>
                <w:i/>
                <w:iCs/>
                <w:color w:val="auto"/>
                <w:kern w:val="0"/>
                <w:szCs w:val="21"/>
              </w:rPr>
              <w:t>Setaria viridis、</w:t>
            </w:r>
            <w:r>
              <w:rPr>
                <w:rFonts w:ascii="Times New Roman" w:hAnsi="Times New Roman" w:eastAsia="宋体" w:cs="Times New Roman"/>
                <w:color w:val="auto"/>
                <w:kern w:val="0"/>
                <w:szCs w:val="21"/>
              </w:rPr>
              <w:t>狗牙根</w:t>
            </w:r>
            <w:r>
              <w:rPr>
                <w:rFonts w:ascii="Times New Roman" w:hAnsi="Times New Roman" w:eastAsia="宋体" w:cs="Times New Roman"/>
                <w:i/>
                <w:iCs/>
                <w:color w:val="auto"/>
                <w:kern w:val="0"/>
                <w:szCs w:val="21"/>
              </w:rPr>
              <w:t>Cynodon dactylon、</w:t>
            </w:r>
            <w:r>
              <w:rPr>
                <w:rFonts w:ascii="Times New Roman" w:hAnsi="Times New Roman" w:eastAsia="宋体" w:cs="Times New Roman"/>
                <w:color w:val="auto"/>
                <w:kern w:val="0"/>
                <w:szCs w:val="21"/>
              </w:rPr>
              <w:t>鬼针草</w:t>
            </w:r>
            <w:r>
              <w:rPr>
                <w:rFonts w:ascii="Times New Roman" w:hAnsi="Times New Roman" w:eastAsia="宋体" w:cs="Times New Roman"/>
                <w:i/>
                <w:iCs/>
                <w:color w:val="auto"/>
                <w:kern w:val="0"/>
                <w:szCs w:val="21"/>
              </w:rPr>
              <w:t>Bidens pilosa、</w:t>
            </w:r>
            <w:r>
              <w:rPr>
                <w:rFonts w:ascii="Times New Roman" w:hAnsi="Times New Roman" w:eastAsia="宋体" w:cs="Times New Roman"/>
                <w:color w:val="auto"/>
                <w:kern w:val="0"/>
                <w:szCs w:val="21"/>
              </w:rPr>
              <w:t>戟叶酸模</w:t>
            </w:r>
            <w:r>
              <w:rPr>
                <w:rFonts w:ascii="Times New Roman" w:hAnsi="Times New Roman" w:eastAsia="宋体" w:cs="Times New Roman"/>
                <w:i/>
                <w:iCs/>
                <w:color w:val="auto"/>
                <w:kern w:val="0"/>
                <w:szCs w:val="21"/>
              </w:rPr>
              <w:t>Rumex hastatus、</w:t>
            </w:r>
            <w:r>
              <w:rPr>
                <w:rFonts w:ascii="Times New Roman" w:hAnsi="Times New Roman" w:eastAsia="宋体" w:cs="Times New Roman"/>
                <w:color w:val="auto"/>
                <w:kern w:val="0"/>
                <w:szCs w:val="21"/>
              </w:rPr>
              <w:t>假香附子</w:t>
            </w:r>
            <w:r>
              <w:rPr>
                <w:rFonts w:ascii="Times New Roman" w:hAnsi="Times New Roman" w:eastAsia="宋体" w:cs="Times New Roman"/>
                <w:i/>
                <w:iCs/>
                <w:color w:val="auto"/>
                <w:kern w:val="0"/>
                <w:szCs w:val="21"/>
              </w:rPr>
              <w:t>Cyperus tuberosus、</w:t>
            </w:r>
            <w:r>
              <w:rPr>
                <w:rFonts w:ascii="Times New Roman" w:hAnsi="Times New Roman" w:eastAsia="宋体" w:cs="Times New Roman"/>
                <w:iCs/>
                <w:color w:val="auto"/>
                <w:kern w:val="0"/>
                <w:szCs w:val="21"/>
              </w:rPr>
              <w:t>小野荞麦</w:t>
            </w:r>
            <w:r>
              <w:rPr>
                <w:rFonts w:ascii="Times New Roman" w:hAnsi="Times New Roman" w:eastAsia="宋体" w:cs="Times New Roman"/>
                <w:i/>
                <w:color w:val="auto"/>
                <w:szCs w:val="21"/>
              </w:rPr>
              <w:t>Fagopyrum leptopodum var. leptopodum</w:t>
            </w:r>
            <w:r>
              <w:rPr>
                <w:rFonts w:ascii="Times New Roman" w:hAnsi="Times New Roman" w:eastAsia="宋体" w:cs="Times New Roman"/>
                <w:i/>
                <w:iCs/>
                <w:color w:val="auto"/>
                <w:kern w:val="0"/>
                <w:szCs w:val="21"/>
              </w:rPr>
              <w:t>、</w:t>
            </w:r>
            <w:r>
              <w:rPr>
                <w:rFonts w:ascii="Times New Roman" w:hAnsi="Times New Roman" w:eastAsia="宋体" w:cs="Times New Roman"/>
                <w:color w:val="auto"/>
                <w:kern w:val="0"/>
                <w:szCs w:val="21"/>
              </w:rPr>
              <w:t>黄细心</w:t>
            </w:r>
            <w:r>
              <w:rPr>
                <w:rFonts w:ascii="Times New Roman" w:hAnsi="Times New Roman" w:eastAsia="宋体" w:cs="Times New Roman"/>
                <w:i/>
                <w:iCs/>
                <w:color w:val="auto"/>
                <w:kern w:val="0"/>
                <w:szCs w:val="21"/>
              </w:rPr>
              <w:t>Boerhavia diffusa、</w:t>
            </w:r>
            <w:r>
              <w:rPr>
                <w:rFonts w:ascii="Times New Roman" w:hAnsi="Times New Roman" w:eastAsia="宋体" w:cs="Times New Roman"/>
                <w:color w:val="auto"/>
                <w:kern w:val="0"/>
                <w:szCs w:val="21"/>
              </w:rPr>
              <w:t>蛇莓</w:t>
            </w:r>
            <w:r>
              <w:rPr>
                <w:rFonts w:ascii="Times New Roman" w:hAnsi="Times New Roman" w:eastAsia="宋体" w:cs="Times New Roman"/>
                <w:i/>
                <w:iCs/>
                <w:color w:val="auto"/>
                <w:kern w:val="0"/>
                <w:szCs w:val="21"/>
              </w:rPr>
              <w:t>Duchesnea indica、</w:t>
            </w:r>
            <w:r>
              <w:rPr>
                <w:rFonts w:ascii="Times New Roman" w:hAnsi="Times New Roman" w:eastAsia="宋体" w:cs="Times New Roman"/>
                <w:color w:val="auto"/>
                <w:kern w:val="0"/>
                <w:szCs w:val="21"/>
              </w:rPr>
              <w:t>歪头菜</w:t>
            </w:r>
            <w:r>
              <w:rPr>
                <w:rFonts w:ascii="Times New Roman" w:hAnsi="Times New Roman" w:eastAsia="宋体" w:cs="Times New Roman"/>
                <w:i/>
                <w:iCs/>
                <w:color w:val="auto"/>
                <w:kern w:val="0"/>
                <w:szCs w:val="21"/>
              </w:rPr>
              <w:t>Vicia unijuga、</w:t>
            </w:r>
            <w:r>
              <w:rPr>
                <w:rFonts w:ascii="Times New Roman" w:hAnsi="Times New Roman" w:eastAsia="宋体" w:cs="Times New Roman"/>
                <w:color w:val="auto"/>
                <w:kern w:val="0"/>
                <w:szCs w:val="21"/>
              </w:rPr>
              <w:t>香薷</w:t>
            </w:r>
            <w:r>
              <w:rPr>
                <w:rFonts w:ascii="Times New Roman" w:hAnsi="Times New Roman" w:eastAsia="宋体" w:cs="Times New Roman"/>
                <w:i/>
                <w:iCs/>
                <w:color w:val="auto"/>
                <w:kern w:val="0"/>
                <w:szCs w:val="21"/>
              </w:rPr>
              <w:t>Elsholtzia ciliata、</w:t>
            </w:r>
            <w:r>
              <w:rPr>
                <w:rFonts w:ascii="Times New Roman" w:hAnsi="Times New Roman" w:eastAsia="宋体" w:cs="Times New Roman"/>
                <w:color w:val="auto"/>
                <w:kern w:val="0"/>
                <w:szCs w:val="21"/>
              </w:rPr>
              <w:t>小叶三点金</w:t>
            </w:r>
            <w:r>
              <w:rPr>
                <w:rFonts w:ascii="Times New Roman" w:hAnsi="Times New Roman" w:eastAsia="宋体" w:cs="Times New Roman"/>
                <w:i/>
                <w:iCs/>
                <w:color w:val="auto"/>
                <w:kern w:val="0"/>
                <w:szCs w:val="21"/>
              </w:rPr>
              <w:t>Desmodium microphyllum、</w:t>
            </w:r>
            <w:r>
              <w:rPr>
                <w:rFonts w:ascii="Times New Roman" w:hAnsi="Times New Roman" w:eastAsia="宋体" w:cs="Times New Roman"/>
                <w:color w:val="auto"/>
                <w:kern w:val="0"/>
                <w:szCs w:val="21"/>
              </w:rPr>
              <w:t>羊耳菊</w:t>
            </w:r>
            <w:r>
              <w:rPr>
                <w:rFonts w:ascii="Times New Roman" w:hAnsi="Times New Roman" w:eastAsia="宋体" w:cs="Times New Roman"/>
                <w:i/>
                <w:iCs/>
                <w:color w:val="auto"/>
                <w:kern w:val="0"/>
                <w:szCs w:val="21"/>
              </w:rPr>
              <w:t>Inula cappa、</w:t>
            </w:r>
            <w:r>
              <w:rPr>
                <w:rFonts w:ascii="Times New Roman" w:hAnsi="Times New Roman" w:eastAsia="宋体" w:cs="Times New Roman"/>
                <w:color w:val="auto"/>
                <w:kern w:val="0"/>
                <w:szCs w:val="21"/>
              </w:rPr>
              <w:t>白花草木犀</w:t>
            </w:r>
            <w:r>
              <w:rPr>
                <w:rFonts w:ascii="Times New Roman" w:hAnsi="Times New Roman" w:eastAsia="宋体" w:cs="Times New Roman"/>
                <w:i/>
                <w:iCs/>
                <w:color w:val="auto"/>
                <w:kern w:val="0"/>
                <w:szCs w:val="21"/>
              </w:rPr>
              <w:t>Melilotus albus </w:t>
            </w:r>
            <w:r>
              <w:rPr>
                <w:rFonts w:ascii="Times New Roman" w:hAnsi="Times New Roman" w:eastAsia="宋体" w:cs="Times New Roman"/>
                <w:iCs/>
                <w:color w:val="auto"/>
                <w:kern w:val="0"/>
                <w:szCs w:val="21"/>
              </w:rPr>
              <w:t>等。</w:t>
            </w:r>
          </w:p>
          <w:p>
            <w:pPr>
              <w:spacing w:line="360" w:lineRule="auto"/>
              <w:ind w:firstLine="458"/>
              <w:rPr>
                <w:rFonts w:ascii="Times New Roman" w:hAnsi="Times New Roman" w:eastAsia="宋体" w:cs="Times New Roman"/>
                <w:b/>
                <w:color w:val="auto"/>
                <w:sz w:val="24"/>
              </w:rPr>
            </w:pPr>
            <w:r>
              <w:rPr>
                <w:rFonts w:hint="eastAsia" w:ascii="宋体" w:hAnsi="宋体" w:eastAsia="宋体" w:cs="宋体"/>
                <w:b/>
                <w:color w:val="auto"/>
                <w:spacing w:val="-6"/>
                <w:kern w:val="0"/>
                <w:sz w:val="24"/>
              </w:rPr>
              <w:t>③</w:t>
            </w:r>
            <w:r>
              <w:rPr>
                <w:rFonts w:ascii="Times New Roman" w:hAnsi="Times New Roman" w:eastAsia="宋体" w:cs="Times New Roman"/>
                <w:b/>
                <w:color w:val="auto"/>
                <w:spacing w:val="-6"/>
                <w:kern w:val="0"/>
                <w:sz w:val="24"/>
              </w:rPr>
              <w:t>羽叶山黄麻、华西小石积、扭黄茅群落</w:t>
            </w:r>
          </w:p>
          <w:p>
            <w:pPr>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该</w:t>
            </w:r>
            <w:r>
              <w:rPr>
                <w:rFonts w:hint="eastAsia" w:ascii="Times New Roman" w:hAnsi="Times New Roman" w:eastAsia="宋体" w:cs="Times New Roman"/>
                <w:color w:val="auto"/>
                <w:sz w:val="24"/>
              </w:rPr>
              <w:t>群落分布</w:t>
            </w:r>
            <w:r>
              <w:rPr>
                <w:rFonts w:ascii="Times New Roman" w:hAnsi="Times New Roman" w:eastAsia="宋体" w:cs="Times New Roman"/>
                <w:color w:val="auto"/>
                <w:sz w:val="24"/>
              </w:rPr>
              <w:t>面积</w:t>
            </w:r>
            <w:r>
              <w:rPr>
                <w:rFonts w:hint="eastAsia" w:ascii="Times New Roman" w:hAnsi="Times New Roman" w:eastAsia="宋体" w:cs="Times New Roman"/>
                <w:color w:val="auto"/>
                <w:sz w:val="24"/>
              </w:rPr>
              <w:t>较小</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零星分布于海拔1100~1150m左右的沟箐中，因为生境相对湿润，所以组成物种较多。</w:t>
            </w:r>
            <w:r>
              <w:rPr>
                <w:rFonts w:ascii="Times New Roman" w:hAnsi="Times New Roman" w:eastAsia="宋体" w:cs="Times New Roman"/>
                <w:color w:val="auto"/>
                <w:sz w:val="24"/>
              </w:rPr>
              <w:t>主要由灌木层、草本层和层间层构成。</w:t>
            </w:r>
          </w:p>
          <w:p>
            <w:pPr>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乔木层盖度低，约为4%，主要乔木树种有印楝</w:t>
            </w:r>
            <w:r>
              <w:rPr>
                <w:rFonts w:ascii="Times New Roman" w:hAnsi="Times New Roman" w:eastAsia="宋体" w:cs="Times New Roman"/>
                <w:i/>
                <w:iCs/>
                <w:color w:val="auto"/>
                <w:sz w:val="24"/>
              </w:rPr>
              <w:t>Azadirachta</w:t>
            </w:r>
            <w:r>
              <w:rPr>
                <w:rFonts w:hint="eastAsia" w:ascii="Times New Roman" w:hAnsi="Times New Roman" w:eastAsia="宋体" w:cs="Times New Roman"/>
                <w:i/>
                <w:iCs/>
                <w:color w:val="auto"/>
                <w:sz w:val="24"/>
              </w:rPr>
              <w:t xml:space="preserve"> </w:t>
            </w:r>
            <w:r>
              <w:rPr>
                <w:rFonts w:ascii="Times New Roman" w:hAnsi="Times New Roman" w:eastAsia="宋体" w:cs="Times New Roman"/>
                <w:i/>
                <w:iCs/>
                <w:color w:val="auto"/>
                <w:sz w:val="24"/>
              </w:rPr>
              <w:t>indica</w:t>
            </w:r>
            <w:r>
              <w:rPr>
                <w:rFonts w:ascii="Times New Roman" w:hAnsi="Times New Roman" w:eastAsia="宋体" w:cs="Times New Roman"/>
                <w:color w:val="auto"/>
                <w:sz w:val="24"/>
              </w:rPr>
              <w:t>，盖度0.5%，高7m，滇榄仁</w:t>
            </w:r>
            <w:r>
              <w:rPr>
                <w:rFonts w:ascii="Times New Roman" w:hAnsi="Times New Roman" w:eastAsia="宋体" w:cs="Times New Roman"/>
                <w:i/>
                <w:iCs/>
                <w:color w:val="auto"/>
                <w:sz w:val="24"/>
              </w:rPr>
              <w:t xml:space="preserve">Terminalia franchetii </w:t>
            </w:r>
            <w:r>
              <w:rPr>
                <w:rFonts w:ascii="Times New Roman" w:hAnsi="Times New Roman" w:eastAsia="宋体" w:cs="Times New Roman"/>
                <w:color w:val="auto"/>
                <w:sz w:val="24"/>
              </w:rPr>
              <w:t xml:space="preserve">var. </w:t>
            </w:r>
            <w:r>
              <w:rPr>
                <w:rFonts w:ascii="Times New Roman" w:hAnsi="Times New Roman" w:eastAsia="宋体" w:cs="Times New Roman"/>
                <w:i/>
                <w:iCs/>
                <w:color w:val="auto"/>
                <w:sz w:val="24"/>
              </w:rPr>
              <w:t>franchetii</w:t>
            </w:r>
            <w:r>
              <w:rPr>
                <w:rFonts w:ascii="Times New Roman" w:hAnsi="Times New Roman" w:eastAsia="宋体" w:cs="Times New Roman"/>
                <w:color w:val="auto"/>
                <w:sz w:val="24"/>
              </w:rPr>
              <w:t>，盖度0.2%，高5m，残存于沟箐。</w:t>
            </w:r>
          </w:p>
          <w:p>
            <w:pPr>
              <w:spacing w:line="360" w:lineRule="auto"/>
              <w:ind w:firstLine="480" w:firstLineChars="200"/>
              <w:rPr>
                <w:rFonts w:hint="eastAsia" w:ascii="Times New Roman" w:hAnsi="Times New Roman" w:eastAsia="宋体" w:cs="Times New Roman"/>
                <w:color w:val="auto"/>
                <w:kern w:val="0"/>
                <w:sz w:val="24"/>
              </w:rPr>
            </w:pPr>
            <w:r>
              <w:rPr>
                <w:rFonts w:ascii="Times New Roman" w:hAnsi="Times New Roman" w:eastAsia="宋体" w:cs="Times New Roman"/>
                <w:color w:val="auto"/>
                <w:sz w:val="24"/>
              </w:rPr>
              <w:t>灌木层</w:t>
            </w:r>
            <w:r>
              <w:rPr>
                <w:rFonts w:hint="eastAsia" w:ascii="Times New Roman" w:hAnsi="Times New Roman" w:eastAsia="宋体" w:cs="Times New Roman"/>
                <w:color w:val="auto"/>
                <w:sz w:val="24"/>
              </w:rPr>
              <w:t>盖度5%~10%</w:t>
            </w:r>
            <w:r>
              <w:rPr>
                <w:rFonts w:ascii="Times New Roman" w:hAnsi="Times New Roman" w:eastAsia="宋体" w:cs="Times New Roman"/>
                <w:color w:val="auto"/>
                <w:sz w:val="24"/>
              </w:rPr>
              <w:t>，高度不超过5m。主要有</w:t>
            </w:r>
            <w:r>
              <w:rPr>
                <w:rFonts w:ascii="Times New Roman" w:hAnsi="Times New Roman" w:eastAsia="宋体" w:cs="Times New Roman"/>
                <w:color w:val="auto"/>
                <w:kern w:val="0"/>
                <w:sz w:val="24"/>
              </w:rPr>
              <w:t>羽叶山黄麻</w:t>
            </w:r>
            <w:r>
              <w:rPr>
                <w:rFonts w:ascii="Times New Roman" w:hAnsi="Times New Roman" w:eastAsia="宋体" w:cs="Times New Roman"/>
                <w:i/>
                <w:color w:val="auto"/>
                <w:kern w:val="0"/>
                <w:sz w:val="24"/>
              </w:rPr>
              <w:t>Trema laevigata、</w:t>
            </w:r>
            <w:r>
              <w:rPr>
                <w:rFonts w:ascii="Times New Roman" w:hAnsi="Times New Roman" w:eastAsia="宋体" w:cs="Times New Roman"/>
                <w:color w:val="auto"/>
                <w:sz w:val="24"/>
              </w:rPr>
              <w:t>华西小石积</w:t>
            </w:r>
            <w:r>
              <w:rPr>
                <w:rFonts w:ascii="Times New Roman" w:hAnsi="Times New Roman" w:eastAsia="宋体" w:cs="Times New Roman"/>
                <w:i/>
                <w:color w:val="auto"/>
                <w:sz w:val="24"/>
              </w:rPr>
              <w:t>Osteomeles schwerinae</w:t>
            </w:r>
            <w:r>
              <w:rPr>
                <w:rFonts w:ascii="Times New Roman" w:hAnsi="Times New Roman" w:eastAsia="宋体" w:cs="Times New Roman"/>
                <w:color w:val="auto"/>
                <w:sz w:val="24"/>
              </w:rPr>
              <w:t>、</w:t>
            </w:r>
            <w:r>
              <w:rPr>
                <w:rFonts w:ascii="Times New Roman" w:hAnsi="Times New Roman" w:eastAsia="宋体" w:cs="Times New Roman"/>
                <w:iCs/>
                <w:color w:val="auto"/>
                <w:kern w:val="0"/>
                <w:sz w:val="24"/>
              </w:rPr>
              <w:t>余甘子</w:t>
            </w:r>
            <w:r>
              <w:rPr>
                <w:rFonts w:ascii="Times New Roman" w:hAnsi="Times New Roman" w:eastAsia="宋体" w:cs="Times New Roman"/>
                <w:i/>
                <w:color w:val="auto"/>
                <w:kern w:val="0"/>
                <w:sz w:val="24"/>
              </w:rPr>
              <w:t>Phyllanthus emblica、</w:t>
            </w:r>
            <w:r>
              <w:rPr>
                <w:rFonts w:ascii="Times New Roman" w:hAnsi="Times New Roman" w:eastAsia="宋体" w:cs="Times New Roman"/>
                <w:color w:val="auto"/>
                <w:sz w:val="24"/>
              </w:rPr>
              <w:t>清香木</w:t>
            </w:r>
            <w:r>
              <w:rPr>
                <w:rFonts w:ascii="Times New Roman" w:hAnsi="Times New Roman" w:eastAsia="宋体" w:cs="Times New Roman"/>
                <w:i/>
                <w:color w:val="auto"/>
                <w:sz w:val="24"/>
              </w:rPr>
              <w:t>Pistacia weinmannifolia</w:t>
            </w:r>
            <w:r>
              <w:rPr>
                <w:rFonts w:ascii="Times New Roman" w:hAnsi="Times New Roman" w:eastAsia="宋体" w:cs="Times New Roman"/>
                <w:color w:val="auto"/>
                <w:sz w:val="24"/>
              </w:rPr>
              <w:t>，其它灌木主要有一把香</w:t>
            </w:r>
            <w:r>
              <w:rPr>
                <w:rFonts w:hint="eastAsia" w:ascii="Times New Roman" w:hAnsi="Times New Roman" w:eastAsia="宋体" w:cs="Times New Roman"/>
                <w:i/>
                <w:color w:val="auto"/>
                <w:sz w:val="24"/>
              </w:rPr>
              <w:t>Wikstroemia dolichantha var. dolichantha、</w:t>
            </w:r>
            <w:r>
              <w:rPr>
                <w:rFonts w:ascii="Times New Roman" w:hAnsi="Times New Roman" w:eastAsia="宋体" w:cs="Times New Roman"/>
                <w:color w:val="auto"/>
                <w:kern w:val="0"/>
                <w:sz w:val="24"/>
              </w:rPr>
              <w:t>阿达子</w:t>
            </w:r>
            <w:r>
              <w:rPr>
                <w:rFonts w:ascii="Times New Roman" w:hAnsi="Times New Roman" w:eastAsia="宋体" w:cs="Times New Roman"/>
                <w:i/>
                <w:iCs/>
                <w:color w:val="auto"/>
                <w:kern w:val="0"/>
                <w:sz w:val="24"/>
              </w:rPr>
              <w:t>Maytenus royleana、</w:t>
            </w:r>
            <w:r>
              <w:rPr>
                <w:rFonts w:ascii="Times New Roman" w:hAnsi="Times New Roman" w:eastAsia="宋体" w:cs="Times New Roman"/>
                <w:iCs/>
                <w:color w:val="auto"/>
                <w:kern w:val="0"/>
                <w:sz w:val="24"/>
              </w:rPr>
              <w:t>毛叶</w:t>
            </w:r>
            <w:r>
              <w:rPr>
                <w:rFonts w:hint="eastAsia" w:ascii="Times New Roman" w:hAnsi="Times New Roman" w:eastAsia="宋体" w:cs="Times New Roman"/>
                <w:iCs/>
                <w:color w:val="auto"/>
                <w:kern w:val="0"/>
                <w:sz w:val="24"/>
              </w:rPr>
              <w:t>柿</w:t>
            </w:r>
            <w:r>
              <w:rPr>
                <w:rFonts w:ascii="Times New Roman" w:hAnsi="Times New Roman" w:eastAsia="宋体" w:cs="Times New Roman"/>
                <w:i/>
                <w:color w:val="auto"/>
                <w:kern w:val="0"/>
                <w:sz w:val="24"/>
              </w:rPr>
              <w:t>Diospyros</w:t>
            </w:r>
            <w:r>
              <w:rPr>
                <w:rFonts w:hint="eastAsia" w:ascii="Times New Roman" w:hAnsi="Times New Roman" w:eastAsia="宋体" w:cs="Times New Roman"/>
                <w:i/>
                <w:color w:val="auto"/>
                <w:kern w:val="0"/>
                <w:sz w:val="24"/>
              </w:rPr>
              <w:t xml:space="preserve"> </w:t>
            </w:r>
            <w:r>
              <w:rPr>
                <w:rFonts w:ascii="Times New Roman" w:hAnsi="Times New Roman" w:eastAsia="宋体" w:cs="Times New Roman"/>
                <w:i/>
                <w:color w:val="auto"/>
                <w:kern w:val="0"/>
                <w:sz w:val="24"/>
              </w:rPr>
              <w:t>mollifolia、</w:t>
            </w:r>
            <w:r>
              <w:rPr>
                <w:rFonts w:ascii="Times New Roman" w:hAnsi="Times New Roman" w:eastAsia="宋体" w:cs="Times New Roman"/>
                <w:color w:val="auto"/>
                <w:kern w:val="0"/>
                <w:sz w:val="24"/>
              </w:rPr>
              <w:t>牛角瓜</w:t>
            </w:r>
            <w:r>
              <w:rPr>
                <w:rFonts w:ascii="Times New Roman" w:hAnsi="Times New Roman" w:eastAsia="宋体" w:cs="Times New Roman"/>
                <w:i/>
                <w:iCs/>
                <w:color w:val="auto"/>
                <w:kern w:val="0"/>
                <w:sz w:val="24"/>
              </w:rPr>
              <w:t>Calotropis gigantea、</w:t>
            </w:r>
            <w:r>
              <w:rPr>
                <w:rFonts w:hint="eastAsia" w:ascii="宋体" w:hAnsi="宋体" w:eastAsia="宋体" w:cs="Times New Roman"/>
                <w:color w:val="auto"/>
                <w:kern w:val="0"/>
                <w:sz w:val="24"/>
              </w:rPr>
              <w:t>刺蒴麻</w:t>
            </w:r>
            <w:r>
              <w:rPr>
                <w:rFonts w:ascii="Times New Roman" w:hAnsi="Times New Roman" w:eastAsia="宋体" w:cs="Times New Roman"/>
                <w:i/>
                <w:color w:val="auto"/>
                <w:kern w:val="0"/>
                <w:sz w:val="24"/>
              </w:rPr>
              <w:t>Triumfetta rhomboidea</w:t>
            </w:r>
            <w:r>
              <w:rPr>
                <w:rFonts w:hint="eastAsia" w:ascii="Times New Roman" w:hAnsi="Times New Roman" w:eastAsia="宋体" w:cs="Times New Roman"/>
                <w:color w:val="auto"/>
                <w:kern w:val="0"/>
                <w:sz w:val="24"/>
              </w:rPr>
              <w:t>、</w:t>
            </w:r>
            <w:r>
              <w:rPr>
                <w:rFonts w:ascii="Times New Roman" w:hAnsi="Times New Roman" w:eastAsia="宋体" w:cs="Times New Roman"/>
                <w:color w:val="auto"/>
                <w:sz w:val="24"/>
              </w:rPr>
              <w:t>毛枝绣线菊</w:t>
            </w:r>
            <w:r>
              <w:rPr>
                <w:rFonts w:hint="eastAsia" w:ascii="Times New Roman" w:hAnsi="Times New Roman" w:eastAsia="宋体" w:cs="Times New Roman"/>
                <w:i/>
                <w:color w:val="auto"/>
                <w:sz w:val="24"/>
              </w:rPr>
              <w:t>Spiraea martini var. martini、</w:t>
            </w:r>
            <w:r>
              <w:rPr>
                <w:rFonts w:ascii="Times New Roman" w:hAnsi="Times New Roman" w:eastAsia="宋体" w:cs="Times New Roman"/>
                <w:color w:val="auto"/>
                <w:sz w:val="24"/>
              </w:rPr>
              <w:t>云南地桃花</w:t>
            </w:r>
            <w:r>
              <w:rPr>
                <w:rFonts w:hint="eastAsia" w:ascii="Times New Roman" w:hAnsi="Times New Roman" w:eastAsia="宋体" w:cs="Times New Roman"/>
                <w:i/>
                <w:color w:val="auto"/>
                <w:sz w:val="24"/>
              </w:rPr>
              <w:t>Urena lobata var. yunnanensis、</w:t>
            </w:r>
            <w:r>
              <w:rPr>
                <w:rFonts w:hint="eastAsia" w:ascii="宋体" w:hAnsi="宋体" w:eastAsia="宋体" w:cs="Times New Roman"/>
                <w:color w:val="auto"/>
                <w:kern w:val="0"/>
                <w:sz w:val="24"/>
              </w:rPr>
              <w:t>红雾水葛</w:t>
            </w:r>
            <w:r>
              <w:rPr>
                <w:rFonts w:ascii="Times New Roman" w:hAnsi="Times New Roman" w:eastAsia="宋体" w:cs="Times New Roman"/>
                <w:i/>
                <w:color w:val="auto"/>
                <w:kern w:val="0"/>
                <w:sz w:val="24"/>
              </w:rPr>
              <w:t>Pouzozia sanguinea</w:t>
            </w:r>
            <w:r>
              <w:rPr>
                <w:rFonts w:hint="eastAsia" w:ascii="Times New Roman" w:hAnsi="Times New Roman" w:eastAsia="宋体" w:cs="Times New Roman"/>
                <w:color w:val="auto"/>
                <w:kern w:val="0"/>
                <w:sz w:val="24"/>
              </w:rPr>
              <w:t>、</w:t>
            </w:r>
            <w:r>
              <w:rPr>
                <w:rFonts w:hint="eastAsia" w:ascii="Times New Roman" w:hAnsi="Times New Roman" w:eastAsia="宋体" w:cs="Times New Roman"/>
                <w:color w:val="auto"/>
                <w:sz w:val="24"/>
              </w:rPr>
              <w:t>密蒙花</w:t>
            </w:r>
            <w:r>
              <w:rPr>
                <w:rFonts w:ascii="Times New Roman" w:hAnsi="Times New Roman" w:eastAsia="宋体" w:cs="Times New Roman"/>
                <w:i/>
                <w:color w:val="auto"/>
                <w:kern w:val="0"/>
                <w:sz w:val="24"/>
              </w:rPr>
              <w:t>Buddleja myriantha</w:t>
            </w:r>
            <w:r>
              <w:rPr>
                <w:rFonts w:hint="eastAsia" w:ascii="Times New Roman" w:hAnsi="Times New Roman" w:eastAsia="宋体" w:cs="Times New Roman"/>
                <w:i/>
                <w:color w:val="auto"/>
                <w:kern w:val="0"/>
                <w:sz w:val="24"/>
              </w:rPr>
              <w:t>、</w:t>
            </w:r>
            <w:r>
              <w:rPr>
                <w:rFonts w:hint="eastAsia" w:ascii="Times New Roman" w:hAnsi="Times New Roman" w:eastAsia="宋体" w:cs="Times New Roman"/>
                <w:color w:val="auto"/>
                <w:sz w:val="24"/>
              </w:rPr>
              <w:t>美花山蚂蝗</w:t>
            </w:r>
            <w:r>
              <w:rPr>
                <w:rFonts w:hint="eastAsia" w:ascii="Times New Roman" w:hAnsi="Times New Roman" w:eastAsia="宋体" w:cs="Times New Roman"/>
                <w:i/>
                <w:color w:val="auto"/>
                <w:sz w:val="24"/>
              </w:rPr>
              <w:t>Desmodium callianthum、</w:t>
            </w:r>
            <w:r>
              <w:rPr>
                <w:rFonts w:ascii="Times New Roman" w:hAnsi="Times New Roman" w:eastAsia="宋体" w:cs="Times New Roman"/>
                <w:color w:val="auto"/>
                <w:kern w:val="0"/>
                <w:sz w:val="24"/>
              </w:rPr>
              <w:t>薄叶鼠李</w:t>
            </w:r>
            <w:r>
              <w:rPr>
                <w:rFonts w:ascii="Times New Roman" w:hAnsi="Times New Roman" w:eastAsia="宋体" w:cs="Times New Roman"/>
                <w:i/>
                <w:iCs/>
                <w:color w:val="auto"/>
                <w:kern w:val="0"/>
                <w:sz w:val="24"/>
              </w:rPr>
              <w:t>Rhamnus leptophylla、</w:t>
            </w:r>
            <w:r>
              <w:rPr>
                <w:rFonts w:ascii="Times New Roman" w:hAnsi="Times New Roman" w:eastAsia="宋体" w:cs="Times New Roman"/>
                <w:color w:val="auto"/>
                <w:kern w:val="0"/>
                <w:sz w:val="24"/>
              </w:rPr>
              <w:t>车桑子</w:t>
            </w:r>
            <w:r>
              <w:rPr>
                <w:rFonts w:ascii="Times New Roman" w:hAnsi="Times New Roman" w:eastAsia="宋体" w:cs="Times New Roman"/>
                <w:i/>
                <w:iCs/>
                <w:color w:val="auto"/>
                <w:kern w:val="0"/>
                <w:sz w:val="24"/>
              </w:rPr>
              <w:t>Dodonaea viscosa、</w:t>
            </w:r>
            <w:r>
              <w:rPr>
                <w:rFonts w:hint="eastAsia" w:ascii="Times New Roman" w:hAnsi="Times New Roman" w:eastAsia="宋体" w:cs="Times New Roman"/>
                <w:color w:val="auto"/>
                <w:sz w:val="24"/>
              </w:rPr>
              <w:t>密花荚蒾</w:t>
            </w:r>
            <w:r>
              <w:rPr>
                <w:rFonts w:hint="eastAsia" w:ascii="Times New Roman" w:hAnsi="Times New Roman" w:eastAsia="宋体" w:cs="Times New Roman"/>
                <w:i/>
                <w:iCs/>
                <w:color w:val="auto"/>
                <w:kern w:val="0"/>
                <w:sz w:val="24"/>
              </w:rPr>
              <w:t>Viburnum congestum、</w:t>
            </w:r>
            <w:r>
              <w:rPr>
                <w:rFonts w:hint="eastAsia" w:ascii="宋体" w:hAnsi="宋体" w:eastAsia="宋体" w:cs="Times New Roman"/>
                <w:color w:val="auto"/>
                <w:kern w:val="0"/>
                <w:sz w:val="24"/>
              </w:rPr>
              <w:t>小果叶下珠</w:t>
            </w:r>
            <w:r>
              <w:rPr>
                <w:rFonts w:ascii="Times New Roman" w:hAnsi="Times New Roman" w:eastAsia="宋体" w:cs="Times New Roman"/>
                <w:i/>
                <w:iCs/>
                <w:color w:val="auto"/>
                <w:kern w:val="0"/>
                <w:sz w:val="24"/>
              </w:rPr>
              <w:t xml:space="preserve">Phyllanthus reticulatus var. </w:t>
            </w:r>
            <w:r>
              <w:rPr>
                <w:rFonts w:ascii="Times New Roman" w:hAnsi="Times New Roman" w:eastAsia="宋体" w:cs="Times New Roman"/>
                <w:color w:val="auto"/>
                <w:sz w:val="24"/>
              </w:rPr>
              <w:t>reticulatus、</w:t>
            </w:r>
            <w:r>
              <w:rPr>
                <w:rFonts w:ascii="Times New Roman" w:hAnsi="Times New Roman" w:eastAsia="宋体" w:cs="Times New Roman"/>
                <w:color w:val="auto"/>
                <w:kern w:val="0"/>
                <w:sz w:val="24"/>
              </w:rPr>
              <w:t>扁担杆</w:t>
            </w:r>
            <w:r>
              <w:rPr>
                <w:rFonts w:ascii="Times New Roman" w:hAnsi="Times New Roman" w:eastAsia="宋体" w:cs="Times New Roman"/>
                <w:i/>
                <w:iCs/>
                <w:color w:val="auto"/>
                <w:kern w:val="0"/>
                <w:sz w:val="24"/>
              </w:rPr>
              <w:t>Grewia biloba、</w:t>
            </w:r>
            <w:r>
              <w:rPr>
                <w:rFonts w:ascii="Times New Roman" w:hAnsi="Times New Roman" w:eastAsia="宋体" w:cs="Times New Roman"/>
                <w:iCs/>
                <w:color w:val="auto"/>
                <w:kern w:val="0"/>
                <w:sz w:val="24"/>
              </w:rPr>
              <w:t>网叶木蓝</w:t>
            </w:r>
            <w:r>
              <w:rPr>
                <w:rFonts w:ascii="Times New Roman" w:hAnsi="Times New Roman" w:eastAsia="宋体" w:cs="Times New Roman"/>
                <w:i/>
                <w:iCs/>
                <w:color w:val="auto"/>
                <w:kern w:val="0"/>
                <w:sz w:val="24"/>
              </w:rPr>
              <w:t>Indigofera reticulata、</w:t>
            </w:r>
            <w:r>
              <w:rPr>
                <w:rFonts w:ascii="Times New Roman" w:hAnsi="Times New Roman" w:eastAsia="宋体" w:cs="Times New Roman"/>
                <w:color w:val="auto"/>
                <w:kern w:val="0"/>
                <w:sz w:val="24"/>
              </w:rPr>
              <w:t>大叶千斤拔</w:t>
            </w:r>
            <w:r>
              <w:rPr>
                <w:rFonts w:ascii="Times New Roman" w:hAnsi="Times New Roman" w:eastAsia="宋体" w:cs="Times New Roman"/>
                <w:i/>
                <w:iCs/>
                <w:color w:val="auto"/>
                <w:kern w:val="0"/>
                <w:sz w:val="24"/>
              </w:rPr>
              <w:t>Flemingia macrophylla、</w:t>
            </w:r>
            <w:r>
              <w:rPr>
                <w:rFonts w:ascii="Times New Roman" w:hAnsi="Times New Roman" w:eastAsia="宋体" w:cs="Times New Roman"/>
                <w:color w:val="auto"/>
                <w:kern w:val="0"/>
                <w:sz w:val="24"/>
              </w:rPr>
              <w:t>单刺仙人掌</w:t>
            </w:r>
            <w:r>
              <w:rPr>
                <w:rFonts w:ascii="Times New Roman" w:hAnsi="Times New Roman" w:eastAsia="宋体" w:cs="Times New Roman"/>
                <w:i/>
                <w:iCs/>
                <w:color w:val="auto"/>
                <w:kern w:val="0"/>
                <w:sz w:val="24"/>
              </w:rPr>
              <w:t>Opuntia monacantha、</w:t>
            </w:r>
            <w:r>
              <w:rPr>
                <w:rFonts w:ascii="Times New Roman" w:hAnsi="Times New Roman" w:eastAsia="宋体" w:cs="Times New Roman"/>
                <w:color w:val="auto"/>
                <w:kern w:val="0"/>
                <w:sz w:val="24"/>
              </w:rPr>
              <w:t>鸡骨柴</w:t>
            </w:r>
            <w:r>
              <w:rPr>
                <w:rFonts w:ascii="Times New Roman" w:hAnsi="Times New Roman" w:eastAsia="宋体" w:cs="Times New Roman"/>
                <w:i/>
                <w:iCs/>
                <w:color w:val="auto"/>
                <w:kern w:val="0"/>
                <w:sz w:val="24"/>
              </w:rPr>
              <w:t>Elsholtzia fruticosa、</w:t>
            </w:r>
            <w:r>
              <w:rPr>
                <w:rFonts w:ascii="Times New Roman" w:hAnsi="Times New Roman" w:eastAsia="宋体" w:cs="Times New Roman"/>
                <w:color w:val="auto"/>
                <w:kern w:val="0"/>
                <w:sz w:val="24"/>
              </w:rPr>
              <w:t>五色梅</w:t>
            </w:r>
            <w:r>
              <w:rPr>
                <w:rFonts w:ascii="Times New Roman" w:hAnsi="Times New Roman" w:eastAsia="宋体" w:cs="Times New Roman"/>
                <w:i/>
                <w:iCs/>
                <w:color w:val="auto"/>
                <w:kern w:val="0"/>
                <w:sz w:val="24"/>
              </w:rPr>
              <w:t>Lantana camara、</w:t>
            </w:r>
            <w:r>
              <w:rPr>
                <w:rFonts w:ascii="Times New Roman" w:hAnsi="Times New Roman" w:eastAsia="宋体" w:cs="Times New Roman"/>
                <w:color w:val="auto"/>
                <w:kern w:val="0"/>
                <w:sz w:val="24"/>
              </w:rPr>
              <w:t>车桑子</w:t>
            </w:r>
            <w:r>
              <w:rPr>
                <w:rFonts w:ascii="Times New Roman" w:hAnsi="Times New Roman" w:eastAsia="宋体" w:cs="Times New Roman"/>
                <w:i/>
                <w:iCs/>
                <w:color w:val="auto"/>
                <w:kern w:val="0"/>
                <w:sz w:val="24"/>
              </w:rPr>
              <w:t>Dodonaea viscosa、苦刺花Sophora davidii、</w:t>
            </w:r>
            <w:r>
              <w:rPr>
                <w:rFonts w:ascii="Times New Roman" w:hAnsi="Times New Roman" w:eastAsia="宋体" w:cs="Times New Roman"/>
                <w:color w:val="auto"/>
                <w:kern w:val="0"/>
                <w:sz w:val="24"/>
              </w:rPr>
              <w:t>假杜鹃</w:t>
            </w:r>
            <w:r>
              <w:rPr>
                <w:rFonts w:ascii="Times New Roman" w:hAnsi="Times New Roman" w:eastAsia="宋体" w:cs="Times New Roman"/>
                <w:i/>
                <w:color w:val="auto"/>
                <w:kern w:val="0"/>
                <w:sz w:val="24"/>
              </w:rPr>
              <w:t>Barleria cristata var. Cristata</w:t>
            </w:r>
            <w:r>
              <w:rPr>
                <w:rFonts w:hint="eastAsia" w:ascii="Times New Roman" w:hAnsi="Times New Roman" w:eastAsia="宋体" w:cs="Times New Roman"/>
                <w:i/>
                <w:color w:val="auto"/>
                <w:kern w:val="0"/>
                <w:sz w:val="24"/>
              </w:rPr>
              <w:t>、</w:t>
            </w:r>
            <w:r>
              <w:rPr>
                <w:rFonts w:ascii="Times New Roman" w:hAnsi="Times New Roman" w:eastAsia="宋体" w:cs="Times New Roman"/>
                <w:color w:val="auto"/>
                <w:kern w:val="0"/>
                <w:sz w:val="24"/>
              </w:rPr>
              <w:t>荛花</w:t>
            </w:r>
            <w:r>
              <w:rPr>
                <w:rFonts w:ascii="Times New Roman" w:hAnsi="Times New Roman" w:eastAsia="宋体" w:cs="Times New Roman"/>
                <w:i/>
                <w:iCs/>
                <w:color w:val="auto"/>
                <w:kern w:val="0"/>
                <w:sz w:val="24"/>
              </w:rPr>
              <w:t>Wikstroemia canescens</w:t>
            </w:r>
            <w:r>
              <w:rPr>
                <w:rFonts w:ascii="Times New Roman" w:hAnsi="Times New Roman" w:eastAsia="宋体" w:cs="Times New Roman"/>
                <w:iCs/>
                <w:color w:val="auto"/>
                <w:kern w:val="0"/>
                <w:sz w:val="24"/>
              </w:rPr>
              <w:t>等。</w:t>
            </w:r>
          </w:p>
          <w:p>
            <w:pPr>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草本层盖度75%</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8</w:t>
            </w:r>
            <w:r>
              <w:rPr>
                <w:rFonts w:ascii="Times New Roman" w:hAnsi="Times New Roman" w:eastAsia="宋体" w:cs="Times New Roman"/>
                <w:color w:val="auto"/>
                <w:sz w:val="24"/>
              </w:rPr>
              <w:t>0%</w:t>
            </w:r>
            <w:r>
              <w:rPr>
                <w:rFonts w:ascii="Times New Roman" w:hAnsi="Times New Roman" w:eastAsia="宋体" w:cs="Times New Roman"/>
                <w:color w:val="auto"/>
                <w:kern w:val="0"/>
                <w:sz w:val="24"/>
              </w:rPr>
              <w:t>，高0.1</w:t>
            </w:r>
            <w:r>
              <w:rPr>
                <w:rFonts w:ascii="Times New Roman" w:hAnsi="Times New Roman" w:eastAsia="宋体" w:cs="Times New Roman"/>
                <w:color w:val="auto"/>
                <w:sz w:val="24"/>
              </w:rPr>
              <w:t>~1.5m</w:t>
            </w:r>
            <w:r>
              <w:rPr>
                <w:rFonts w:ascii="Times New Roman" w:hAnsi="Times New Roman" w:eastAsia="宋体" w:cs="Times New Roman"/>
                <w:color w:val="auto"/>
                <w:kern w:val="0"/>
                <w:sz w:val="24"/>
              </w:rPr>
              <w:t>，主要有扭黄茅</w:t>
            </w:r>
            <w:r>
              <w:rPr>
                <w:rFonts w:ascii="Times New Roman" w:hAnsi="Times New Roman" w:eastAsia="宋体" w:cs="Times New Roman"/>
                <w:i/>
                <w:color w:val="auto"/>
                <w:kern w:val="0"/>
                <w:sz w:val="24"/>
              </w:rPr>
              <w:t>Heteropogon contortus、</w:t>
            </w:r>
            <w:r>
              <w:rPr>
                <w:rFonts w:ascii="Times New Roman" w:hAnsi="Times New Roman" w:eastAsia="宋体" w:cs="Times New Roman"/>
                <w:color w:val="auto"/>
                <w:kern w:val="0"/>
                <w:sz w:val="24"/>
              </w:rPr>
              <w:t>黄背草</w:t>
            </w:r>
            <w:r>
              <w:rPr>
                <w:rFonts w:ascii="Times New Roman" w:hAnsi="Times New Roman" w:eastAsia="宋体" w:cs="Times New Roman"/>
                <w:i/>
                <w:color w:val="auto"/>
                <w:kern w:val="0"/>
                <w:sz w:val="24"/>
              </w:rPr>
              <w:t>Themeda triandra</w:t>
            </w:r>
            <w:r>
              <w:rPr>
                <w:rFonts w:ascii="Times New Roman" w:hAnsi="Times New Roman" w:eastAsia="宋体" w:cs="Times New Roman"/>
                <w:color w:val="auto"/>
                <w:kern w:val="0"/>
                <w:sz w:val="24"/>
              </w:rPr>
              <w:t>、</w:t>
            </w:r>
            <w:r>
              <w:rPr>
                <w:rFonts w:hint="eastAsia" w:ascii="宋体" w:hAnsi="宋体" w:eastAsia="宋体" w:cs="宋体"/>
                <w:color w:val="auto"/>
                <w:kern w:val="0"/>
                <w:sz w:val="24"/>
              </w:rPr>
              <w:t>野古草</w:t>
            </w:r>
            <w:r>
              <w:rPr>
                <w:rFonts w:ascii="Times New Roman" w:hAnsi="Times New Roman" w:eastAsia="宋体" w:cs="Times New Roman"/>
                <w:i/>
                <w:color w:val="auto"/>
                <w:kern w:val="0"/>
                <w:sz w:val="24"/>
              </w:rPr>
              <w:t>Arundinella anomala，</w:t>
            </w:r>
            <w:r>
              <w:rPr>
                <w:rFonts w:ascii="Times New Roman" w:hAnsi="Times New Roman" w:eastAsia="宋体" w:cs="Times New Roman"/>
                <w:color w:val="auto"/>
                <w:kern w:val="0"/>
                <w:sz w:val="24"/>
              </w:rPr>
              <w:t>其它有穗莎草</w:t>
            </w:r>
            <w:r>
              <w:rPr>
                <w:rFonts w:ascii="Times New Roman" w:hAnsi="Times New Roman" w:eastAsia="宋体" w:cs="Times New Roman"/>
                <w:i/>
                <w:iCs/>
                <w:color w:val="auto"/>
                <w:kern w:val="0"/>
                <w:sz w:val="24"/>
              </w:rPr>
              <w:t>Cyperus eleusinoides、</w:t>
            </w:r>
            <w:r>
              <w:rPr>
                <w:rFonts w:ascii="Times New Roman" w:hAnsi="Times New Roman" w:eastAsia="宋体" w:cs="Times New Roman"/>
                <w:iCs/>
                <w:color w:val="auto"/>
                <w:kern w:val="0"/>
                <w:sz w:val="24"/>
              </w:rPr>
              <w:t>蔊菜</w:t>
            </w:r>
            <w:r>
              <w:rPr>
                <w:rFonts w:hint="eastAsia" w:ascii="Times New Roman" w:hAnsi="Times New Roman" w:eastAsia="宋体" w:cs="Times New Roman"/>
                <w:i/>
                <w:color w:val="auto"/>
                <w:kern w:val="0"/>
                <w:sz w:val="24"/>
              </w:rPr>
              <w:t>Rorippa indica</w:t>
            </w:r>
            <w:r>
              <w:rPr>
                <w:rFonts w:hint="eastAsia" w:ascii="宋体" w:hAnsi="宋体" w:eastAsia="宋体" w:cs="宋体"/>
                <w:color w:val="auto"/>
                <w:kern w:val="0"/>
                <w:sz w:val="24"/>
              </w:rPr>
              <w:t>、紫花地丁</w:t>
            </w:r>
            <w:r>
              <w:rPr>
                <w:rFonts w:ascii="Times New Roman" w:hAnsi="Times New Roman" w:eastAsia="宋体" w:cs="Times New Roman"/>
                <w:i/>
                <w:color w:val="auto"/>
                <w:kern w:val="0"/>
                <w:sz w:val="24"/>
              </w:rPr>
              <w:t>Viola philippica</w:t>
            </w:r>
            <w:r>
              <w:rPr>
                <w:rFonts w:ascii="Times New Roman" w:hAnsi="Times New Roman" w:eastAsia="宋体" w:cs="Times New Roman"/>
                <w:color w:val="auto"/>
                <w:kern w:val="0"/>
                <w:sz w:val="24"/>
              </w:rPr>
              <w:t>、繁缕</w:t>
            </w:r>
            <w:r>
              <w:rPr>
                <w:rFonts w:hint="eastAsia" w:ascii="Times New Roman" w:hAnsi="Times New Roman" w:eastAsia="宋体" w:cs="Times New Roman"/>
                <w:i/>
                <w:color w:val="auto"/>
                <w:kern w:val="0"/>
                <w:sz w:val="24"/>
              </w:rPr>
              <w:t>Stellaria media</w:t>
            </w:r>
            <w:r>
              <w:rPr>
                <w:rFonts w:hint="eastAsia" w:ascii="宋体" w:hAnsi="宋体" w:eastAsia="宋体" w:cs="宋体"/>
                <w:color w:val="auto"/>
                <w:kern w:val="0"/>
                <w:sz w:val="24"/>
              </w:rPr>
              <w:t>、喜旱莲子草</w:t>
            </w:r>
            <w:r>
              <w:rPr>
                <w:rFonts w:ascii="Times New Roman" w:hAnsi="Times New Roman" w:eastAsia="宋体" w:cs="Times New Roman"/>
                <w:i/>
                <w:color w:val="auto"/>
                <w:kern w:val="0"/>
                <w:sz w:val="24"/>
              </w:rPr>
              <w:t>Alternanthera philoxeroides</w:t>
            </w:r>
            <w:r>
              <w:rPr>
                <w:rFonts w:ascii="Times New Roman" w:hAnsi="Times New Roman" w:eastAsia="宋体" w:cs="Times New Roman"/>
                <w:color w:val="auto"/>
                <w:kern w:val="0"/>
                <w:sz w:val="24"/>
              </w:rPr>
              <w:t>、小叶三点金</w:t>
            </w:r>
            <w:r>
              <w:rPr>
                <w:rFonts w:ascii="Times New Roman" w:hAnsi="Times New Roman" w:eastAsia="宋体" w:cs="Times New Roman"/>
                <w:i/>
                <w:color w:val="auto"/>
                <w:kern w:val="0"/>
                <w:sz w:val="24"/>
              </w:rPr>
              <w:t>Desmodium microphyllum</w:t>
            </w:r>
            <w:r>
              <w:rPr>
                <w:rFonts w:hint="eastAsia" w:ascii="Times New Roman" w:hAnsi="Times New Roman" w:eastAsia="宋体" w:cs="Times New Roman"/>
                <w:color w:val="auto"/>
                <w:kern w:val="0"/>
                <w:sz w:val="24"/>
              </w:rPr>
              <w:t>、香青</w:t>
            </w:r>
            <w:r>
              <w:rPr>
                <w:rFonts w:ascii="Times New Roman" w:hAnsi="Times New Roman" w:eastAsia="宋体" w:cs="Times New Roman"/>
                <w:i/>
                <w:color w:val="auto"/>
                <w:kern w:val="0"/>
                <w:sz w:val="24"/>
              </w:rPr>
              <w:t>Anaphalis sinica</w:t>
            </w:r>
            <w:r>
              <w:rPr>
                <w:rFonts w:ascii="Times New Roman" w:hAnsi="Times New Roman" w:eastAsia="宋体" w:cs="Times New Roman"/>
                <w:color w:val="auto"/>
                <w:kern w:val="0"/>
                <w:sz w:val="24"/>
              </w:rPr>
              <w:t>、白酒草</w:t>
            </w:r>
            <w:r>
              <w:rPr>
                <w:rFonts w:ascii="Times New Roman" w:hAnsi="Times New Roman" w:eastAsia="宋体" w:cs="Times New Roman"/>
                <w:i/>
                <w:color w:val="auto"/>
                <w:kern w:val="0"/>
                <w:sz w:val="24"/>
              </w:rPr>
              <w:t>Conyza japonica</w:t>
            </w:r>
            <w:r>
              <w:rPr>
                <w:rFonts w:ascii="Times New Roman" w:hAnsi="Times New Roman" w:eastAsia="宋体" w:cs="Times New Roman"/>
                <w:color w:val="auto"/>
                <w:kern w:val="0"/>
                <w:sz w:val="24"/>
              </w:rPr>
              <w:t>、鱼眼草</w:t>
            </w:r>
            <w:r>
              <w:rPr>
                <w:rFonts w:ascii="Times New Roman" w:hAnsi="Times New Roman" w:eastAsia="宋体" w:cs="Times New Roman"/>
                <w:i/>
                <w:color w:val="auto"/>
                <w:kern w:val="0"/>
                <w:sz w:val="24"/>
              </w:rPr>
              <w:t>Dichrocephala integrifolia</w:t>
            </w:r>
            <w:r>
              <w:rPr>
                <w:rFonts w:ascii="Times New Roman" w:hAnsi="Times New Roman" w:eastAsia="宋体" w:cs="Times New Roman"/>
                <w:color w:val="auto"/>
                <w:kern w:val="0"/>
                <w:sz w:val="24"/>
              </w:rPr>
              <w:t>、羽芒菊</w:t>
            </w:r>
            <w:r>
              <w:rPr>
                <w:rFonts w:ascii="Times New Roman" w:hAnsi="Times New Roman" w:eastAsia="宋体" w:cs="Times New Roman"/>
                <w:i/>
                <w:color w:val="auto"/>
                <w:kern w:val="0"/>
                <w:sz w:val="24"/>
              </w:rPr>
              <w:t>Tridax procumbens</w:t>
            </w:r>
            <w:r>
              <w:rPr>
                <w:rFonts w:ascii="Times New Roman" w:hAnsi="Times New Roman" w:eastAsia="宋体" w:cs="Times New Roman"/>
                <w:color w:val="auto"/>
                <w:kern w:val="0"/>
                <w:sz w:val="24"/>
              </w:rPr>
              <w:t>、画眉草</w:t>
            </w:r>
            <w:r>
              <w:rPr>
                <w:rFonts w:ascii="Times New Roman" w:hAnsi="Times New Roman" w:eastAsia="宋体" w:cs="Times New Roman"/>
                <w:i/>
                <w:color w:val="auto"/>
                <w:kern w:val="0"/>
                <w:sz w:val="24"/>
              </w:rPr>
              <w:t>Eragrostis pilosa</w:t>
            </w:r>
            <w:r>
              <w:rPr>
                <w:rFonts w:ascii="Times New Roman" w:hAnsi="Times New Roman" w:eastAsia="宋体" w:cs="Times New Roman"/>
                <w:color w:val="auto"/>
                <w:kern w:val="0"/>
                <w:sz w:val="24"/>
              </w:rPr>
              <w:t>、地胆草</w:t>
            </w:r>
            <w:r>
              <w:rPr>
                <w:rFonts w:ascii="Times New Roman" w:hAnsi="Times New Roman" w:eastAsia="宋体" w:cs="Times New Roman"/>
                <w:i/>
                <w:color w:val="auto"/>
                <w:kern w:val="0"/>
                <w:sz w:val="24"/>
              </w:rPr>
              <w:t>Elephantopus scaber</w:t>
            </w:r>
            <w:r>
              <w:rPr>
                <w:rFonts w:ascii="Times New Roman" w:hAnsi="Times New Roman" w:eastAsia="宋体" w:cs="Times New Roman"/>
                <w:i/>
                <w:iCs/>
                <w:color w:val="auto"/>
                <w:kern w:val="0"/>
                <w:sz w:val="24"/>
              </w:rPr>
              <w:t>、</w:t>
            </w:r>
            <w:r>
              <w:rPr>
                <w:rFonts w:ascii="Times New Roman" w:hAnsi="Times New Roman" w:eastAsia="宋体" w:cs="Times New Roman"/>
                <w:color w:val="auto"/>
                <w:kern w:val="0"/>
                <w:sz w:val="24"/>
              </w:rPr>
              <w:t>狗尾草</w:t>
            </w:r>
            <w:r>
              <w:rPr>
                <w:rFonts w:ascii="Times New Roman" w:hAnsi="Times New Roman" w:eastAsia="宋体" w:cs="Times New Roman"/>
                <w:i/>
                <w:color w:val="auto"/>
                <w:kern w:val="0"/>
                <w:sz w:val="24"/>
              </w:rPr>
              <w:t>Setaria viridis</w:t>
            </w:r>
            <w:r>
              <w:rPr>
                <w:rFonts w:ascii="Times New Roman" w:hAnsi="Times New Roman" w:eastAsia="宋体" w:cs="Times New Roman"/>
                <w:i/>
                <w:iCs/>
                <w:color w:val="auto"/>
                <w:kern w:val="0"/>
                <w:sz w:val="24"/>
              </w:rPr>
              <w:t>、</w:t>
            </w:r>
            <w:r>
              <w:rPr>
                <w:rFonts w:ascii="Times New Roman" w:hAnsi="Times New Roman" w:eastAsia="宋体" w:cs="Times New Roman"/>
                <w:color w:val="auto"/>
                <w:kern w:val="0"/>
                <w:sz w:val="24"/>
              </w:rPr>
              <w:t>鬼针草</w:t>
            </w:r>
            <w:r>
              <w:rPr>
                <w:rFonts w:ascii="Times New Roman" w:hAnsi="Times New Roman" w:eastAsia="宋体" w:cs="Times New Roman"/>
                <w:i/>
                <w:color w:val="auto"/>
                <w:kern w:val="0"/>
                <w:sz w:val="24"/>
              </w:rPr>
              <w:t>Bidens pilosa</w:t>
            </w:r>
            <w:r>
              <w:rPr>
                <w:rFonts w:ascii="Times New Roman" w:hAnsi="Times New Roman" w:eastAsia="宋体" w:cs="Times New Roman"/>
                <w:i/>
                <w:iCs/>
                <w:color w:val="auto"/>
                <w:kern w:val="0"/>
                <w:sz w:val="24"/>
              </w:rPr>
              <w:t>、</w:t>
            </w:r>
            <w:r>
              <w:rPr>
                <w:rFonts w:ascii="Times New Roman" w:hAnsi="Times New Roman" w:eastAsia="宋体" w:cs="Times New Roman"/>
                <w:color w:val="auto"/>
                <w:kern w:val="0"/>
                <w:sz w:val="24"/>
              </w:rPr>
              <w:t>大陆剪股颖</w:t>
            </w:r>
            <w:r>
              <w:rPr>
                <w:rFonts w:ascii="Times New Roman" w:hAnsi="Times New Roman" w:eastAsia="宋体" w:cs="Times New Roman"/>
                <w:i/>
                <w:iCs/>
                <w:color w:val="auto"/>
                <w:kern w:val="0"/>
                <w:sz w:val="24"/>
              </w:rPr>
              <w:t>Agrostis continentalis、</w:t>
            </w:r>
            <w:r>
              <w:rPr>
                <w:rFonts w:ascii="Times New Roman" w:hAnsi="Times New Roman" w:eastAsia="宋体" w:cs="Times New Roman"/>
                <w:color w:val="auto"/>
                <w:kern w:val="0"/>
                <w:sz w:val="24"/>
              </w:rPr>
              <w:t>柳叶菜</w:t>
            </w:r>
            <w:r>
              <w:rPr>
                <w:rFonts w:ascii="Times New Roman" w:hAnsi="Times New Roman" w:eastAsia="宋体" w:cs="Times New Roman"/>
                <w:i/>
                <w:iCs/>
                <w:color w:val="auto"/>
                <w:kern w:val="0"/>
                <w:sz w:val="24"/>
              </w:rPr>
              <w:t>Epilobium hirsutum、</w:t>
            </w:r>
            <w:r>
              <w:rPr>
                <w:rFonts w:ascii="Times New Roman" w:hAnsi="Times New Roman" w:eastAsia="宋体" w:cs="Times New Roman"/>
                <w:color w:val="auto"/>
                <w:kern w:val="0"/>
                <w:sz w:val="24"/>
              </w:rPr>
              <w:t>石海椒</w:t>
            </w:r>
            <w:r>
              <w:rPr>
                <w:rFonts w:ascii="Times New Roman" w:hAnsi="Times New Roman" w:eastAsia="宋体" w:cs="Times New Roman"/>
                <w:i/>
                <w:iCs/>
                <w:color w:val="auto"/>
                <w:kern w:val="0"/>
                <w:sz w:val="24"/>
              </w:rPr>
              <w:t>Reinwardtia indica、</w:t>
            </w:r>
            <w:r>
              <w:rPr>
                <w:rFonts w:ascii="Times New Roman" w:hAnsi="Times New Roman" w:eastAsia="宋体" w:cs="Times New Roman"/>
                <w:color w:val="auto"/>
                <w:kern w:val="0"/>
                <w:sz w:val="24"/>
              </w:rPr>
              <w:t>束尾草</w:t>
            </w:r>
            <w:r>
              <w:rPr>
                <w:rFonts w:ascii="Times New Roman" w:hAnsi="Times New Roman" w:eastAsia="宋体" w:cs="Times New Roman"/>
                <w:i/>
                <w:iCs/>
                <w:color w:val="auto"/>
                <w:kern w:val="0"/>
                <w:sz w:val="24"/>
              </w:rPr>
              <w:t>Phacelurus latifolius、</w:t>
            </w:r>
            <w:r>
              <w:rPr>
                <w:rFonts w:ascii="Times New Roman" w:hAnsi="Times New Roman" w:eastAsia="宋体" w:cs="Times New Roman"/>
                <w:color w:val="auto"/>
                <w:kern w:val="0"/>
                <w:sz w:val="24"/>
              </w:rPr>
              <w:t>万寿菊</w:t>
            </w:r>
            <w:r>
              <w:rPr>
                <w:rFonts w:ascii="Times New Roman" w:hAnsi="Times New Roman" w:eastAsia="宋体" w:cs="Times New Roman"/>
                <w:i/>
                <w:iCs/>
                <w:color w:val="auto"/>
                <w:kern w:val="0"/>
                <w:sz w:val="24"/>
              </w:rPr>
              <w:t>Tagetes erecta、</w:t>
            </w:r>
            <w:r>
              <w:rPr>
                <w:rFonts w:ascii="Times New Roman" w:hAnsi="Times New Roman" w:eastAsia="宋体" w:cs="Times New Roman"/>
                <w:color w:val="auto"/>
                <w:kern w:val="0"/>
                <w:sz w:val="24"/>
              </w:rPr>
              <w:t>细柄野荞麦</w:t>
            </w:r>
            <w:r>
              <w:rPr>
                <w:rFonts w:ascii="Times New Roman" w:hAnsi="Times New Roman" w:eastAsia="宋体" w:cs="Times New Roman"/>
                <w:i/>
                <w:iCs/>
                <w:color w:val="auto"/>
                <w:kern w:val="0"/>
                <w:sz w:val="24"/>
              </w:rPr>
              <w:t>Fagopyrum gracilipes、</w:t>
            </w:r>
            <w:r>
              <w:rPr>
                <w:rFonts w:ascii="Times New Roman" w:hAnsi="Times New Roman" w:eastAsia="宋体" w:cs="Times New Roman"/>
                <w:color w:val="auto"/>
                <w:kern w:val="0"/>
                <w:sz w:val="24"/>
              </w:rPr>
              <w:t>野雉尾金粉蕨</w:t>
            </w:r>
            <w:r>
              <w:rPr>
                <w:rFonts w:ascii="Times New Roman" w:hAnsi="Times New Roman" w:eastAsia="宋体" w:cs="Times New Roman"/>
                <w:i/>
                <w:iCs/>
                <w:color w:val="auto"/>
                <w:kern w:val="0"/>
                <w:sz w:val="24"/>
              </w:rPr>
              <w:t>Onychium japonicum、</w:t>
            </w:r>
            <w:r>
              <w:rPr>
                <w:rFonts w:ascii="Times New Roman" w:hAnsi="Times New Roman" w:eastAsia="宋体" w:cs="Times New Roman"/>
                <w:color w:val="auto"/>
                <w:kern w:val="0"/>
                <w:sz w:val="24"/>
              </w:rPr>
              <w:t>硬秆子草</w:t>
            </w:r>
            <w:r>
              <w:rPr>
                <w:rFonts w:ascii="Times New Roman" w:hAnsi="Times New Roman" w:eastAsia="宋体" w:cs="Times New Roman"/>
                <w:i/>
                <w:iCs/>
                <w:color w:val="auto"/>
                <w:kern w:val="0"/>
                <w:sz w:val="24"/>
              </w:rPr>
              <w:t>Capillipedium assimile、</w:t>
            </w:r>
            <w:r>
              <w:rPr>
                <w:rFonts w:ascii="Times New Roman" w:hAnsi="Times New Roman" w:eastAsia="宋体" w:cs="Times New Roman"/>
                <w:color w:val="auto"/>
                <w:kern w:val="0"/>
                <w:sz w:val="24"/>
              </w:rPr>
              <w:t>芸香草</w:t>
            </w:r>
            <w:r>
              <w:rPr>
                <w:rFonts w:ascii="Times New Roman" w:hAnsi="Times New Roman" w:eastAsia="宋体" w:cs="Times New Roman"/>
                <w:i/>
                <w:iCs/>
                <w:color w:val="auto"/>
                <w:kern w:val="0"/>
                <w:sz w:val="24"/>
              </w:rPr>
              <w:t>Cymbopogon distans</w:t>
            </w:r>
            <w:r>
              <w:rPr>
                <w:rFonts w:ascii="Times New Roman" w:hAnsi="Times New Roman" w:eastAsia="宋体" w:cs="Times New Roman"/>
                <w:iCs/>
                <w:color w:val="auto"/>
                <w:kern w:val="0"/>
                <w:sz w:val="24"/>
              </w:rPr>
              <w:t>等。</w:t>
            </w:r>
          </w:p>
          <w:p>
            <w:pPr>
              <w:spacing w:line="360" w:lineRule="auto"/>
              <w:ind w:firstLine="480"/>
              <w:rPr>
                <w:rFonts w:ascii="Times New Roman" w:hAnsi="Times New Roman" w:eastAsia="宋体" w:cs="Times New Roman"/>
                <w:color w:val="auto"/>
              </w:rPr>
            </w:pPr>
            <w:r>
              <w:rPr>
                <w:rFonts w:ascii="Times New Roman" w:hAnsi="Times New Roman" w:eastAsia="宋体" w:cs="Times New Roman"/>
                <w:color w:val="auto"/>
                <w:sz w:val="24"/>
              </w:rPr>
              <w:t>群落中层间层植物较少，零星分布云南娃儿藤</w:t>
            </w:r>
            <w:r>
              <w:rPr>
                <w:rFonts w:ascii="Times New Roman" w:hAnsi="Times New Roman" w:eastAsia="宋体" w:cs="Times New Roman"/>
                <w:i/>
                <w:color w:val="auto"/>
                <w:kern w:val="0"/>
                <w:sz w:val="24"/>
              </w:rPr>
              <w:t>Tylophora yunnanensis</w:t>
            </w:r>
            <w:r>
              <w:rPr>
                <w:rFonts w:ascii="Times New Roman" w:hAnsi="Times New Roman" w:eastAsia="宋体" w:cs="Times New Roman"/>
                <w:i/>
                <w:color w:val="auto"/>
                <w:sz w:val="24"/>
              </w:rPr>
              <w:t>、</w:t>
            </w:r>
            <w:r>
              <w:rPr>
                <w:rFonts w:ascii="Times New Roman" w:hAnsi="Times New Roman" w:eastAsia="宋体" w:cs="Times New Roman"/>
                <w:color w:val="auto"/>
                <w:sz w:val="24"/>
              </w:rPr>
              <w:t>天门冬</w:t>
            </w:r>
            <w:r>
              <w:rPr>
                <w:rFonts w:ascii="Times New Roman" w:hAnsi="Times New Roman" w:eastAsia="宋体" w:cs="Times New Roman"/>
                <w:i/>
                <w:color w:val="auto"/>
                <w:kern w:val="0"/>
                <w:sz w:val="24"/>
              </w:rPr>
              <w:t>Asparagus cochinchinensis</w:t>
            </w:r>
            <w:r>
              <w:rPr>
                <w:rFonts w:hint="eastAsia" w:ascii="Times New Roman" w:hAnsi="Times New Roman" w:eastAsia="宋体" w:cs="Times New Roman"/>
                <w:color w:val="auto"/>
                <w:kern w:val="0"/>
                <w:sz w:val="24"/>
              </w:rPr>
              <w:t>、</w:t>
            </w:r>
            <w:r>
              <w:rPr>
                <w:rFonts w:ascii="Times New Roman" w:hAnsi="Times New Roman" w:eastAsia="宋体" w:cs="Times New Roman"/>
                <w:color w:val="auto"/>
                <w:sz w:val="24"/>
              </w:rPr>
              <w:t>虫豆</w:t>
            </w:r>
            <w:r>
              <w:rPr>
                <w:rFonts w:ascii="Times New Roman" w:hAnsi="Times New Roman" w:eastAsia="宋体" w:cs="Times New Roman"/>
                <w:i/>
                <w:color w:val="auto"/>
                <w:sz w:val="24"/>
              </w:rPr>
              <w:t>Cajanus crassus</w:t>
            </w:r>
            <w:r>
              <w:rPr>
                <w:rFonts w:ascii="Times New Roman" w:hAnsi="Times New Roman" w:eastAsia="宋体" w:cs="Times New Roman"/>
                <w:color w:val="auto"/>
                <w:sz w:val="24"/>
              </w:rPr>
              <w:t>等；均为藤本</w:t>
            </w:r>
            <w:r>
              <w:rPr>
                <w:rFonts w:hint="eastAsia" w:ascii="Times New Roman" w:hAnsi="Times New Roman" w:eastAsia="宋体" w:cs="Times New Roman"/>
                <w:color w:val="auto"/>
                <w:sz w:val="24"/>
              </w:rPr>
              <w:t>。</w:t>
            </w:r>
          </w:p>
          <w:p>
            <w:pPr>
              <w:spacing w:line="360" w:lineRule="auto"/>
              <w:ind w:firstLine="458"/>
              <w:rPr>
                <w:rFonts w:ascii="Times New Roman" w:hAnsi="Times New Roman" w:eastAsia="宋体" w:cs="Times New Roman"/>
                <w:color w:val="auto"/>
                <w:sz w:val="24"/>
              </w:rPr>
            </w:pPr>
            <w:r>
              <w:rPr>
                <w:rFonts w:hint="eastAsia" w:ascii="宋体" w:hAnsi="宋体" w:eastAsia="宋体" w:cs="宋体"/>
                <w:b/>
                <w:color w:val="auto"/>
                <w:spacing w:val="-6"/>
                <w:kern w:val="0"/>
                <w:sz w:val="24"/>
              </w:rPr>
              <w:t>④</w:t>
            </w:r>
            <w:r>
              <w:rPr>
                <w:rFonts w:hint="eastAsia" w:ascii="宋体" w:hAnsi="Times New Roman" w:eastAsia="宋体" w:cs="Times New Roman"/>
                <w:b/>
                <w:color w:val="auto"/>
              </w:rPr>
              <w:t>锥连栎、</w:t>
            </w:r>
            <w:r>
              <w:rPr>
                <w:rFonts w:hint="eastAsia" w:ascii="宋体" w:hAnsi="宋体" w:eastAsia="宋体" w:cs="宋体"/>
                <w:b/>
                <w:color w:val="auto"/>
                <w:szCs w:val="21"/>
              </w:rPr>
              <w:t>车桑子、</w:t>
            </w:r>
            <w:r>
              <w:rPr>
                <w:rFonts w:ascii="宋体" w:hAnsi="宋体" w:eastAsia="宋体" w:cs="宋体"/>
                <w:b/>
                <w:color w:val="auto"/>
                <w:szCs w:val="21"/>
              </w:rPr>
              <w:t>扭黄茅</w:t>
            </w:r>
            <w:r>
              <w:rPr>
                <w:rFonts w:hint="eastAsia" w:ascii="宋体" w:hAnsi="Times New Roman" w:eastAsia="宋体" w:cs="Times New Roman"/>
                <w:b/>
                <w:color w:val="auto"/>
              </w:rPr>
              <w:t>群落</w:t>
            </w:r>
          </w:p>
          <w:p>
            <w:pPr>
              <w:spacing w:line="360" w:lineRule="auto"/>
              <w:ind w:firstLine="480" w:firstLineChars="200"/>
              <w:rPr>
                <w:rFonts w:ascii="宋体" w:hAnsi="宋体" w:eastAsia="宋体" w:cs="Times New Roman"/>
                <w:color w:val="auto"/>
                <w:sz w:val="24"/>
                <w:lang w:val="zh-CN"/>
              </w:rPr>
            </w:pPr>
            <w:r>
              <w:rPr>
                <w:rFonts w:hint="eastAsia" w:ascii="宋体" w:hAnsi="Times New Roman" w:eastAsia="宋体" w:cs="宋体"/>
                <w:color w:val="auto"/>
                <w:kern w:val="0"/>
                <w:sz w:val="24"/>
              </w:rPr>
              <w:t>锥连栎、</w:t>
            </w:r>
            <w:r>
              <w:rPr>
                <w:rFonts w:hint="eastAsia" w:ascii="宋体" w:hAnsi="宋体" w:eastAsia="宋体" w:cs="宋体"/>
                <w:color w:val="auto"/>
                <w:szCs w:val="21"/>
              </w:rPr>
              <w:t>车桑子</w:t>
            </w:r>
            <w:r>
              <w:rPr>
                <w:rFonts w:hint="eastAsia" w:ascii="宋体" w:hAnsi="宋体" w:eastAsia="宋体" w:cs="宋体"/>
                <w:b/>
                <w:color w:val="auto"/>
                <w:szCs w:val="21"/>
              </w:rPr>
              <w:t>、</w:t>
            </w:r>
            <w:r>
              <w:rPr>
                <w:rFonts w:hint="eastAsia" w:ascii="宋体" w:hAnsi="Times New Roman" w:eastAsia="宋体" w:cs="宋体"/>
                <w:color w:val="auto"/>
                <w:kern w:val="0"/>
                <w:sz w:val="24"/>
              </w:rPr>
              <w:t>黄茅群落</w:t>
            </w:r>
            <w:r>
              <w:rPr>
                <w:rFonts w:ascii="宋体" w:hAnsi="宋体" w:eastAsia="宋体" w:cs="Times New Roman"/>
                <w:color w:val="auto"/>
                <w:kern w:val="0"/>
                <w:sz w:val="24"/>
              </w:rPr>
              <w:t>外貌有残留植被的特征，乔木层较稀疏</w:t>
            </w:r>
            <w:r>
              <w:rPr>
                <w:rFonts w:ascii="宋体" w:hAnsi="宋体" w:eastAsia="宋体" w:cs="Times New Roman"/>
                <w:color w:val="auto"/>
                <w:sz w:val="24"/>
                <w:lang w:val="zh-CN"/>
              </w:rPr>
              <w:t>，受人为干扰的痕迹明显，</w:t>
            </w:r>
            <w:r>
              <w:rPr>
                <w:rFonts w:hint="eastAsia" w:ascii="宋体" w:hAnsi="宋体" w:eastAsia="宋体" w:cs="Times New Roman"/>
                <w:color w:val="auto"/>
                <w:sz w:val="24"/>
                <w:lang w:val="zh-CN"/>
              </w:rPr>
              <w:t>大多</w:t>
            </w:r>
            <w:r>
              <w:rPr>
                <w:rFonts w:ascii="宋体" w:hAnsi="宋体" w:eastAsia="宋体" w:cs="Times New Roman"/>
                <w:color w:val="auto"/>
                <w:sz w:val="24"/>
                <w:lang w:val="zh-CN"/>
              </w:rPr>
              <w:t>地区呈灌木状。</w:t>
            </w:r>
            <w:r>
              <w:rPr>
                <w:rFonts w:hint="eastAsia" w:ascii="宋体" w:hAnsi="Times New Roman" w:eastAsia="宋体" w:cs="宋体"/>
                <w:color w:val="auto"/>
                <w:kern w:val="0"/>
                <w:sz w:val="24"/>
              </w:rPr>
              <w:t>群落结构以中等高度的耐旱禾草扭黄茅（</w:t>
            </w:r>
            <w:r>
              <w:rPr>
                <w:rFonts w:ascii="Times New Roman" w:hAnsi="Times New Roman" w:eastAsia="宋体" w:cs="Times New Roman"/>
                <w:i/>
                <w:iCs/>
                <w:color w:val="auto"/>
                <w:kern w:val="0"/>
                <w:sz w:val="24"/>
              </w:rPr>
              <w:t>Heteropogoncontortus</w:t>
            </w:r>
            <w:r>
              <w:rPr>
                <w:rFonts w:hint="eastAsia" w:ascii="宋体" w:hAnsi="Times New Roman" w:eastAsia="宋体" w:cs="宋体"/>
                <w:color w:val="auto"/>
                <w:kern w:val="0"/>
                <w:sz w:val="24"/>
              </w:rPr>
              <w:t>）为主要层次，灌木稀少，夹生于草丛之中，稀树分散生长，树木之间距离很大，树干粗壮而弯曲，树皮粗厚</w:t>
            </w:r>
            <w:r>
              <w:rPr>
                <w:rFonts w:ascii="宋体" w:hAnsi="宋体" w:eastAsia="宋体" w:cs="Times New Roman"/>
                <w:color w:val="auto"/>
                <w:sz w:val="24"/>
                <w:lang w:val="zh-CN"/>
              </w:rPr>
              <w:t>乔木层主要种类有</w:t>
            </w:r>
            <w:r>
              <w:rPr>
                <w:rFonts w:hint="eastAsia" w:ascii="宋体" w:hAnsi="宋体" w:eastAsia="宋体" w:cs="宋体"/>
                <w:color w:val="auto"/>
                <w:kern w:val="0"/>
                <w:sz w:val="24"/>
              </w:rPr>
              <w:t>锥连栎（</w:t>
            </w:r>
            <w:r>
              <w:rPr>
                <w:rFonts w:ascii="宋体" w:hAnsi="宋体" w:eastAsia="宋体" w:cs="Times New Roman"/>
                <w:i/>
                <w:iCs/>
                <w:color w:val="auto"/>
                <w:kern w:val="0"/>
                <w:sz w:val="24"/>
              </w:rPr>
              <w:t>Quercus ranchetii</w:t>
            </w:r>
            <w:r>
              <w:rPr>
                <w:rFonts w:hint="eastAsia" w:ascii="宋体" w:hAnsi="宋体" w:eastAsia="宋体" w:cs="宋体"/>
                <w:color w:val="auto"/>
                <w:kern w:val="0"/>
                <w:sz w:val="24"/>
              </w:rPr>
              <w:t>）</w:t>
            </w:r>
            <w:r>
              <w:rPr>
                <w:rFonts w:ascii="宋体" w:hAnsi="宋体" w:eastAsia="宋体" w:cs="Times New Roman"/>
                <w:color w:val="auto"/>
                <w:sz w:val="24"/>
                <w:lang w:val="zh-CN"/>
              </w:rPr>
              <w:t>、</w:t>
            </w:r>
            <w:r>
              <w:rPr>
                <w:rFonts w:hint="eastAsia" w:ascii="Times New Roman" w:hAnsi="Times New Roman" w:eastAsia="宋体" w:cs="Times New Roman"/>
                <w:color w:val="auto"/>
                <w:kern w:val="0"/>
                <w:sz w:val="24"/>
              </w:rPr>
              <w:t>车桑子（</w:t>
            </w:r>
            <w:r>
              <w:rPr>
                <w:rFonts w:ascii="宋体" w:hAnsi="宋体" w:eastAsia="宋体" w:cs="Times New Roman"/>
                <w:i/>
                <w:iCs/>
                <w:color w:val="auto"/>
                <w:sz w:val="24"/>
                <w:lang w:val="zh-CN"/>
              </w:rPr>
              <w:t>Dodonaea viscos</w:t>
            </w:r>
            <w:r>
              <w:rPr>
                <w:rFonts w:hint="eastAsia" w:ascii="宋体" w:hAnsi="宋体" w:eastAsia="宋体" w:cs="Times New Roman"/>
                <w:i/>
                <w:iCs/>
                <w:color w:val="auto"/>
                <w:sz w:val="24"/>
                <w:lang w:val="zh-CN"/>
              </w:rPr>
              <w:t>a</w:t>
            </w:r>
            <w:r>
              <w:rPr>
                <w:rFonts w:hint="eastAsia" w:ascii="Times New Roman" w:hAnsi="Times New Roman" w:eastAsia="宋体" w:cs="Times New Roman"/>
                <w:color w:val="auto"/>
                <w:kern w:val="0"/>
                <w:sz w:val="24"/>
              </w:rPr>
              <w:t>）</w:t>
            </w:r>
            <w:r>
              <w:rPr>
                <w:rFonts w:hint="eastAsia" w:ascii="宋体" w:hAnsi="宋体" w:eastAsia="宋体" w:cs="Times New Roman"/>
                <w:i/>
                <w:iCs/>
                <w:color w:val="auto"/>
                <w:sz w:val="24"/>
                <w:lang w:val="zh-CN"/>
              </w:rPr>
              <w:t>、</w:t>
            </w:r>
            <w:r>
              <w:rPr>
                <w:rFonts w:hint="eastAsia" w:ascii="Times New Roman" w:hAnsi="Times New Roman" w:eastAsia="宋体" w:cs="Times New Roman"/>
                <w:color w:val="auto"/>
                <w:kern w:val="0"/>
                <w:sz w:val="24"/>
              </w:rPr>
              <w:t>华西小石积（</w:t>
            </w:r>
            <w:r>
              <w:rPr>
                <w:rFonts w:hint="eastAsia" w:ascii="宋体" w:hAnsi="宋体" w:eastAsia="宋体" w:cs="Times New Roman"/>
                <w:i/>
                <w:iCs/>
                <w:color w:val="auto"/>
                <w:sz w:val="24"/>
                <w:lang w:val="zh-CN"/>
              </w:rPr>
              <w:t>Osteomeles schwerinae</w:t>
            </w:r>
            <w:r>
              <w:rPr>
                <w:rFonts w:hint="eastAsia" w:ascii="Times New Roman" w:hAnsi="Times New Roman" w:eastAsia="宋体" w:cs="Times New Roman"/>
                <w:color w:val="auto"/>
                <w:kern w:val="0"/>
                <w:sz w:val="24"/>
              </w:rPr>
              <w:t>）</w:t>
            </w:r>
            <w:r>
              <w:rPr>
                <w:rFonts w:ascii="宋体" w:hAnsi="宋体" w:eastAsia="宋体" w:cs="Times New Roman"/>
                <w:color w:val="auto"/>
                <w:sz w:val="24"/>
                <w:lang w:val="zh-CN"/>
              </w:rPr>
              <w:t>等。</w:t>
            </w:r>
            <w:r>
              <w:rPr>
                <w:rFonts w:hint="eastAsia" w:ascii="宋体" w:hAnsi="宋体" w:eastAsia="宋体" w:cs="宋体"/>
                <w:color w:val="auto"/>
                <w:kern w:val="0"/>
                <w:sz w:val="24"/>
              </w:rPr>
              <w:t>其它常见的树种有：余甘子（</w:t>
            </w:r>
            <w:r>
              <w:rPr>
                <w:rFonts w:ascii="宋体" w:hAnsi="宋体" w:eastAsia="宋体" w:cs="Times New Roman"/>
                <w:i/>
                <w:iCs/>
                <w:color w:val="auto"/>
                <w:kern w:val="0"/>
                <w:sz w:val="24"/>
              </w:rPr>
              <w:t>Phyllanthus emblica</w:t>
            </w:r>
            <w:r>
              <w:rPr>
                <w:rFonts w:hint="eastAsia" w:ascii="宋体" w:hAnsi="宋体" w:eastAsia="宋体" w:cs="宋体"/>
                <w:color w:val="auto"/>
                <w:kern w:val="0"/>
                <w:sz w:val="24"/>
              </w:rPr>
              <w:t>）、木棉（</w:t>
            </w:r>
            <w:r>
              <w:rPr>
                <w:rFonts w:ascii="宋体" w:hAnsi="宋体" w:eastAsia="宋体" w:cs="Times New Roman"/>
                <w:i/>
                <w:iCs/>
                <w:color w:val="auto"/>
                <w:kern w:val="0"/>
                <w:sz w:val="24"/>
              </w:rPr>
              <w:t>Bombax ceiba</w:t>
            </w:r>
            <w:r>
              <w:rPr>
                <w:rFonts w:hint="eastAsia" w:ascii="宋体" w:hAnsi="宋体" w:eastAsia="宋体" w:cs="宋体"/>
                <w:color w:val="auto"/>
                <w:kern w:val="0"/>
                <w:sz w:val="24"/>
              </w:rPr>
              <w:t>）、千张纸（</w:t>
            </w:r>
            <w:r>
              <w:rPr>
                <w:rFonts w:ascii="宋体" w:hAnsi="宋体" w:eastAsia="宋体" w:cs="Times New Roman"/>
                <w:i/>
                <w:iCs/>
                <w:color w:val="auto"/>
                <w:kern w:val="0"/>
                <w:sz w:val="24"/>
              </w:rPr>
              <w:t>Oroxylum indicum</w:t>
            </w:r>
            <w:r>
              <w:rPr>
                <w:rFonts w:hint="eastAsia" w:ascii="宋体" w:hAnsi="宋体" w:eastAsia="宋体" w:cs="宋体"/>
                <w:color w:val="auto"/>
                <w:kern w:val="0"/>
                <w:sz w:val="24"/>
              </w:rPr>
              <w:t>）、山合欢（</w:t>
            </w:r>
            <w:r>
              <w:rPr>
                <w:rFonts w:ascii="宋体" w:hAnsi="宋体" w:eastAsia="宋体" w:cs="Times New Roman"/>
                <w:i/>
                <w:iCs/>
                <w:color w:val="auto"/>
                <w:kern w:val="0"/>
                <w:sz w:val="24"/>
              </w:rPr>
              <w:t>Albizia kalkora</w:t>
            </w:r>
            <w:r>
              <w:rPr>
                <w:rFonts w:hint="eastAsia" w:ascii="宋体" w:hAnsi="宋体" w:eastAsia="宋体" w:cs="宋体"/>
                <w:color w:val="auto"/>
                <w:kern w:val="0"/>
                <w:sz w:val="24"/>
              </w:rPr>
              <w:t>）、白腊树（</w:t>
            </w:r>
            <w:r>
              <w:rPr>
                <w:rFonts w:ascii="宋体" w:hAnsi="宋体" w:eastAsia="宋体" w:cs="Times New Roman"/>
                <w:i/>
                <w:iCs/>
                <w:color w:val="auto"/>
                <w:kern w:val="0"/>
                <w:sz w:val="24"/>
              </w:rPr>
              <w:t>Fraxinus chinensis</w:t>
            </w:r>
            <w:r>
              <w:rPr>
                <w:rFonts w:hint="eastAsia" w:ascii="宋体" w:hAnsi="宋体" w:eastAsia="宋体" w:cs="宋体"/>
                <w:color w:val="auto"/>
                <w:kern w:val="0"/>
                <w:sz w:val="24"/>
              </w:rPr>
              <w:t>）等。</w:t>
            </w:r>
          </w:p>
          <w:p>
            <w:pPr>
              <w:spacing w:line="360" w:lineRule="auto"/>
              <w:ind w:firstLine="480"/>
              <w:rPr>
                <w:rFonts w:ascii="宋体" w:hAnsi="宋体" w:eastAsia="宋体" w:cs="Times New Roman"/>
                <w:color w:val="auto"/>
                <w:sz w:val="24"/>
                <w:lang w:val="zh-CN"/>
              </w:rPr>
            </w:pPr>
            <w:r>
              <w:rPr>
                <w:rFonts w:ascii="宋体" w:hAnsi="宋体" w:eastAsia="宋体" w:cs="Times New Roman"/>
                <w:color w:val="auto"/>
                <w:sz w:val="24"/>
                <w:lang w:val="zh-CN"/>
              </w:rPr>
              <w:t>灌木层高1.5-2.0m，层盖度20-25%，主要种类仍有干热河谷常见种如余甘子(</w:t>
            </w:r>
            <w:r>
              <w:rPr>
                <w:rFonts w:ascii="宋体" w:hAnsi="宋体" w:eastAsia="宋体" w:cs="Times New Roman"/>
                <w:i/>
                <w:iCs/>
                <w:color w:val="auto"/>
                <w:sz w:val="24"/>
                <w:lang w:val="zh-CN"/>
              </w:rPr>
              <w:t>Phyllanthus emblica</w:t>
            </w:r>
            <w:r>
              <w:rPr>
                <w:rFonts w:ascii="宋体" w:hAnsi="宋体" w:eastAsia="宋体" w:cs="Times New Roman"/>
                <w:color w:val="auto"/>
                <w:sz w:val="24"/>
                <w:lang w:val="zh-CN"/>
              </w:rPr>
              <w:t>)，另有野漆(</w:t>
            </w:r>
            <w:r>
              <w:rPr>
                <w:rFonts w:ascii="宋体" w:hAnsi="宋体" w:eastAsia="宋体" w:cs="Times New Roman"/>
                <w:i/>
                <w:iCs/>
                <w:color w:val="auto"/>
                <w:sz w:val="24"/>
                <w:lang w:val="zh-CN"/>
              </w:rPr>
              <w:t>Toxicodendron succedaneum</w:t>
            </w:r>
            <w:r>
              <w:rPr>
                <w:rFonts w:ascii="宋体" w:hAnsi="宋体" w:eastAsia="宋体" w:cs="Times New Roman"/>
                <w:color w:val="auto"/>
                <w:sz w:val="24"/>
                <w:lang w:val="zh-CN"/>
              </w:rPr>
              <w:t>)、盐肤木(</w:t>
            </w:r>
            <w:r>
              <w:rPr>
                <w:rFonts w:ascii="宋体" w:hAnsi="宋体" w:eastAsia="宋体" w:cs="Times New Roman"/>
                <w:i/>
                <w:iCs/>
                <w:color w:val="auto"/>
                <w:sz w:val="24"/>
                <w:lang w:val="zh-CN"/>
              </w:rPr>
              <w:t>Rhus chinensis</w:t>
            </w:r>
            <w:r>
              <w:rPr>
                <w:rFonts w:ascii="宋体" w:hAnsi="宋体" w:eastAsia="宋体" w:cs="Times New Roman"/>
                <w:color w:val="auto"/>
                <w:sz w:val="24"/>
                <w:lang w:val="zh-CN"/>
              </w:rPr>
              <w:t>)、薄皮木(</w:t>
            </w:r>
            <w:r>
              <w:rPr>
                <w:rFonts w:ascii="宋体" w:hAnsi="宋体" w:eastAsia="宋体" w:cs="Times New Roman"/>
                <w:i/>
                <w:iCs/>
                <w:color w:val="auto"/>
                <w:sz w:val="24"/>
                <w:lang w:val="zh-CN"/>
              </w:rPr>
              <w:t>Leptodermis pilosa</w:t>
            </w:r>
            <w:r>
              <w:rPr>
                <w:rFonts w:ascii="宋体" w:hAnsi="宋体" w:eastAsia="宋体" w:cs="Times New Roman"/>
                <w:color w:val="auto"/>
                <w:sz w:val="24"/>
                <w:lang w:val="zh-CN"/>
              </w:rPr>
              <w:t>)等种。</w:t>
            </w:r>
          </w:p>
          <w:p>
            <w:pPr>
              <w:spacing w:line="360" w:lineRule="auto"/>
              <w:ind w:firstLine="480"/>
              <w:rPr>
                <w:rFonts w:hint="eastAsia" w:ascii="Times New Roman" w:hAnsi="Times New Roman" w:eastAsia="宋体" w:cs="Times New Roman"/>
                <w:color w:val="auto"/>
                <w:sz w:val="24"/>
              </w:rPr>
            </w:pPr>
            <w:r>
              <w:rPr>
                <w:rFonts w:ascii="宋体" w:hAnsi="宋体" w:eastAsia="宋体" w:cs="Times New Roman"/>
                <w:color w:val="auto"/>
                <w:sz w:val="24"/>
                <w:lang w:val="zh-CN"/>
              </w:rPr>
              <w:t>草本层高</w:t>
            </w:r>
            <w:r>
              <w:rPr>
                <w:rFonts w:hint="eastAsia" w:ascii="宋体" w:hAnsi="宋体" w:eastAsia="宋体" w:cs="Times New Roman"/>
                <w:color w:val="auto"/>
                <w:sz w:val="24"/>
                <w:lang w:val="zh-CN"/>
              </w:rPr>
              <w:t>0.8</w:t>
            </w:r>
            <w:r>
              <w:rPr>
                <w:rFonts w:ascii="宋体" w:hAnsi="宋体" w:eastAsia="宋体" w:cs="Times New Roman"/>
                <w:color w:val="auto"/>
                <w:sz w:val="24"/>
                <w:lang w:val="zh-CN"/>
              </w:rPr>
              <w:t>m左右，层盖度</w:t>
            </w:r>
            <w:r>
              <w:rPr>
                <w:rFonts w:hint="eastAsia" w:ascii="宋体" w:hAnsi="宋体" w:eastAsia="宋体" w:cs="Times New Roman"/>
                <w:color w:val="auto"/>
                <w:sz w:val="24"/>
                <w:lang w:val="zh-CN"/>
              </w:rPr>
              <w:t>7</w:t>
            </w:r>
            <w:r>
              <w:rPr>
                <w:rFonts w:ascii="宋体" w:hAnsi="宋体" w:eastAsia="宋体" w:cs="Times New Roman"/>
                <w:color w:val="auto"/>
                <w:sz w:val="24"/>
                <w:lang w:val="zh-CN"/>
              </w:rPr>
              <w:t>0%以上，扭</w:t>
            </w:r>
            <w:r>
              <w:rPr>
                <w:rFonts w:hint="eastAsia" w:ascii="宋体" w:hAnsi="Times New Roman" w:eastAsia="宋体" w:cs="宋体"/>
                <w:color w:val="auto"/>
                <w:kern w:val="0"/>
                <w:sz w:val="24"/>
              </w:rPr>
              <w:t>黄茅（</w:t>
            </w:r>
            <w:r>
              <w:rPr>
                <w:rFonts w:ascii="Times New Roman" w:hAnsi="Times New Roman" w:eastAsia="宋体" w:cs="Times New Roman"/>
                <w:i/>
                <w:iCs/>
                <w:color w:val="auto"/>
                <w:kern w:val="0"/>
                <w:sz w:val="24"/>
              </w:rPr>
              <w:t>Heteropogoncontortus</w:t>
            </w:r>
            <w:r>
              <w:rPr>
                <w:rFonts w:hint="eastAsia" w:ascii="宋体" w:hAnsi="Times New Roman" w:eastAsia="宋体" w:cs="宋体"/>
                <w:color w:val="auto"/>
                <w:kern w:val="0"/>
                <w:sz w:val="24"/>
              </w:rPr>
              <w:t>）为主要层次</w:t>
            </w:r>
            <w:r>
              <w:rPr>
                <w:rFonts w:hint="eastAsia" w:ascii="宋体" w:hAnsi="宋体" w:eastAsia="宋体" w:cs="Times New Roman"/>
                <w:color w:val="auto"/>
                <w:sz w:val="24"/>
                <w:lang w:val="zh-CN"/>
              </w:rPr>
              <w:t>，其他</w:t>
            </w:r>
            <w:r>
              <w:rPr>
                <w:rFonts w:ascii="宋体" w:hAnsi="宋体" w:eastAsia="宋体" w:cs="Times New Roman"/>
                <w:color w:val="auto"/>
                <w:sz w:val="24"/>
                <w:lang w:val="zh-CN"/>
              </w:rPr>
              <w:t>种类有鬼针草(Bidens pilosa)、</w:t>
            </w:r>
            <w:r>
              <w:rPr>
                <w:rFonts w:hint="eastAsia" w:ascii="Times New Roman" w:hAnsi="Times New Roman" w:eastAsia="宋体" w:cs="Times New Roman"/>
                <w:color w:val="auto"/>
                <w:kern w:val="0"/>
              </w:rPr>
              <w:t>孔颖草（</w:t>
            </w:r>
            <w:r>
              <w:rPr>
                <w:rFonts w:ascii="宋体" w:hAnsi="宋体" w:eastAsia="宋体" w:cs="Times New Roman"/>
                <w:i/>
                <w:iCs/>
                <w:color w:val="auto"/>
                <w:lang w:val="zh-CN"/>
              </w:rPr>
              <w:t>Bothriochloa pertusa</w:t>
            </w:r>
            <w:r>
              <w:rPr>
                <w:rFonts w:hint="eastAsia" w:ascii="Times New Roman" w:hAnsi="Times New Roman" w:eastAsia="宋体" w:cs="Times New Roman"/>
                <w:color w:val="auto"/>
                <w:kern w:val="0"/>
              </w:rPr>
              <w:t>）</w:t>
            </w:r>
            <w:r>
              <w:rPr>
                <w:rFonts w:ascii="宋体" w:hAnsi="宋体" w:eastAsia="宋体" w:cs="Times New Roman"/>
                <w:color w:val="auto"/>
                <w:sz w:val="24"/>
                <w:lang w:val="zh-CN"/>
              </w:rPr>
              <w:t>、</w:t>
            </w:r>
            <w:r>
              <w:rPr>
                <w:rFonts w:ascii="Times New Roman" w:hAnsi="Times New Roman" w:eastAsia="宋体" w:cs="Times New Roman"/>
                <w:color w:val="auto"/>
                <w:kern w:val="0"/>
              </w:rPr>
              <w:t>裂稃草</w:t>
            </w:r>
            <w:r>
              <w:rPr>
                <w:rFonts w:hint="eastAsia" w:ascii="Times New Roman" w:hAnsi="Times New Roman" w:eastAsia="宋体" w:cs="Times New Roman"/>
                <w:color w:val="auto"/>
                <w:kern w:val="0"/>
              </w:rPr>
              <w:t>（</w:t>
            </w:r>
            <w:r>
              <w:rPr>
                <w:rFonts w:ascii="宋体" w:hAnsi="宋体" w:eastAsia="宋体" w:cs="Times New Roman"/>
                <w:i/>
                <w:iCs/>
                <w:color w:val="auto"/>
                <w:lang w:val="zh-CN"/>
              </w:rPr>
              <w:t>Schizachyrium</w:t>
            </w:r>
            <w:r>
              <w:rPr>
                <w:rFonts w:hint="eastAsia" w:ascii="宋体" w:hAnsi="宋体" w:eastAsia="宋体" w:cs="Times New Roman"/>
                <w:i/>
                <w:iCs/>
                <w:color w:val="auto"/>
                <w:lang w:val="zh-CN"/>
              </w:rPr>
              <w:t xml:space="preserve"> </w:t>
            </w:r>
            <w:r>
              <w:rPr>
                <w:rFonts w:ascii="宋体" w:hAnsi="宋体" w:eastAsia="宋体" w:cs="Times New Roman"/>
                <w:i/>
                <w:iCs/>
                <w:color w:val="auto"/>
                <w:lang w:val="zh-CN"/>
              </w:rPr>
              <w:t>brevifolium</w:t>
            </w:r>
            <w:r>
              <w:rPr>
                <w:rFonts w:hint="eastAsia" w:ascii="Times New Roman" w:hAnsi="Times New Roman" w:eastAsia="宋体" w:cs="Times New Roman"/>
                <w:color w:val="auto"/>
                <w:kern w:val="0"/>
              </w:rPr>
              <w:t>）</w:t>
            </w:r>
            <w:r>
              <w:rPr>
                <w:rFonts w:ascii="宋体" w:hAnsi="宋体" w:eastAsia="宋体" w:cs="Times New Roman"/>
                <w:color w:val="auto"/>
                <w:sz w:val="24"/>
                <w:lang w:val="zh-CN"/>
              </w:rPr>
              <w:t>等。</w:t>
            </w:r>
          </w:p>
          <w:p>
            <w:pPr>
              <w:widowControl/>
              <w:snapToGrid w:val="0"/>
              <w:spacing w:before="60" w:after="160" w:line="259" w:lineRule="auto"/>
              <w:ind w:right="113" w:firstLine="449" w:firstLineChars="196"/>
              <w:jc w:val="both"/>
              <w:rPr>
                <w:rFonts w:ascii="Times New Roman" w:hAnsi="Times New Roman" w:eastAsia="宋体" w:cs="Times New Roman"/>
                <w:b/>
                <w:color w:val="auto"/>
                <w:spacing w:val="-6"/>
                <w:kern w:val="0"/>
                <w:sz w:val="24"/>
                <w:szCs w:val="18"/>
                <w:lang w:val="en-US" w:eastAsia="zh-CN" w:bidi="ar-SA"/>
              </w:rPr>
            </w:pPr>
            <w:r>
              <w:rPr>
                <w:rFonts w:ascii="Times New Roman" w:hAnsi="Times New Roman" w:eastAsia="宋体" w:cs="Times New Roman"/>
                <w:b/>
                <w:color w:val="auto"/>
                <w:spacing w:val="-6"/>
                <w:kern w:val="0"/>
                <w:sz w:val="24"/>
                <w:szCs w:val="18"/>
                <w:lang w:val="en-US" w:eastAsia="zh-CN" w:bidi="ar-SA"/>
              </w:rPr>
              <w:t>⑤人工植被</w:t>
            </w:r>
          </w:p>
          <w:p>
            <w:pPr>
              <w:widowControl w:val="0"/>
              <w:adjustRightInd w:val="0"/>
              <w:spacing w:line="360" w:lineRule="auto"/>
              <w:ind w:firstLine="480" w:firstLineChars="200"/>
              <w:jc w:val="left"/>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元谋</w:t>
            </w:r>
            <w:r>
              <w:rPr>
                <w:rFonts w:ascii="Times New Roman" w:hAnsi="Times New Roman" w:eastAsia="宋体" w:cs="Times New Roman"/>
                <w:color w:val="auto"/>
                <w:kern w:val="2"/>
                <w:sz w:val="24"/>
                <w:szCs w:val="24"/>
                <w:lang w:val="en-US" w:eastAsia="zh-CN" w:bidi="ar-SA"/>
              </w:rPr>
              <w:t>仍是以农业种植为主，</w:t>
            </w:r>
            <w:r>
              <w:rPr>
                <w:rFonts w:ascii="宋体" w:hAnsi="宋体" w:eastAsia="宋体" w:cs="宋体"/>
                <w:color w:val="auto"/>
                <w:kern w:val="0"/>
                <w:sz w:val="24"/>
                <w:szCs w:val="24"/>
                <w:lang w:val="en-US" w:eastAsia="zh-CN" w:bidi="ar-SA"/>
              </w:rPr>
              <w:t>适种作物主要有：水稻</w:t>
            </w:r>
            <w:r>
              <w:rPr>
                <w:rFonts w:hint="eastAsia" w:ascii="Times New Roman" w:hAnsi="Times New Roman" w:eastAsia="宋体" w:cs="Times New Roman"/>
                <w:color w:val="auto"/>
                <w:kern w:val="2"/>
                <w:sz w:val="24"/>
                <w:szCs w:val="24"/>
                <w:lang w:val="en-US" w:eastAsia="zh-CN" w:bidi="ar-SA"/>
              </w:rPr>
              <w:t>(</w:t>
            </w:r>
            <w:r>
              <w:rPr>
                <w:rFonts w:ascii="Times New Roman" w:hAnsi="Times New Roman" w:eastAsia="宋体" w:cs="宋体"/>
                <w:i/>
                <w:iCs/>
                <w:color w:val="auto"/>
                <w:kern w:val="0"/>
                <w:sz w:val="24"/>
                <w:szCs w:val="24"/>
                <w:lang w:val="en-US" w:eastAsia="zh-CN" w:bidi="ar-SA"/>
              </w:rPr>
              <w:t>Oryza sativa</w:t>
            </w:r>
            <w:r>
              <w:rPr>
                <w:rFonts w:hint="eastAsia" w:ascii="Times New Roman" w:hAnsi="Times New Roman" w:eastAsia="宋体" w:cs="Times New Roman"/>
                <w:color w:val="auto"/>
                <w:kern w:val="2"/>
                <w:sz w:val="24"/>
                <w:szCs w:val="24"/>
                <w:lang w:val="en-US" w:eastAsia="zh-CN" w:bidi="ar-SA"/>
              </w:rPr>
              <w:t>)</w:t>
            </w:r>
            <w:r>
              <w:rPr>
                <w:rFonts w:ascii="宋体" w:hAnsi="宋体" w:eastAsia="宋体" w:cs="宋体"/>
                <w:color w:val="auto"/>
                <w:kern w:val="0"/>
                <w:sz w:val="24"/>
                <w:szCs w:val="24"/>
                <w:lang w:val="en-US" w:eastAsia="zh-CN" w:bidi="ar-SA"/>
              </w:rPr>
              <w:t>、玉</w:t>
            </w:r>
            <w:r>
              <w:rPr>
                <w:rFonts w:hint="eastAsia" w:ascii="宋体" w:hAnsi="宋体" w:eastAsia="宋体" w:cs="宋体"/>
                <w:color w:val="auto"/>
                <w:kern w:val="0"/>
                <w:sz w:val="24"/>
                <w:szCs w:val="24"/>
                <w:lang w:val="en-US" w:eastAsia="zh-CN" w:bidi="ar-SA"/>
              </w:rPr>
              <w:t>米</w:t>
            </w:r>
            <w:r>
              <w:rPr>
                <w:rFonts w:hint="eastAsia" w:ascii="Times New Roman" w:hAnsi="Times New Roman" w:eastAsia="宋体" w:cs="Times New Roman"/>
                <w:color w:val="auto"/>
                <w:kern w:val="2"/>
                <w:sz w:val="24"/>
                <w:szCs w:val="24"/>
                <w:lang w:val="en-US" w:eastAsia="zh-CN" w:bidi="ar-SA"/>
              </w:rPr>
              <w:t>(</w:t>
            </w:r>
            <w:r>
              <w:rPr>
                <w:rFonts w:ascii="宋体" w:hAnsi="宋体" w:eastAsia="宋体" w:cs="宋体"/>
                <w:i/>
                <w:iCs/>
                <w:color w:val="auto"/>
                <w:kern w:val="0"/>
                <w:sz w:val="24"/>
                <w:szCs w:val="24"/>
                <w:lang w:val="it-IT" w:eastAsia="zh-CN" w:bidi="ar-SA"/>
              </w:rPr>
              <w:t>Zea ma</w:t>
            </w:r>
            <w:r>
              <w:rPr>
                <w:rFonts w:ascii="Times New Roman" w:hAnsi="Times New Roman" w:eastAsia="宋体" w:cs="Times New Roman"/>
                <w:i/>
                <w:iCs/>
                <w:color w:val="auto"/>
                <w:kern w:val="0"/>
                <w:sz w:val="24"/>
                <w:szCs w:val="24"/>
                <w:lang w:val="en-US" w:eastAsia="zh-CN" w:bidi="ar-SA"/>
              </w:rPr>
              <w:t>y</w:t>
            </w:r>
            <w:r>
              <w:rPr>
                <w:rFonts w:hint="eastAsia" w:ascii="Times New Roman" w:hAnsi="Times New Roman" w:eastAsia="宋体" w:cs="Times New Roman"/>
                <w:color w:val="auto"/>
                <w:kern w:val="2"/>
                <w:sz w:val="24"/>
                <w:szCs w:val="24"/>
                <w:lang w:val="en-US" w:eastAsia="zh-CN" w:bidi="ar-SA"/>
              </w:rPr>
              <w:t>)</w:t>
            </w:r>
            <w:r>
              <w:rPr>
                <w:rFonts w:ascii="宋体" w:hAnsi="宋体" w:eastAsia="宋体" w:cs="宋体"/>
                <w:color w:val="auto"/>
                <w:kern w:val="0"/>
                <w:sz w:val="24"/>
                <w:szCs w:val="24"/>
                <w:lang w:val="en-US" w:eastAsia="zh-CN" w:bidi="ar-SA"/>
              </w:rPr>
              <w:t>、</w:t>
            </w:r>
            <w:r>
              <w:rPr>
                <w:rFonts w:hint="eastAsia" w:ascii="宋体" w:hAnsi="宋体" w:eastAsia="宋体" w:cs="宋体"/>
                <w:color w:val="auto"/>
                <w:kern w:val="0"/>
                <w:sz w:val="24"/>
                <w:szCs w:val="24"/>
                <w:lang w:val="en-US" w:eastAsia="zh-CN" w:bidi="ar-SA"/>
              </w:rPr>
              <w:t>小麦（</w:t>
            </w:r>
            <w:r>
              <w:rPr>
                <w:rFonts w:ascii="宋体" w:hAnsi="宋体" w:eastAsia="宋体" w:cs="宋体"/>
                <w:i/>
                <w:iCs/>
                <w:color w:val="auto"/>
                <w:kern w:val="0"/>
                <w:sz w:val="24"/>
                <w:szCs w:val="24"/>
                <w:lang w:val="en-US" w:eastAsia="zh-CN" w:bidi="ar-SA"/>
              </w:rPr>
              <w:t>Triticum aestivum</w:t>
            </w:r>
            <w:r>
              <w:rPr>
                <w:rFonts w:hint="eastAsia" w:ascii="宋体" w:hAnsi="宋体" w:eastAsia="宋体" w:cs="宋体"/>
                <w:color w:val="auto"/>
                <w:kern w:val="0"/>
                <w:sz w:val="24"/>
                <w:szCs w:val="24"/>
                <w:lang w:val="en-US" w:eastAsia="zh-CN" w:bidi="ar-SA"/>
              </w:rPr>
              <w:t>）、甘蔗（</w:t>
            </w:r>
            <w:r>
              <w:rPr>
                <w:rFonts w:ascii="宋体" w:hAnsi="宋体" w:eastAsia="宋体" w:cs="宋体"/>
                <w:i/>
                <w:iCs/>
                <w:color w:val="auto"/>
                <w:kern w:val="0"/>
                <w:sz w:val="24"/>
                <w:szCs w:val="24"/>
                <w:lang w:val="en-US" w:eastAsia="zh-CN" w:bidi="ar-SA"/>
              </w:rPr>
              <w:t>Saccharum officinarum</w:t>
            </w:r>
            <w:r>
              <w:rPr>
                <w:rFonts w:hint="eastAsia" w:ascii="宋体" w:hAnsi="宋体" w:eastAsia="宋体" w:cs="宋体"/>
                <w:color w:val="auto"/>
                <w:kern w:val="0"/>
                <w:sz w:val="24"/>
                <w:szCs w:val="24"/>
                <w:lang w:val="en-US" w:eastAsia="zh-CN" w:bidi="ar-SA"/>
              </w:rPr>
              <w:t>）、</w:t>
            </w:r>
            <w:r>
              <w:rPr>
                <w:rFonts w:ascii="宋体" w:hAnsi="宋体" w:eastAsia="宋体" w:cs="宋体"/>
                <w:color w:val="auto"/>
                <w:kern w:val="0"/>
                <w:sz w:val="24"/>
                <w:szCs w:val="24"/>
                <w:lang w:val="en-US" w:eastAsia="zh-CN" w:bidi="ar-SA"/>
              </w:rPr>
              <w:t>辣椒</w:t>
            </w:r>
            <w:r>
              <w:rPr>
                <w:rFonts w:hint="eastAsia" w:ascii="宋体" w:hAnsi="宋体" w:eastAsia="宋体" w:cs="宋体"/>
                <w:color w:val="auto"/>
                <w:kern w:val="0"/>
                <w:sz w:val="24"/>
                <w:szCs w:val="24"/>
                <w:lang w:val="en-US" w:eastAsia="zh-CN" w:bidi="ar-SA"/>
              </w:rPr>
              <w:t>(</w:t>
            </w:r>
            <w:r>
              <w:rPr>
                <w:rFonts w:hint="eastAsia" w:ascii="宋体" w:hAnsi="宋体" w:eastAsia="宋体" w:cs="宋体"/>
                <w:i/>
                <w:iCs/>
                <w:color w:val="auto"/>
                <w:kern w:val="0"/>
                <w:sz w:val="24"/>
                <w:szCs w:val="24"/>
                <w:lang w:val="en-US" w:eastAsia="zh-CN" w:bidi="ar-SA"/>
              </w:rPr>
              <w:t>Capsicum frutescens</w:t>
            </w:r>
            <w:r>
              <w:rPr>
                <w:rFonts w:hint="eastAsia" w:ascii="宋体" w:hAnsi="宋体" w:eastAsia="宋体" w:cs="宋体"/>
                <w:color w:val="auto"/>
                <w:kern w:val="0"/>
                <w:sz w:val="24"/>
                <w:szCs w:val="24"/>
                <w:lang w:val="en-US" w:eastAsia="zh-CN" w:bidi="ar-SA"/>
              </w:rPr>
              <w:t>)</w:t>
            </w:r>
            <w:r>
              <w:rPr>
                <w:rFonts w:ascii="宋体" w:hAnsi="宋体" w:eastAsia="宋体" w:cs="宋体"/>
                <w:color w:val="auto"/>
                <w:kern w:val="0"/>
                <w:sz w:val="24"/>
                <w:szCs w:val="24"/>
                <w:lang w:val="en-US" w:eastAsia="zh-CN" w:bidi="ar-SA"/>
              </w:rPr>
              <w:t>、苦瓜</w:t>
            </w:r>
            <w:r>
              <w:rPr>
                <w:rFonts w:hint="eastAsia" w:ascii="宋体" w:hAnsi="宋体" w:eastAsia="宋体" w:cs="宋体"/>
                <w:color w:val="auto"/>
                <w:kern w:val="0"/>
                <w:sz w:val="24"/>
                <w:szCs w:val="24"/>
                <w:lang w:val="en-US" w:eastAsia="zh-CN" w:bidi="ar-SA"/>
              </w:rPr>
              <w:t>(</w:t>
            </w:r>
            <w:r>
              <w:rPr>
                <w:rFonts w:ascii="宋体" w:hAnsi="宋体" w:eastAsia="宋体" w:cs="宋体"/>
                <w:i/>
                <w:iCs/>
                <w:color w:val="auto"/>
                <w:kern w:val="0"/>
                <w:sz w:val="24"/>
                <w:szCs w:val="24"/>
                <w:lang w:val="en-US" w:eastAsia="zh-CN" w:bidi="ar-SA"/>
              </w:rPr>
              <w:t>Momordica charantia</w:t>
            </w:r>
            <w:r>
              <w:rPr>
                <w:rFonts w:hint="eastAsia" w:ascii="宋体" w:hAnsi="宋体" w:eastAsia="宋体" w:cs="宋体"/>
                <w:color w:val="auto"/>
                <w:kern w:val="0"/>
                <w:sz w:val="24"/>
                <w:szCs w:val="24"/>
                <w:lang w:val="en-US" w:eastAsia="zh-CN" w:bidi="ar-SA"/>
              </w:rPr>
              <w:t>)</w:t>
            </w:r>
            <w:r>
              <w:rPr>
                <w:rFonts w:ascii="宋体" w:hAnsi="宋体" w:eastAsia="宋体" w:cs="宋体"/>
                <w:color w:val="auto"/>
                <w:kern w:val="0"/>
                <w:sz w:val="24"/>
                <w:szCs w:val="24"/>
                <w:lang w:val="en-US" w:eastAsia="zh-CN" w:bidi="ar-SA"/>
              </w:rPr>
              <w:t>、茄子</w:t>
            </w:r>
            <w:r>
              <w:rPr>
                <w:rFonts w:hint="eastAsia" w:ascii="宋体" w:hAnsi="宋体" w:eastAsia="宋体" w:cs="宋体"/>
                <w:color w:val="auto"/>
                <w:kern w:val="0"/>
                <w:sz w:val="24"/>
                <w:szCs w:val="24"/>
                <w:lang w:val="en-US" w:eastAsia="zh-CN" w:bidi="ar-SA"/>
              </w:rPr>
              <w:t>(</w:t>
            </w:r>
            <w:r>
              <w:rPr>
                <w:rFonts w:ascii="Times New Roman" w:hAnsi="Times New Roman" w:eastAsia="宋体" w:cs="Times New Roman"/>
                <w:i/>
                <w:iCs/>
                <w:color w:val="auto"/>
                <w:kern w:val="0"/>
                <w:sz w:val="24"/>
                <w:szCs w:val="24"/>
                <w:lang w:val="en-US" w:eastAsia="zh-CN" w:bidi="ar-SA"/>
              </w:rPr>
              <w:t>Solanum melongena</w:t>
            </w:r>
            <w:r>
              <w:rPr>
                <w:rFonts w:hint="eastAsia" w:ascii="宋体" w:hAnsi="宋体" w:eastAsia="宋体" w:cs="宋体"/>
                <w:color w:val="auto"/>
                <w:kern w:val="0"/>
                <w:sz w:val="24"/>
                <w:szCs w:val="24"/>
                <w:lang w:val="en-US" w:eastAsia="zh-CN" w:bidi="ar-SA"/>
              </w:rPr>
              <w:t>)</w:t>
            </w:r>
            <w:r>
              <w:rPr>
                <w:rFonts w:ascii="宋体" w:hAnsi="宋体" w:eastAsia="宋体" w:cs="宋体"/>
                <w:color w:val="auto"/>
                <w:kern w:val="0"/>
                <w:sz w:val="24"/>
                <w:szCs w:val="24"/>
                <w:lang w:val="en-US" w:eastAsia="zh-CN" w:bidi="ar-SA"/>
              </w:rPr>
              <w:t>、番茄</w:t>
            </w:r>
            <w:r>
              <w:rPr>
                <w:rFonts w:hint="eastAsia" w:ascii="宋体" w:hAnsi="宋体" w:eastAsia="宋体" w:cs="宋体"/>
                <w:color w:val="auto"/>
                <w:kern w:val="0"/>
                <w:sz w:val="24"/>
                <w:szCs w:val="24"/>
                <w:lang w:val="en-US" w:eastAsia="zh-CN" w:bidi="ar-SA"/>
              </w:rPr>
              <w:t>（</w:t>
            </w:r>
            <w:r>
              <w:rPr>
                <w:rFonts w:ascii="Times New Roman" w:hAnsi="Times New Roman" w:eastAsia="宋体" w:cs="宋体"/>
                <w:i/>
                <w:iCs/>
                <w:color w:val="auto"/>
                <w:kern w:val="0"/>
                <w:sz w:val="24"/>
                <w:szCs w:val="24"/>
                <w:lang w:val="en-US" w:eastAsia="zh-CN" w:bidi="ar-SA"/>
              </w:rPr>
              <w:t>Lycopersicon esculentum</w:t>
            </w:r>
            <w:r>
              <w:rPr>
                <w:rFonts w:hint="eastAsia" w:ascii="宋体" w:hAnsi="宋体" w:eastAsia="宋体" w:cs="宋体"/>
                <w:color w:val="auto"/>
                <w:kern w:val="0"/>
                <w:sz w:val="24"/>
                <w:szCs w:val="24"/>
                <w:lang w:val="en-US" w:eastAsia="zh-CN" w:bidi="ar-SA"/>
              </w:rPr>
              <w:t>）</w:t>
            </w:r>
            <w:r>
              <w:rPr>
                <w:rFonts w:ascii="宋体" w:hAnsi="宋体" w:eastAsia="宋体" w:cs="宋体"/>
                <w:color w:val="auto"/>
                <w:kern w:val="0"/>
                <w:sz w:val="24"/>
                <w:szCs w:val="24"/>
                <w:lang w:val="en-US" w:eastAsia="zh-CN" w:bidi="ar-SA"/>
              </w:rPr>
              <w:t>、黄瓜</w:t>
            </w:r>
            <w:r>
              <w:rPr>
                <w:rFonts w:hint="eastAsia" w:ascii="宋体" w:hAnsi="宋体" w:eastAsia="宋体" w:cs="宋体"/>
                <w:color w:val="auto"/>
                <w:kern w:val="0"/>
                <w:sz w:val="24"/>
                <w:szCs w:val="24"/>
                <w:lang w:val="en-US" w:eastAsia="zh-CN" w:bidi="ar-SA"/>
              </w:rPr>
              <w:t>(</w:t>
            </w:r>
            <w:r>
              <w:rPr>
                <w:rFonts w:ascii="宋体" w:hAnsi="宋体" w:eastAsia="宋体" w:cs="宋体"/>
                <w:i/>
                <w:iCs/>
                <w:color w:val="auto"/>
                <w:kern w:val="0"/>
                <w:sz w:val="24"/>
                <w:szCs w:val="24"/>
                <w:lang w:val="en-US" w:eastAsia="zh-CN" w:bidi="ar-SA"/>
              </w:rPr>
              <w:t>Cucumis sativus</w:t>
            </w:r>
            <w:r>
              <w:rPr>
                <w:rFonts w:hint="eastAsia" w:ascii="宋体" w:hAnsi="宋体" w:eastAsia="宋体" w:cs="宋体"/>
                <w:color w:val="auto"/>
                <w:kern w:val="0"/>
                <w:sz w:val="24"/>
                <w:szCs w:val="24"/>
                <w:lang w:val="en-US" w:eastAsia="zh-CN" w:bidi="ar-SA"/>
              </w:rPr>
              <w:t>)</w:t>
            </w:r>
            <w:r>
              <w:rPr>
                <w:rFonts w:ascii="宋体" w:hAnsi="宋体" w:eastAsia="宋体" w:cs="宋体"/>
                <w:color w:val="auto"/>
                <w:kern w:val="0"/>
                <w:sz w:val="24"/>
                <w:szCs w:val="24"/>
                <w:lang w:val="en-US" w:eastAsia="zh-CN" w:bidi="ar-SA"/>
              </w:rPr>
              <w:t>、生姜</w:t>
            </w:r>
            <w:r>
              <w:rPr>
                <w:rFonts w:hint="eastAsia" w:ascii="宋体" w:hAnsi="宋体" w:eastAsia="宋体" w:cs="宋体"/>
                <w:color w:val="auto"/>
                <w:kern w:val="0"/>
                <w:sz w:val="24"/>
                <w:szCs w:val="24"/>
                <w:lang w:val="en-US" w:eastAsia="zh-CN" w:bidi="ar-SA"/>
              </w:rPr>
              <w:t>（</w:t>
            </w:r>
            <w:r>
              <w:rPr>
                <w:rFonts w:ascii="Times New Roman" w:hAnsi="Times New Roman" w:eastAsia="宋体" w:cs="宋体"/>
                <w:i/>
                <w:iCs/>
                <w:color w:val="auto"/>
                <w:kern w:val="0"/>
                <w:sz w:val="24"/>
                <w:szCs w:val="24"/>
                <w:lang w:val="en-US" w:eastAsia="zh-CN" w:bidi="ar-SA"/>
              </w:rPr>
              <w:t>Zingiber officinale</w:t>
            </w:r>
            <w:r>
              <w:rPr>
                <w:rFonts w:hint="eastAsia" w:ascii="宋体" w:hAnsi="宋体" w:eastAsia="宋体" w:cs="宋体"/>
                <w:color w:val="auto"/>
                <w:kern w:val="0"/>
                <w:sz w:val="24"/>
                <w:szCs w:val="24"/>
                <w:lang w:val="en-US" w:eastAsia="zh-CN" w:bidi="ar-SA"/>
              </w:rPr>
              <w:t>）</w:t>
            </w:r>
            <w:r>
              <w:rPr>
                <w:rFonts w:ascii="宋体" w:hAnsi="宋体" w:eastAsia="宋体" w:cs="宋体"/>
                <w:color w:val="auto"/>
                <w:kern w:val="0"/>
                <w:sz w:val="24"/>
                <w:szCs w:val="24"/>
                <w:lang w:val="en-US" w:eastAsia="zh-CN" w:bidi="ar-SA"/>
              </w:rPr>
              <w:t>、西瓜</w:t>
            </w:r>
            <w:r>
              <w:rPr>
                <w:rFonts w:hint="eastAsia" w:ascii="宋体" w:hAnsi="宋体" w:eastAsia="宋体" w:cs="宋体"/>
                <w:color w:val="auto"/>
                <w:kern w:val="0"/>
                <w:sz w:val="24"/>
                <w:szCs w:val="24"/>
                <w:lang w:val="en-US" w:eastAsia="zh-CN" w:bidi="ar-SA"/>
              </w:rPr>
              <w:t>(</w:t>
            </w:r>
            <w:r>
              <w:rPr>
                <w:rFonts w:ascii="Times New Roman" w:hAnsi="Times New Roman" w:eastAsia="宋体" w:cs="Times New Roman"/>
                <w:i/>
                <w:iCs/>
                <w:color w:val="auto"/>
                <w:kern w:val="0"/>
                <w:sz w:val="24"/>
                <w:szCs w:val="24"/>
                <w:lang w:val="en-US" w:eastAsia="zh-CN" w:bidi="ar-SA"/>
              </w:rPr>
              <w:t>Citrullus lanatus</w:t>
            </w:r>
            <w:r>
              <w:rPr>
                <w:rFonts w:hint="eastAsia" w:ascii="宋体" w:hAnsi="宋体" w:eastAsia="宋体" w:cs="宋体"/>
                <w:color w:val="auto"/>
                <w:kern w:val="0"/>
                <w:sz w:val="24"/>
                <w:szCs w:val="24"/>
                <w:lang w:val="en-US" w:eastAsia="zh-CN" w:bidi="ar-SA"/>
              </w:rPr>
              <w:t>)</w:t>
            </w:r>
            <w:r>
              <w:rPr>
                <w:rFonts w:ascii="宋体" w:hAnsi="宋体" w:eastAsia="宋体" w:cs="宋体"/>
                <w:color w:val="auto"/>
                <w:kern w:val="0"/>
                <w:sz w:val="24"/>
                <w:szCs w:val="24"/>
                <w:lang w:val="en-US" w:eastAsia="zh-CN" w:bidi="ar-SA"/>
              </w:rPr>
              <w:t>、蓖麻</w:t>
            </w:r>
            <w:r>
              <w:rPr>
                <w:rFonts w:hint="eastAsia" w:ascii="宋体" w:hAnsi="宋体" w:eastAsia="宋体" w:cs="宋体"/>
                <w:color w:val="auto"/>
                <w:kern w:val="0"/>
                <w:sz w:val="24"/>
                <w:szCs w:val="24"/>
                <w:lang w:val="en-US" w:eastAsia="zh-CN" w:bidi="ar-SA"/>
              </w:rPr>
              <w:t>(</w:t>
            </w:r>
            <w:r>
              <w:rPr>
                <w:rFonts w:ascii="Times New Roman" w:hAnsi="Times New Roman" w:eastAsia="宋体" w:cs="Times New Roman"/>
                <w:i/>
                <w:iCs/>
                <w:color w:val="auto"/>
                <w:kern w:val="0"/>
                <w:sz w:val="24"/>
                <w:szCs w:val="24"/>
                <w:lang w:val="en-US" w:eastAsia="zh-CN" w:bidi="ar-SA"/>
              </w:rPr>
              <w:t>Ricinus communis</w:t>
            </w:r>
            <w:r>
              <w:rPr>
                <w:rFonts w:hint="eastAsia" w:ascii="宋体" w:hAnsi="宋体" w:eastAsia="宋体" w:cs="宋体"/>
                <w:color w:val="auto"/>
                <w:kern w:val="0"/>
                <w:sz w:val="24"/>
                <w:szCs w:val="24"/>
                <w:lang w:val="en-US" w:eastAsia="zh-CN" w:bidi="ar-SA"/>
              </w:rPr>
              <w:t>)</w:t>
            </w:r>
            <w:r>
              <w:rPr>
                <w:rFonts w:ascii="宋体" w:hAnsi="宋体" w:eastAsia="宋体" w:cs="宋体"/>
                <w:color w:val="auto"/>
                <w:kern w:val="0"/>
                <w:sz w:val="24"/>
                <w:szCs w:val="24"/>
                <w:lang w:val="en-US" w:eastAsia="zh-CN" w:bidi="ar-SA"/>
              </w:rPr>
              <w:t>、剑麻</w:t>
            </w:r>
            <w:r>
              <w:rPr>
                <w:rFonts w:hint="eastAsia" w:ascii="宋体" w:hAnsi="宋体" w:eastAsia="宋体" w:cs="宋体"/>
                <w:color w:val="auto"/>
                <w:kern w:val="0"/>
                <w:sz w:val="24"/>
                <w:szCs w:val="24"/>
                <w:lang w:val="en-US" w:eastAsia="zh-CN" w:bidi="ar-SA"/>
              </w:rPr>
              <w:t>（</w:t>
            </w:r>
            <w:r>
              <w:rPr>
                <w:rFonts w:hint="eastAsia" w:ascii="宋体" w:hAnsi="宋体" w:eastAsia="宋体" w:cs="宋体"/>
                <w:color w:val="auto"/>
                <w:kern w:val="0"/>
                <w:sz w:val="24"/>
                <w:szCs w:val="24"/>
                <w:lang w:val="en-US" w:eastAsia="zh-Hans" w:bidi="ar-SA"/>
              </w:rPr>
              <w:t>Agave sisalana</w:t>
            </w:r>
            <w:r>
              <w:rPr>
                <w:rFonts w:hint="eastAsia" w:ascii="宋体" w:hAnsi="宋体" w:eastAsia="宋体" w:cs="宋体"/>
                <w:color w:val="auto"/>
                <w:kern w:val="0"/>
                <w:sz w:val="24"/>
                <w:szCs w:val="24"/>
                <w:lang w:val="en-US" w:eastAsia="zh-CN" w:bidi="ar-SA"/>
              </w:rPr>
              <w:t>）</w:t>
            </w:r>
            <w:r>
              <w:rPr>
                <w:rFonts w:ascii="宋体" w:hAnsi="宋体" w:eastAsia="宋体" w:cs="宋体"/>
                <w:color w:val="auto"/>
                <w:kern w:val="0"/>
                <w:sz w:val="24"/>
                <w:szCs w:val="24"/>
                <w:lang w:val="en-US" w:eastAsia="zh-CN" w:bidi="ar-SA"/>
              </w:rPr>
              <w:t>等</w:t>
            </w:r>
            <w:r>
              <w:rPr>
                <w:rFonts w:ascii="Times New Roman" w:hAnsi="Times New Roman" w:eastAsia="宋体" w:cs="Times New Roman"/>
                <w:color w:val="auto"/>
                <w:kern w:val="2"/>
                <w:sz w:val="24"/>
                <w:szCs w:val="24"/>
                <w:lang w:val="en-US" w:eastAsia="zh-CN" w:bidi="ar-SA"/>
              </w:rPr>
              <w:t>。水田面积有限，多数农田属于旱地</w:t>
            </w:r>
            <w:r>
              <w:rPr>
                <w:rFonts w:hint="eastAsia" w:ascii="Times New Roman" w:hAnsi="Times New Roman" w:eastAsia="宋体" w:cs="Times New Roman"/>
                <w:color w:val="auto"/>
                <w:kern w:val="2"/>
                <w:sz w:val="24"/>
                <w:szCs w:val="24"/>
                <w:lang w:val="en-US" w:eastAsia="zh-CN" w:bidi="ar-SA"/>
              </w:rPr>
              <w:t>。</w:t>
            </w:r>
          </w:p>
          <w:p>
            <w:pPr>
              <w:widowControl w:val="0"/>
              <w:adjustRightInd w:val="0"/>
              <w:spacing w:line="360" w:lineRule="auto"/>
              <w:ind w:firstLine="480" w:firstLineChars="200"/>
              <w:jc w:val="left"/>
              <w:rPr>
                <w:rFonts w:ascii="宋体" w:hAnsi="宋体"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除了以上植被类型外，在村边地角，还分布一</w:t>
            </w:r>
            <w:r>
              <w:rPr>
                <w:rFonts w:hint="eastAsia" w:ascii="Times New Roman" w:hAnsi="Times New Roman" w:eastAsia="宋体" w:cs="Times New Roman"/>
                <w:color w:val="auto"/>
                <w:kern w:val="2"/>
                <w:sz w:val="24"/>
                <w:szCs w:val="24"/>
                <w:lang w:val="en-US" w:eastAsia="zh-CN" w:bidi="ar-SA"/>
              </w:rPr>
              <w:t>定面积的经济果园</w:t>
            </w:r>
            <w:r>
              <w:rPr>
                <w:rFonts w:ascii="Times New Roman" w:hAnsi="Times New Roman" w:eastAsia="宋体" w:cs="Times New Roman"/>
                <w:color w:val="auto"/>
                <w:kern w:val="2"/>
                <w:sz w:val="24"/>
                <w:szCs w:val="24"/>
                <w:lang w:val="en-US" w:eastAsia="zh-CN" w:bidi="ar-SA"/>
              </w:rPr>
              <w:t>，最多见的是</w:t>
            </w:r>
            <w:r>
              <w:rPr>
                <w:rFonts w:ascii="宋体" w:hAnsi="宋体" w:eastAsia="宋体" w:cs="宋体"/>
                <w:color w:val="auto"/>
                <w:kern w:val="0"/>
                <w:sz w:val="24"/>
                <w:szCs w:val="24"/>
                <w:lang w:val="en-US" w:eastAsia="zh-CN" w:bidi="ar-SA"/>
              </w:rPr>
              <w:t>芭蕉</w:t>
            </w:r>
            <w:r>
              <w:rPr>
                <w:rFonts w:hint="eastAsia" w:ascii="宋体" w:hAnsi="宋体" w:eastAsia="宋体" w:cs="宋体"/>
                <w:color w:val="auto"/>
                <w:kern w:val="0"/>
                <w:sz w:val="24"/>
                <w:szCs w:val="24"/>
                <w:lang w:val="it-IT" w:eastAsia="zh-CN" w:bidi="ar-SA"/>
              </w:rPr>
              <w:t>(</w:t>
            </w:r>
            <w:r>
              <w:rPr>
                <w:rFonts w:ascii="宋体" w:hAnsi="宋体" w:eastAsia="宋体" w:cs="宋体"/>
                <w:i/>
                <w:iCs/>
                <w:color w:val="auto"/>
                <w:kern w:val="0"/>
                <w:sz w:val="24"/>
                <w:szCs w:val="24"/>
                <w:lang w:val="it-IT" w:eastAsia="zh-CN" w:bidi="ar-SA"/>
              </w:rPr>
              <w:t>Musa basjoo</w:t>
            </w:r>
            <w:r>
              <w:rPr>
                <w:rFonts w:hint="eastAsia" w:ascii="宋体" w:hAnsi="宋体" w:eastAsia="宋体" w:cs="宋体"/>
                <w:color w:val="auto"/>
                <w:kern w:val="0"/>
                <w:sz w:val="24"/>
                <w:szCs w:val="24"/>
                <w:lang w:val="it-IT" w:eastAsia="zh-CN" w:bidi="ar-SA"/>
              </w:rPr>
              <w:t>)</w:t>
            </w:r>
            <w:r>
              <w:rPr>
                <w:rFonts w:hint="eastAsia" w:ascii="宋体" w:hAnsi="宋体" w:eastAsia="宋体" w:cs="宋体"/>
                <w:color w:val="auto"/>
                <w:kern w:val="0"/>
                <w:sz w:val="24"/>
                <w:szCs w:val="24"/>
                <w:lang w:val="en-US" w:eastAsia="zh-CN" w:bidi="ar-SA"/>
              </w:rPr>
              <w:t>、</w:t>
            </w:r>
            <w:r>
              <w:rPr>
                <w:rFonts w:ascii="宋体" w:hAnsi="宋体" w:eastAsia="宋体" w:cs="宋体"/>
                <w:color w:val="auto"/>
                <w:kern w:val="0"/>
                <w:sz w:val="24"/>
                <w:szCs w:val="24"/>
                <w:lang w:val="en-US" w:eastAsia="zh-CN" w:bidi="ar-SA"/>
              </w:rPr>
              <w:t>芒果</w:t>
            </w:r>
            <w:r>
              <w:rPr>
                <w:rFonts w:hint="eastAsia" w:ascii="宋体" w:hAnsi="宋体" w:eastAsia="宋体" w:cs="宋体"/>
                <w:color w:val="auto"/>
                <w:kern w:val="0"/>
                <w:sz w:val="24"/>
                <w:szCs w:val="24"/>
                <w:lang w:val="en-US" w:eastAsia="zh-CN" w:bidi="ar-SA"/>
              </w:rPr>
              <w:t>（</w:t>
            </w:r>
            <w:r>
              <w:rPr>
                <w:rFonts w:ascii="宋体" w:hAnsi="宋体" w:eastAsia="宋体" w:cs="宋体"/>
                <w:i/>
                <w:iCs/>
                <w:color w:val="auto"/>
                <w:kern w:val="0"/>
                <w:sz w:val="24"/>
                <w:szCs w:val="24"/>
                <w:lang w:val="en-US" w:eastAsia="zh-CN" w:bidi="ar-SA"/>
              </w:rPr>
              <w:t>Mangifera indica</w:t>
            </w:r>
            <w:r>
              <w:rPr>
                <w:rFonts w:hint="eastAsia" w:ascii="宋体" w:hAnsi="宋体" w:eastAsia="宋体" w:cs="宋体"/>
                <w:color w:val="auto"/>
                <w:kern w:val="0"/>
                <w:sz w:val="24"/>
                <w:szCs w:val="24"/>
                <w:lang w:val="en-US" w:eastAsia="zh-CN" w:bidi="ar-SA"/>
              </w:rPr>
              <w:t>）</w:t>
            </w:r>
            <w:r>
              <w:rPr>
                <w:rFonts w:hint="eastAsia" w:ascii="宋体" w:hAnsi="宋体" w:eastAsia="宋体" w:cs="Times New Roman"/>
                <w:color w:val="auto"/>
                <w:kern w:val="2"/>
                <w:sz w:val="24"/>
                <w:szCs w:val="24"/>
                <w:lang w:val="en-US" w:eastAsia="zh-CN" w:bidi="ar-SA"/>
              </w:rPr>
              <w:t>园</w:t>
            </w:r>
            <w:r>
              <w:rPr>
                <w:rFonts w:ascii="宋体" w:hAnsi="宋体" w:eastAsia="宋体" w:cs="Times New Roman"/>
                <w:color w:val="auto"/>
                <w:kern w:val="2"/>
                <w:sz w:val="24"/>
                <w:szCs w:val="24"/>
                <w:lang w:val="en-US" w:eastAsia="zh-CN" w:bidi="ar-SA"/>
              </w:rPr>
              <w:t>；也有一些</w:t>
            </w:r>
            <w:r>
              <w:rPr>
                <w:rFonts w:hint="eastAsia" w:ascii="宋体" w:hAnsi="宋体" w:eastAsia="宋体" w:cs="宋体"/>
                <w:color w:val="auto"/>
                <w:kern w:val="0"/>
                <w:sz w:val="24"/>
                <w:szCs w:val="24"/>
                <w:lang w:val="en-US" w:eastAsia="zh-Hans" w:bidi="ar-SA"/>
              </w:rPr>
              <w:t>白</w:t>
            </w:r>
            <w:r>
              <w:rPr>
                <w:rFonts w:ascii="宋体" w:hAnsi="宋体" w:eastAsia="宋体" w:cs="Times New Roman"/>
                <w:color w:val="auto"/>
                <w:kern w:val="2"/>
                <w:sz w:val="24"/>
                <w:szCs w:val="24"/>
                <w:lang w:val="en-US" w:eastAsia="zh-CN" w:bidi="ar-SA"/>
              </w:rPr>
              <w:t>杨树</w:t>
            </w:r>
            <w:r>
              <w:rPr>
                <w:rFonts w:hint="eastAsia" w:ascii="宋体" w:hAnsi="宋体" w:eastAsia="宋体" w:cs="Times New Roman"/>
                <w:color w:val="auto"/>
                <w:kern w:val="2"/>
                <w:sz w:val="24"/>
                <w:szCs w:val="24"/>
                <w:lang w:val="en-US" w:eastAsia="zh-CN" w:bidi="ar-SA"/>
              </w:rPr>
              <w:t>（</w:t>
            </w:r>
            <w:r>
              <w:rPr>
                <w:rFonts w:hint="eastAsia" w:ascii="宋体" w:hAnsi="宋体" w:eastAsia="宋体" w:cs="宋体"/>
                <w:i/>
                <w:iCs/>
                <w:color w:val="auto"/>
                <w:kern w:val="0"/>
                <w:sz w:val="24"/>
                <w:szCs w:val="24"/>
                <w:lang w:val="en-US" w:eastAsia="zh-CN" w:bidi="ar-SA"/>
              </w:rPr>
              <w:t>Populus bonatii</w:t>
            </w:r>
            <w:r>
              <w:rPr>
                <w:rFonts w:hint="eastAsia" w:ascii="宋体" w:hAnsi="宋体" w:eastAsia="宋体" w:cs="宋体"/>
                <w:iCs/>
                <w:color w:val="auto"/>
                <w:kern w:val="0"/>
                <w:sz w:val="24"/>
                <w:szCs w:val="24"/>
                <w:lang w:val="en-US" w:eastAsia="zh-CN" w:bidi="ar-SA"/>
              </w:rPr>
              <w:t>）</w:t>
            </w:r>
            <w:r>
              <w:rPr>
                <w:rFonts w:ascii="宋体" w:hAnsi="宋体" w:eastAsia="宋体" w:cs="宋体"/>
                <w:i/>
                <w:iCs/>
                <w:color w:val="auto"/>
                <w:kern w:val="0"/>
                <w:sz w:val="24"/>
                <w:szCs w:val="24"/>
                <w:lang w:val="en-US" w:eastAsia="zh-CN" w:bidi="ar-SA"/>
              </w:rPr>
              <w:t>、</w:t>
            </w:r>
            <w:r>
              <w:rPr>
                <w:rFonts w:hint="eastAsia" w:ascii="宋体" w:hAnsi="宋体" w:eastAsia="宋体" w:cs="宋体"/>
                <w:iCs/>
                <w:color w:val="auto"/>
                <w:kern w:val="0"/>
                <w:sz w:val="24"/>
                <w:szCs w:val="24"/>
                <w:lang w:val="en-US" w:eastAsia="zh-CN" w:bidi="ar-SA"/>
              </w:rPr>
              <w:t>垂柳</w:t>
            </w:r>
            <w:r>
              <w:rPr>
                <w:rFonts w:hint="eastAsia" w:ascii="宋体" w:hAnsi="宋体" w:eastAsia="宋体" w:cs="宋体"/>
                <w:i/>
                <w:iCs/>
                <w:color w:val="auto"/>
                <w:kern w:val="0"/>
                <w:sz w:val="24"/>
                <w:szCs w:val="24"/>
                <w:lang w:val="en-US" w:eastAsia="zh-CN" w:bidi="ar-SA"/>
              </w:rPr>
              <w:t>（Salix babylonica）</w:t>
            </w:r>
            <w:r>
              <w:rPr>
                <w:rFonts w:ascii="宋体" w:hAnsi="宋体" w:eastAsia="宋体" w:cs="Times New Roman"/>
                <w:color w:val="auto"/>
                <w:kern w:val="2"/>
                <w:sz w:val="24"/>
                <w:szCs w:val="24"/>
                <w:lang w:val="en-US" w:eastAsia="zh-CN" w:bidi="ar-SA"/>
              </w:rPr>
              <w:t>、</w:t>
            </w:r>
            <w:r>
              <w:rPr>
                <w:rFonts w:ascii="宋体" w:hAnsi="宋体" w:eastAsia="宋体" w:cs="宋体"/>
                <w:iCs/>
                <w:color w:val="auto"/>
                <w:kern w:val="0"/>
                <w:sz w:val="24"/>
                <w:szCs w:val="24"/>
                <w:lang w:val="en-US" w:eastAsia="zh-CN" w:bidi="ar-SA"/>
              </w:rPr>
              <w:t>直杆蓝桉</w:t>
            </w:r>
            <w:r>
              <w:rPr>
                <w:rFonts w:hint="eastAsia" w:ascii="宋体" w:hAnsi="宋体" w:eastAsia="宋体" w:cs="宋体"/>
                <w:color w:val="auto"/>
                <w:kern w:val="0"/>
                <w:sz w:val="24"/>
                <w:szCs w:val="24"/>
                <w:lang w:val="en-US" w:eastAsia="zh-CN" w:bidi="ar-SA"/>
              </w:rPr>
              <w:t>（</w:t>
            </w:r>
            <w:r>
              <w:rPr>
                <w:rFonts w:ascii="宋体" w:hAnsi="宋体" w:eastAsia="宋体" w:cs="宋体"/>
                <w:i/>
                <w:iCs/>
                <w:color w:val="auto"/>
                <w:kern w:val="0"/>
                <w:sz w:val="24"/>
                <w:szCs w:val="24"/>
                <w:lang w:val="en-US" w:eastAsia="zh-CN" w:bidi="ar-SA"/>
              </w:rPr>
              <w:t>Eucalyptus maideni</w:t>
            </w:r>
            <w:r>
              <w:rPr>
                <w:rFonts w:hint="eastAsia" w:ascii="宋体" w:hAnsi="宋体" w:eastAsia="宋体" w:cs="宋体"/>
                <w:color w:val="auto"/>
                <w:kern w:val="0"/>
                <w:sz w:val="24"/>
                <w:szCs w:val="24"/>
                <w:lang w:val="en-US" w:eastAsia="zh-CN" w:bidi="ar-SA"/>
              </w:rPr>
              <w:t>）</w:t>
            </w:r>
            <w:r>
              <w:rPr>
                <w:rFonts w:ascii="宋体" w:hAnsi="宋体" w:eastAsia="宋体" w:cs="Times New Roman"/>
                <w:color w:val="auto"/>
                <w:kern w:val="2"/>
                <w:sz w:val="24"/>
                <w:szCs w:val="24"/>
                <w:lang w:val="en-US" w:eastAsia="zh-CN" w:bidi="ar-SA"/>
              </w:rPr>
              <w:t>等人工种植的用</w:t>
            </w:r>
            <w:r>
              <w:rPr>
                <w:rFonts w:hint="eastAsia" w:ascii="宋体" w:hAnsi="宋体" w:eastAsia="宋体" w:cs="Times New Roman"/>
                <w:color w:val="auto"/>
                <w:kern w:val="2"/>
                <w:sz w:val="24"/>
                <w:szCs w:val="24"/>
                <w:lang w:val="en-US" w:eastAsia="zh-CN" w:bidi="ar-SA"/>
              </w:rPr>
              <w:t>材</w:t>
            </w:r>
            <w:r>
              <w:rPr>
                <w:rFonts w:ascii="宋体" w:hAnsi="宋体" w:eastAsia="宋体" w:cs="Times New Roman"/>
                <w:color w:val="auto"/>
                <w:kern w:val="2"/>
                <w:sz w:val="24"/>
                <w:szCs w:val="24"/>
                <w:lang w:val="en-US" w:eastAsia="zh-CN" w:bidi="ar-SA"/>
              </w:rPr>
              <w:t>或绿化树种分布。</w:t>
            </w:r>
          </w:p>
          <w:p>
            <w:pPr>
              <w:spacing w:before="120" w:beforeLines="50" w:line="360" w:lineRule="auto"/>
              <w:ind w:firstLine="482" w:firstLineChars="200"/>
              <w:rPr>
                <w:rFonts w:ascii="Times New Roman" w:hAnsi="Times New Roman" w:eastAsia="宋体" w:cs="Times New Roman"/>
                <w:b/>
                <w:color w:val="auto"/>
                <w:sz w:val="24"/>
              </w:rPr>
            </w:pPr>
            <w:r>
              <w:rPr>
                <w:rFonts w:hint="eastAsia" w:ascii="Times New Roman" w:hAnsi="Times New Roman" w:eastAsia="宋体" w:cs="Times New Roman"/>
                <w:b/>
                <w:color w:val="auto"/>
                <w:sz w:val="24"/>
              </w:rPr>
              <w:t>（4）评价区植被类型现状</w:t>
            </w:r>
          </w:p>
          <w:p>
            <w:pPr>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经现场调查，本次评价范围内涉及的植被类型主要为</w:t>
            </w:r>
            <w:r>
              <w:rPr>
                <w:rFonts w:hint="eastAsia" w:ascii="宋体" w:hAnsi="宋体" w:eastAsia="宋体" w:cs="TimesNewRomanPSMT"/>
                <w:color w:val="auto"/>
                <w:sz w:val="24"/>
              </w:rPr>
              <w:t>干热河谷硬叶常绿阔叶林</w:t>
            </w:r>
            <w:r>
              <w:rPr>
                <w:rFonts w:hint="eastAsia" w:ascii="Times New Roman" w:hAnsi="宋体" w:eastAsia="宋体" w:cs="Times New Roman"/>
                <w:color w:val="auto"/>
                <w:kern w:val="0"/>
                <w:sz w:val="24"/>
              </w:rPr>
              <w:t>、</w:t>
            </w:r>
            <w:r>
              <w:rPr>
                <w:rFonts w:ascii="Times New Roman" w:hAnsi="宋体" w:eastAsia="宋体" w:cs="Times New Roman"/>
                <w:color w:val="auto"/>
                <w:kern w:val="0"/>
                <w:sz w:val="24"/>
              </w:rPr>
              <w:t>干热性稀树灌草丛</w:t>
            </w:r>
            <w:r>
              <w:rPr>
                <w:rFonts w:hint="eastAsia" w:ascii="Times New Roman" w:hAnsi="宋体" w:eastAsia="宋体" w:cs="Times New Roman"/>
                <w:color w:val="auto"/>
                <w:kern w:val="0"/>
                <w:sz w:val="24"/>
              </w:rPr>
              <w:t>、</w:t>
            </w:r>
            <w:r>
              <w:rPr>
                <w:rFonts w:hint="eastAsia" w:ascii="宋体" w:hAnsi="宋体" w:eastAsia="宋体" w:cs="宋体"/>
                <w:color w:val="auto"/>
                <w:sz w:val="24"/>
              </w:rPr>
              <w:t>干热河谷次生灌木草丛、人工植被等植被类型，</w:t>
            </w:r>
            <w:r>
              <w:rPr>
                <w:rFonts w:hint="eastAsia" w:ascii="Times New Roman" w:hAnsi="Times New Roman" w:eastAsia="宋体" w:cs="Times New Roman"/>
                <w:color w:val="auto"/>
                <w:sz w:val="24"/>
              </w:rPr>
              <w:t>同时评价区受到很强的人为干扰，在河谷地段和平缓坡地上也广泛分布有大量的人工植被。本项目评价范围植被类型分布见附图12。根据制作的植被图统计评价区内各植被类型面积及占评价区面积比例，见表3</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3-3。</w:t>
            </w:r>
          </w:p>
          <w:p>
            <w:pPr>
              <w:widowControl w:val="0"/>
              <w:adjustRightInd w:val="0"/>
              <w:snapToGrid w:val="0"/>
              <w:spacing w:line="240" w:lineRule="auto"/>
              <w:ind w:left="0" w:leftChars="0" w:right="0" w:rightChars="0" w:firstLine="0" w:firstLineChars="0"/>
              <w:jc w:val="center"/>
              <w:rPr>
                <w:rFonts w:hint="eastAsia"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表3.3-3  评价区内陆生植被类型面积一览表</w:t>
            </w:r>
          </w:p>
          <w:tbl>
            <w:tblPr>
              <w:tblStyle w:val="18"/>
              <w:tblW w:w="5063"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2283"/>
              <w:gridCol w:w="2125"/>
              <w:gridCol w:w="273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132" w:type="pct"/>
                  <w:gridSpan w:val="2"/>
                  <w:noWrap w:val="0"/>
                  <w:vAlign w:val="center"/>
                </w:tcPr>
                <w:p>
                  <w:pPr>
                    <w:ind w:left="0" w:leftChars="0" w:right="0" w:rightChars="0"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植被类型</w:t>
                  </w:r>
                </w:p>
              </w:tc>
              <w:tc>
                <w:tcPr>
                  <w:tcW w:w="1255" w:type="pct"/>
                  <w:noWrap w:val="0"/>
                  <w:vAlign w:val="center"/>
                </w:tcPr>
                <w:p>
                  <w:pPr>
                    <w:ind w:left="0" w:leftChars="0" w:right="0" w:rightChars="0"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评价区面积（hm</w:t>
                  </w:r>
                  <w:r>
                    <w:rPr>
                      <w:rFonts w:ascii="Times New Roman" w:hAnsi="Times New Roman" w:eastAsia="宋体" w:cs="Times New Roman"/>
                      <w:b/>
                      <w:color w:val="auto"/>
                      <w:sz w:val="21"/>
                      <w:szCs w:val="21"/>
                      <w:vertAlign w:val="superscript"/>
                    </w:rPr>
                    <w:t>2</w:t>
                  </w:r>
                  <w:r>
                    <w:rPr>
                      <w:rFonts w:ascii="Times New Roman" w:hAnsi="Times New Roman" w:eastAsia="宋体" w:cs="Times New Roman"/>
                      <w:b/>
                      <w:color w:val="auto"/>
                      <w:sz w:val="21"/>
                      <w:szCs w:val="21"/>
                    </w:rPr>
                    <w:t>）</w:t>
                  </w:r>
                </w:p>
              </w:tc>
              <w:tc>
                <w:tcPr>
                  <w:tcW w:w="1612" w:type="pct"/>
                  <w:noWrap w:val="0"/>
                  <w:vAlign w:val="center"/>
                </w:tcPr>
                <w:p>
                  <w:pPr>
                    <w:ind w:left="0" w:leftChars="0" w:right="0" w:rightChars="0"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占评价区面积比（%）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4" w:type="pct"/>
                  <w:vMerge w:val="restart"/>
                  <w:noWrap w:val="0"/>
                  <w:vAlign w:val="center"/>
                </w:tcPr>
                <w:p>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自然植被</w:t>
                  </w:r>
                </w:p>
              </w:tc>
              <w:tc>
                <w:tcPr>
                  <w:tcW w:w="1347" w:type="pct"/>
                  <w:noWrap w:val="0"/>
                  <w:vAlign w:val="center"/>
                </w:tcPr>
                <w:p>
                  <w:pPr>
                    <w:keepNext w:val="0"/>
                    <w:keepLines w:val="0"/>
                    <w:widowControl/>
                    <w:suppressLineNumbers w:val="0"/>
                    <w:ind w:left="0" w:leftChars="0" w:right="0" w:rightChars="0" w:firstLine="0" w:firstLineChars="0"/>
                    <w:jc w:val="center"/>
                    <w:textAlignment w:val="center"/>
                    <w:rPr>
                      <w:rFonts w:ascii="Times New Roman" w:hAnsi="Times New Roman" w:eastAsia="宋体" w:cs="Times New Roman"/>
                      <w:color w:val="auto"/>
                      <w:sz w:val="21"/>
                      <w:szCs w:val="21"/>
                    </w:rPr>
                  </w:pPr>
                  <w:r>
                    <w:rPr>
                      <w:rStyle w:val="46"/>
                      <w:rFonts w:ascii="Times New Roman" w:hAnsi="Times New Roman" w:eastAsia="宋体"/>
                      <w:sz w:val="21"/>
                      <w:lang w:val="en-US" w:eastAsia="zh-CN" w:bidi="ar"/>
                    </w:rPr>
                    <w:t>有林地</w:t>
                  </w:r>
                </w:p>
              </w:tc>
              <w:tc>
                <w:tcPr>
                  <w:tcW w:w="1255" w:type="pct"/>
                  <w:noWrap w:val="0"/>
                  <w:vAlign w:val="center"/>
                </w:tcPr>
                <w:p>
                  <w:pPr>
                    <w:keepNext w:val="0"/>
                    <w:keepLines w:val="0"/>
                    <w:widowControl/>
                    <w:suppressLineNumbers w:val="0"/>
                    <w:ind w:left="0" w:leftChars="0" w:right="0" w:rightChars="0" w:firstLine="0" w:firstLineChars="0"/>
                    <w:jc w:val="center"/>
                    <w:textAlignment w:val="center"/>
                    <w:rPr>
                      <w:rFonts w:ascii="Times New Roman" w:hAnsi="Times New Roman" w:eastAsia="宋体" w:cs="Times New Roman"/>
                      <w:color w:val="auto"/>
                      <w:sz w:val="21"/>
                      <w:szCs w:val="21"/>
                    </w:rPr>
                  </w:pPr>
                  <w:r>
                    <w:rPr>
                      <w:rFonts w:hint="eastAsia" w:ascii="Times New Roman" w:hAnsi="Times New Roman" w:eastAsia="宋体" w:cs="等线"/>
                      <w:i w:val="0"/>
                      <w:iCs w:val="0"/>
                      <w:color w:val="000000"/>
                      <w:kern w:val="0"/>
                      <w:sz w:val="21"/>
                      <w:szCs w:val="22"/>
                      <w:u w:val="none"/>
                      <w:lang w:val="en-US" w:eastAsia="zh-CN" w:bidi="ar"/>
                    </w:rPr>
                    <w:t>0.777</w:t>
                  </w:r>
                </w:p>
              </w:tc>
              <w:tc>
                <w:tcPr>
                  <w:tcW w:w="1612" w:type="pct"/>
                  <w:noWrap w:val="0"/>
                  <w:vAlign w:val="center"/>
                </w:tcPr>
                <w:p>
                  <w:pPr>
                    <w:keepNext w:val="0"/>
                    <w:keepLines w:val="0"/>
                    <w:widowControl/>
                    <w:suppressLineNumbers w:val="0"/>
                    <w:ind w:left="0" w:leftChars="0" w:right="0" w:rightChars="0" w:firstLine="0" w:firstLineChars="0"/>
                    <w:jc w:val="center"/>
                    <w:textAlignment w:val="center"/>
                    <w:rPr>
                      <w:rFonts w:ascii="Times New Roman" w:hAnsi="Times New Roman" w:eastAsia="宋体" w:cs="宋体"/>
                      <w:color w:val="auto"/>
                      <w:sz w:val="21"/>
                      <w:szCs w:val="22"/>
                    </w:rPr>
                  </w:pPr>
                  <w:r>
                    <w:rPr>
                      <w:rFonts w:hint="eastAsia" w:ascii="Times New Roman" w:hAnsi="Times New Roman" w:eastAsia="宋体" w:cs="等线"/>
                      <w:i w:val="0"/>
                      <w:iCs w:val="0"/>
                      <w:color w:val="000000"/>
                      <w:kern w:val="0"/>
                      <w:sz w:val="21"/>
                      <w:szCs w:val="22"/>
                      <w:u w:val="none"/>
                      <w:lang w:val="en-US" w:eastAsia="zh-CN" w:bidi="ar"/>
                    </w:rPr>
                    <w:t>0.09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4" w:type="pct"/>
                  <w:vMerge w:val="continue"/>
                  <w:noWrap w:val="0"/>
                  <w:vAlign w:val="center"/>
                </w:tcPr>
                <w:p>
                  <w:pPr>
                    <w:ind w:left="0" w:leftChars="0" w:right="0" w:rightChars="0" w:firstLine="0" w:firstLineChars="0"/>
                    <w:jc w:val="center"/>
                    <w:rPr>
                      <w:rFonts w:ascii="Times New Roman" w:hAnsi="Times New Roman" w:eastAsia="宋体" w:cs="Times New Roman"/>
                      <w:color w:val="auto"/>
                      <w:sz w:val="21"/>
                      <w:szCs w:val="21"/>
                    </w:rPr>
                  </w:pPr>
                </w:p>
              </w:tc>
              <w:tc>
                <w:tcPr>
                  <w:tcW w:w="1347" w:type="pct"/>
                  <w:noWrap w:val="0"/>
                  <w:vAlign w:val="center"/>
                </w:tcPr>
                <w:p>
                  <w:pPr>
                    <w:keepNext w:val="0"/>
                    <w:keepLines w:val="0"/>
                    <w:widowControl/>
                    <w:suppressLineNumbers w:val="0"/>
                    <w:ind w:left="0" w:leftChars="0" w:right="0" w:rightChars="0" w:firstLine="0" w:firstLineChars="0"/>
                    <w:jc w:val="center"/>
                    <w:textAlignment w:val="center"/>
                    <w:rPr>
                      <w:rFonts w:ascii="Times New Roman" w:hAnsi="Times New Roman" w:eastAsia="宋体" w:cs="Times New Roman"/>
                      <w:color w:val="auto"/>
                      <w:sz w:val="21"/>
                      <w:szCs w:val="21"/>
                    </w:rPr>
                  </w:pPr>
                  <w:r>
                    <w:rPr>
                      <w:rStyle w:val="46"/>
                      <w:rFonts w:ascii="Times New Roman" w:hAnsi="Times New Roman" w:eastAsia="宋体"/>
                      <w:sz w:val="21"/>
                      <w:lang w:val="en-US" w:eastAsia="zh-CN" w:bidi="ar"/>
                    </w:rPr>
                    <w:t>灌木林地</w:t>
                  </w:r>
                </w:p>
              </w:tc>
              <w:tc>
                <w:tcPr>
                  <w:tcW w:w="1255" w:type="pct"/>
                  <w:noWrap w:val="0"/>
                  <w:vAlign w:val="center"/>
                </w:tcPr>
                <w:p>
                  <w:pPr>
                    <w:keepNext w:val="0"/>
                    <w:keepLines w:val="0"/>
                    <w:widowControl/>
                    <w:suppressLineNumbers w:val="0"/>
                    <w:ind w:left="0" w:leftChars="0" w:right="0" w:rightChars="0" w:firstLine="0" w:firstLineChars="0"/>
                    <w:jc w:val="center"/>
                    <w:textAlignment w:val="center"/>
                    <w:rPr>
                      <w:rFonts w:ascii="Times New Roman" w:hAnsi="Times New Roman" w:eastAsia="宋体" w:cs="Times New Roman"/>
                      <w:color w:val="auto"/>
                      <w:sz w:val="21"/>
                      <w:szCs w:val="21"/>
                    </w:rPr>
                  </w:pPr>
                  <w:r>
                    <w:rPr>
                      <w:rFonts w:hint="eastAsia" w:ascii="Times New Roman" w:hAnsi="Times New Roman" w:eastAsia="宋体" w:cs="等线"/>
                      <w:i w:val="0"/>
                      <w:iCs w:val="0"/>
                      <w:color w:val="000000"/>
                      <w:kern w:val="0"/>
                      <w:sz w:val="21"/>
                      <w:szCs w:val="22"/>
                      <w:u w:val="none"/>
                      <w:lang w:val="en-US" w:eastAsia="zh-CN" w:bidi="ar"/>
                    </w:rPr>
                    <w:t>630.850</w:t>
                  </w:r>
                </w:p>
              </w:tc>
              <w:tc>
                <w:tcPr>
                  <w:tcW w:w="1612" w:type="pct"/>
                  <w:noWrap w:val="0"/>
                  <w:vAlign w:val="center"/>
                </w:tcPr>
                <w:p>
                  <w:pPr>
                    <w:keepNext w:val="0"/>
                    <w:keepLines w:val="0"/>
                    <w:widowControl/>
                    <w:suppressLineNumbers w:val="0"/>
                    <w:ind w:left="0" w:leftChars="0" w:right="0" w:rightChars="0" w:firstLine="0" w:firstLineChars="0"/>
                    <w:jc w:val="center"/>
                    <w:textAlignment w:val="center"/>
                    <w:rPr>
                      <w:rFonts w:ascii="Times New Roman" w:hAnsi="Times New Roman" w:eastAsia="宋体" w:cs="宋体"/>
                      <w:color w:val="auto"/>
                      <w:sz w:val="21"/>
                      <w:szCs w:val="22"/>
                    </w:rPr>
                  </w:pPr>
                  <w:r>
                    <w:rPr>
                      <w:rFonts w:hint="eastAsia" w:ascii="Times New Roman" w:hAnsi="Times New Roman" w:eastAsia="宋体" w:cs="等线"/>
                      <w:i w:val="0"/>
                      <w:iCs w:val="0"/>
                      <w:color w:val="000000"/>
                      <w:kern w:val="0"/>
                      <w:sz w:val="21"/>
                      <w:szCs w:val="22"/>
                      <w:u w:val="none"/>
                      <w:lang w:val="en-US" w:eastAsia="zh-CN" w:bidi="ar"/>
                    </w:rPr>
                    <w:t>75.10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4" w:type="pct"/>
                  <w:vMerge w:val="continue"/>
                  <w:noWrap w:val="0"/>
                  <w:vAlign w:val="center"/>
                </w:tcPr>
                <w:p>
                  <w:pPr>
                    <w:ind w:left="0" w:leftChars="0" w:right="0" w:rightChars="0" w:firstLine="0" w:firstLineChars="0"/>
                    <w:jc w:val="center"/>
                    <w:rPr>
                      <w:rFonts w:ascii="Times New Roman" w:hAnsi="Times New Roman" w:eastAsia="宋体" w:cs="Times New Roman"/>
                      <w:color w:val="auto"/>
                      <w:sz w:val="21"/>
                      <w:szCs w:val="21"/>
                    </w:rPr>
                  </w:pPr>
                </w:p>
              </w:tc>
              <w:tc>
                <w:tcPr>
                  <w:tcW w:w="1347" w:type="pct"/>
                  <w:noWrap w:val="0"/>
                  <w:vAlign w:val="center"/>
                </w:tcPr>
                <w:p>
                  <w:pPr>
                    <w:keepNext w:val="0"/>
                    <w:keepLines w:val="0"/>
                    <w:widowControl/>
                    <w:suppressLineNumbers w:val="0"/>
                    <w:ind w:left="0" w:leftChars="0" w:right="0" w:rightChars="0" w:firstLine="0" w:firstLineChars="0"/>
                    <w:jc w:val="center"/>
                    <w:textAlignment w:val="center"/>
                    <w:rPr>
                      <w:rFonts w:ascii="Times New Roman" w:hAnsi="Times New Roman" w:eastAsia="宋体" w:cs="Times New Roman"/>
                      <w:color w:val="auto"/>
                      <w:sz w:val="21"/>
                      <w:szCs w:val="21"/>
                    </w:rPr>
                  </w:pPr>
                  <w:r>
                    <w:rPr>
                      <w:rStyle w:val="46"/>
                      <w:rFonts w:ascii="Times New Roman" w:hAnsi="Times New Roman" w:eastAsia="宋体"/>
                      <w:sz w:val="21"/>
                      <w:lang w:val="en-US" w:eastAsia="zh-CN" w:bidi="ar"/>
                    </w:rPr>
                    <w:t>草地</w:t>
                  </w:r>
                </w:p>
              </w:tc>
              <w:tc>
                <w:tcPr>
                  <w:tcW w:w="1255" w:type="pct"/>
                  <w:noWrap w:val="0"/>
                  <w:vAlign w:val="center"/>
                </w:tcPr>
                <w:p>
                  <w:pPr>
                    <w:keepNext w:val="0"/>
                    <w:keepLines w:val="0"/>
                    <w:widowControl/>
                    <w:suppressLineNumbers w:val="0"/>
                    <w:ind w:left="0" w:leftChars="0" w:right="0" w:rightChars="0" w:firstLine="0" w:firstLineChars="0"/>
                    <w:jc w:val="center"/>
                    <w:textAlignment w:val="center"/>
                    <w:rPr>
                      <w:rFonts w:ascii="Times New Roman" w:hAnsi="Times New Roman" w:eastAsia="宋体" w:cs="Times New Roman"/>
                      <w:color w:val="auto"/>
                      <w:sz w:val="21"/>
                      <w:szCs w:val="21"/>
                    </w:rPr>
                  </w:pPr>
                  <w:r>
                    <w:rPr>
                      <w:rFonts w:hint="eastAsia" w:ascii="Times New Roman" w:hAnsi="Times New Roman" w:eastAsia="宋体" w:cs="等线"/>
                      <w:i w:val="0"/>
                      <w:iCs w:val="0"/>
                      <w:color w:val="000000"/>
                      <w:kern w:val="0"/>
                      <w:sz w:val="21"/>
                      <w:szCs w:val="22"/>
                      <w:u w:val="none"/>
                      <w:lang w:val="en-US" w:eastAsia="zh-CN" w:bidi="ar"/>
                    </w:rPr>
                    <w:t>131.659</w:t>
                  </w:r>
                </w:p>
              </w:tc>
              <w:tc>
                <w:tcPr>
                  <w:tcW w:w="1612" w:type="pct"/>
                  <w:noWrap w:val="0"/>
                  <w:vAlign w:val="center"/>
                </w:tcPr>
                <w:p>
                  <w:pPr>
                    <w:keepNext w:val="0"/>
                    <w:keepLines w:val="0"/>
                    <w:widowControl/>
                    <w:suppressLineNumbers w:val="0"/>
                    <w:ind w:left="0" w:leftChars="0" w:right="0" w:rightChars="0" w:firstLine="0" w:firstLineChars="0"/>
                    <w:jc w:val="center"/>
                    <w:textAlignment w:val="center"/>
                    <w:rPr>
                      <w:rFonts w:ascii="Times New Roman" w:hAnsi="Times New Roman" w:eastAsia="宋体" w:cs="宋体"/>
                      <w:color w:val="auto"/>
                      <w:sz w:val="21"/>
                      <w:szCs w:val="22"/>
                    </w:rPr>
                  </w:pPr>
                  <w:r>
                    <w:rPr>
                      <w:rFonts w:hint="eastAsia" w:ascii="Times New Roman" w:hAnsi="Times New Roman" w:eastAsia="宋体" w:cs="等线"/>
                      <w:i w:val="0"/>
                      <w:iCs w:val="0"/>
                      <w:color w:val="000000"/>
                      <w:kern w:val="0"/>
                      <w:sz w:val="21"/>
                      <w:szCs w:val="22"/>
                      <w:u w:val="none"/>
                      <w:lang w:val="en-US" w:eastAsia="zh-CN" w:bidi="ar"/>
                    </w:rPr>
                    <w:t>15.67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4" w:type="pct"/>
                  <w:vMerge w:val="continue"/>
                  <w:noWrap w:val="0"/>
                  <w:vAlign w:val="center"/>
                </w:tcPr>
                <w:p>
                  <w:pPr>
                    <w:ind w:left="0" w:leftChars="0" w:right="0" w:rightChars="0" w:firstLine="0" w:firstLineChars="0"/>
                    <w:jc w:val="center"/>
                    <w:rPr>
                      <w:rFonts w:ascii="Times New Roman" w:hAnsi="Times New Roman" w:eastAsia="宋体" w:cs="Times New Roman"/>
                      <w:color w:val="auto"/>
                      <w:sz w:val="21"/>
                      <w:szCs w:val="21"/>
                    </w:rPr>
                  </w:pPr>
                </w:p>
              </w:tc>
              <w:tc>
                <w:tcPr>
                  <w:tcW w:w="1347" w:type="pct"/>
                  <w:noWrap w:val="0"/>
                  <w:vAlign w:val="center"/>
                </w:tcPr>
                <w:p>
                  <w:pPr>
                    <w:keepNext w:val="0"/>
                    <w:keepLines w:val="0"/>
                    <w:widowControl/>
                    <w:suppressLineNumbers w:val="0"/>
                    <w:ind w:left="0" w:leftChars="0" w:right="0" w:rightChars="0" w:firstLine="0" w:firstLineChars="0"/>
                    <w:jc w:val="center"/>
                    <w:textAlignment w:val="center"/>
                    <w:rPr>
                      <w:rStyle w:val="46"/>
                      <w:rFonts w:hint="default" w:ascii="Times New Roman" w:hAnsi="Times New Roman" w:eastAsia="宋体"/>
                      <w:sz w:val="21"/>
                      <w:lang w:val="en-US" w:eastAsia="zh-CN" w:bidi="ar"/>
                    </w:rPr>
                  </w:pPr>
                  <w:r>
                    <w:rPr>
                      <w:rStyle w:val="46"/>
                      <w:rFonts w:hint="eastAsia" w:ascii="Times New Roman" w:hAnsi="Times New Roman" w:eastAsia="宋体"/>
                      <w:b/>
                      <w:bCs/>
                      <w:sz w:val="21"/>
                      <w:lang w:val="en-US" w:eastAsia="zh-CN" w:bidi="ar"/>
                    </w:rPr>
                    <w:t>小计</w:t>
                  </w:r>
                </w:p>
              </w:tc>
              <w:tc>
                <w:tcPr>
                  <w:tcW w:w="1255" w:type="pct"/>
                  <w:noWrap w:val="0"/>
                  <w:vAlign w:val="center"/>
                </w:tcPr>
                <w:p>
                  <w:pPr>
                    <w:keepNext w:val="0"/>
                    <w:keepLines w:val="0"/>
                    <w:widowControl/>
                    <w:suppressLineNumbers w:val="0"/>
                    <w:ind w:left="0" w:leftChars="0" w:right="0" w:rightChars="0" w:firstLine="0" w:firstLineChars="0"/>
                    <w:jc w:val="center"/>
                    <w:textAlignment w:val="center"/>
                    <w:rPr>
                      <w:rFonts w:hint="eastAsia" w:ascii="Times New Roman" w:hAnsi="Times New Roman" w:eastAsia="宋体" w:cs="等线"/>
                      <w:b/>
                      <w:bCs/>
                      <w:i w:val="0"/>
                      <w:iCs w:val="0"/>
                      <w:color w:val="000000"/>
                      <w:kern w:val="0"/>
                      <w:sz w:val="21"/>
                      <w:szCs w:val="22"/>
                      <w:u w:val="none"/>
                      <w:lang w:val="en-US" w:eastAsia="zh-CN" w:bidi="ar"/>
                    </w:rPr>
                  </w:pPr>
                  <w:r>
                    <w:rPr>
                      <w:rFonts w:hint="eastAsia" w:ascii="Times New Roman" w:hAnsi="Times New Roman" w:eastAsia="宋体" w:cs="等线"/>
                      <w:b/>
                      <w:bCs/>
                      <w:i w:val="0"/>
                      <w:iCs w:val="0"/>
                      <w:color w:val="000000"/>
                      <w:kern w:val="0"/>
                      <w:sz w:val="21"/>
                      <w:szCs w:val="22"/>
                      <w:u w:val="none"/>
                      <w:lang w:val="en-US" w:eastAsia="zh-CN" w:bidi="ar"/>
                    </w:rPr>
                    <w:t>763.286</w:t>
                  </w:r>
                </w:p>
              </w:tc>
              <w:tc>
                <w:tcPr>
                  <w:tcW w:w="1612" w:type="pct"/>
                  <w:noWrap w:val="0"/>
                  <w:vAlign w:val="center"/>
                </w:tcPr>
                <w:p>
                  <w:pPr>
                    <w:keepNext w:val="0"/>
                    <w:keepLines w:val="0"/>
                    <w:widowControl/>
                    <w:suppressLineNumbers w:val="0"/>
                    <w:ind w:left="0" w:leftChars="0" w:right="0" w:rightChars="0" w:firstLine="0" w:firstLineChars="0"/>
                    <w:jc w:val="center"/>
                    <w:textAlignment w:val="center"/>
                    <w:rPr>
                      <w:rFonts w:hint="eastAsia" w:ascii="Times New Roman" w:hAnsi="Times New Roman" w:eastAsia="宋体" w:cs="等线"/>
                      <w:b/>
                      <w:bCs/>
                      <w:i w:val="0"/>
                      <w:iCs w:val="0"/>
                      <w:color w:val="000000"/>
                      <w:kern w:val="0"/>
                      <w:sz w:val="21"/>
                      <w:szCs w:val="22"/>
                      <w:u w:val="none"/>
                      <w:lang w:val="en-US" w:eastAsia="zh-CN" w:bidi="ar"/>
                    </w:rPr>
                  </w:pPr>
                  <w:r>
                    <w:rPr>
                      <w:rFonts w:hint="eastAsia" w:ascii="Times New Roman" w:hAnsi="Times New Roman" w:eastAsia="宋体" w:cs="等线"/>
                      <w:b/>
                      <w:bCs/>
                      <w:i w:val="0"/>
                      <w:iCs w:val="0"/>
                      <w:color w:val="000000"/>
                      <w:kern w:val="0"/>
                      <w:sz w:val="21"/>
                      <w:szCs w:val="22"/>
                      <w:u w:val="none"/>
                      <w:lang w:val="en-US" w:eastAsia="zh-CN" w:bidi="ar"/>
                    </w:rPr>
                    <w:t>90.86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4" w:type="pct"/>
                  <w:vMerge w:val="restart"/>
                  <w:noWrap w:val="0"/>
                  <w:vAlign w:val="center"/>
                </w:tcPr>
                <w:p>
                  <w:pPr>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人工植被</w:t>
                  </w:r>
                </w:p>
              </w:tc>
              <w:tc>
                <w:tcPr>
                  <w:tcW w:w="1347" w:type="pct"/>
                  <w:noWrap w:val="0"/>
                  <w:vAlign w:val="center"/>
                </w:tcPr>
                <w:p>
                  <w:pPr>
                    <w:keepNext w:val="0"/>
                    <w:keepLines w:val="0"/>
                    <w:widowControl/>
                    <w:suppressLineNumbers w:val="0"/>
                    <w:ind w:left="0" w:leftChars="0" w:right="0" w:rightChars="0" w:firstLine="0" w:firstLineChars="0"/>
                    <w:jc w:val="center"/>
                    <w:textAlignment w:val="center"/>
                    <w:rPr>
                      <w:rFonts w:ascii="Times New Roman" w:hAnsi="Times New Roman" w:eastAsia="宋体" w:cs="Times New Roman"/>
                      <w:color w:val="auto"/>
                      <w:sz w:val="21"/>
                      <w:szCs w:val="21"/>
                    </w:rPr>
                  </w:pPr>
                  <w:r>
                    <w:rPr>
                      <w:rStyle w:val="46"/>
                      <w:rFonts w:ascii="Times New Roman" w:hAnsi="Times New Roman" w:eastAsia="宋体"/>
                      <w:sz w:val="21"/>
                      <w:lang w:val="en-US" w:eastAsia="zh-CN" w:bidi="ar"/>
                    </w:rPr>
                    <w:t>旱地</w:t>
                  </w:r>
                </w:p>
              </w:tc>
              <w:tc>
                <w:tcPr>
                  <w:tcW w:w="1255" w:type="pct"/>
                  <w:noWrap w:val="0"/>
                  <w:vAlign w:val="center"/>
                </w:tcPr>
                <w:p>
                  <w:pPr>
                    <w:keepNext w:val="0"/>
                    <w:keepLines w:val="0"/>
                    <w:widowControl/>
                    <w:suppressLineNumbers w:val="0"/>
                    <w:ind w:left="0" w:leftChars="0" w:right="0" w:rightChars="0" w:firstLine="0" w:firstLineChars="0"/>
                    <w:jc w:val="center"/>
                    <w:textAlignment w:val="center"/>
                    <w:rPr>
                      <w:rFonts w:hint="eastAsia" w:ascii="Times New Roman" w:hAnsi="Times New Roman" w:eastAsia="宋体" w:cs="等线"/>
                      <w:i w:val="0"/>
                      <w:iCs w:val="0"/>
                      <w:color w:val="000000"/>
                      <w:kern w:val="0"/>
                      <w:sz w:val="21"/>
                      <w:szCs w:val="22"/>
                      <w:u w:val="none"/>
                      <w:lang w:val="en-US" w:eastAsia="zh-CN" w:bidi="ar"/>
                    </w:rPr>
                  </w:pPr>
                  <w:r>
                    <w:rPr>
                      <w:rFonts w:hint="eastAsia" w:ascii="Times New Roman" w:hAnsi="Times New Roman" w:eastAsia="宋体" w:cs="等线"/>
                      <w:i w:val="0"/>
                      <w:iCs w:val="0"/>
                      <w:color w:val="000000"/>
                      <w:kern w:val="0"/>
                      <w:sz w:val="21"/>
                      <w:szCs w:val="22"/>
                      <w:u w:val="none"/>
                      <w:lang w:val="en-US" w:eastAsia="zh-CN" w:bidi="ar"/>
                    </w:rPr>
                    <w:t>31.403</w:t>
                  </w:r>
                </w:p>
              </w:tc>
              <w:tc>
                <w:tcPr>
                  <w:tcW w:w="1612" w:type="pct"/>
                  <w:noWrap w:val="0"/>
                  <w:vAlign w:val="center"/>
                </w:tcPr>
                <w:p>
                  <w:pPr>
                    <w:keepNext w:val="0"/>
                    <w:keepLines w:val="0"/>
                    <w:widowControl/>
                    <w:suppressLineNumbers w:val="0"/>
                    <w:ind w:left="0" w:leftChars="0" w:right="0" w:rightChars="0" w:firstLine="0" w:firstLineChars="0"/>
                    <w:jc w:val="center"/>
                    <w:textAlignment w:val="center"/>
                    <w:rPr>
                      <w:rFonts w:hint="eastAsia" w:ascii="Times New Roman" w:hAnsi="Times New Roman" w:eastAsia="宋体" w:cs="等线"/>
                      <w:i w:val="0"/>
                      <w:iCs w:val="0"/>
                      <w:color w:val="000000"/>
                      <w:kern w:val="0"/>
                      <w:sz w:val="21"/>
                      <w:szCs w:val="22"/>
                      <w:u w:val="none"/>
                      <w:lang w:val="en-US" w:eastAsia="zh-CN" w:bidi="ar"/>
                    </w:rPr>
                  </w:pPr>
                  <w:r>
                    <w:rPr>
                      <w:rFonts w:hint="eastAsia" w:ascii="Times New Roman" w:hAnsi="Times New Roman" w:eastAsia="宋体" w:cs="等线"/>
                      <w:i w:val="0"/>
                      <w:iCs w:val="0"/>
                      <w:color w:val="000000"/>
                      <w:kern w:val="0"/>
                      <w:sz w:val="21"/>
                      <w:szCs w:val="22"/>
                      <w:u w:val="none"/>
                      <w:lang w:val="en-US" w:eastAsia="zh-CN" w:bidi="ar"/>
                    </w:rPr>
                    <w:t>3.74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4" w:type="pct"/>
                  <w:vMerge w:val="continue"/>
                  <w:noWrap w:val="0"/>
                  <w:vAlign w:val="center"/>
                </w:tcPr>
                <w:p>
                  <w:pPr>
                    <w:ind w:left="0" w:leftChars="0" w:right="0" w:rightChars="0" w:firstLine="0" w:firstLineChars="0"/>
                    <w:jc w:val="center"/>
                    <w:rPr>
                      <w:rFonts w:ascii="Times New Roman" w:hAnsi="Times New Roman" w:eastAsia="宋体" w:cs="Times New Roman"/>
                      <w:color w:val="auto"/>
                      <w:kern w:val="2"/>
                      <w:sz w:val="21"/>
                      <w:szCs w:val="21"/>
                      <w:lang w:val="en-US" w:eastAsia="zh-CN" w:bidi="ar-SA"/>
                    </w:rPr>
                  </w:pPr>
                </w:p>
              </w:tc>
              <w:tc>
                <w:tcPr>
                  <w:tcW w:w="1347" w:type="pct"/>
                  <w:noWrap w:val="0"/>
                  <w:vAlign w:val="center"/>
                </w:tcPr>
                <w:p>
                  <w:pPr>
                    <w:keepNext w:val="0"/>
                    <w:keepLines w:val="0"/>
                    <w:widowControl/>
                    <w:suppressLineNumbers w:val="0"/>
                    <w:ind w:left="0" w:leftChars="0" w:right="0" w:rightChars="0" w:firstLine="0" w:firstLineChars="0"/>
                    <w:jc w:val="center"/>
                    <w:textAlignment w:val="center"/>
                    <w:rPr>
                      <w:rFonts w:ascii="Times New Roman" w:hAnsi="Times New Roman" w:eastAsia="宋体" w:cs="Times New Roman"/>
                      <w:color w:val="auto"/>
                      <w:kern w:val="2"/>
                      <w:sz w:val="21"/>
                      <w:szCs w:val="21"/>
                      <w:lang w:val="en-US" w:eastAsia="zh-CN" w:bidi="ar-SA"/>
                    </w:rPr>
                  </w:pPr>
                  <w:r>
                    <w:rPr>
                      <w:rStyle w:val="46"/>
                      <w:rFonts w:ascii="Times New Roman" w:hAnsi="Times New Roman" w:eastAsia="宋体"/>
                      <w:sz w:val="21"/>
                      <w:lang w:val="en-US" w:eastAsia="zh-CN" w:bidi="ar"/>
                    </w:rPr>
                    <w:t>水田</w:t>
                  </w:r>
                </w:p>
              </w:tc>
              <w:tc>
                <w:tcPr>
                  <w:tcW w:w="1255" w:type="pct"/>
                  <w:noWrap w:val="0"/>
                  <w:vAlign w:val="center"/>
                </w:tcPr>
                <w:p>
                  <w:pPr>
                    <w:keepNext w:val="0"/>
                    <w:keepLines w:val="0"/>
                    <w:widowControl/>
                    <w:suppressLineNumbers w:val="0"/>
                    <w:ind w:left="0" w:leftChars="0" w:right="0" w:rightChars="0" w:firstLine="0" w:firstLineChars="0"/>
                    <w:jc w:val="center"/>
                    <w:textAlignment w:val="center"/>
                    <w:rPr>
                      <w:rFonts w:hint="eastAsia" w:ascii="Times New Roman" w:hAnsi="Times New Roman" w:eastAsia="宋体" w:cs="等线"/>
                      <w:i w:val="0"/>
                      <w:iCs w:val="0"/>
                      <w:color w:val="000000"/>
                      <w:kern w:val="0"/>
                      <w:sz w:val="21"/>
                      <w:szCs w:val="22"/>
                      <w:u w:val="none"/>
                      <w:lang w:val="en-US" w:eastAsia="zh-CN" w:bidi="ar"/>
                    </w:rPr>
                  </w:pPr>
                  <w:r>
                    <w:rPr>
                      <w:rFonts w:hint="eastAsia" w:ascii="Times New Roman" w:hAnsi="Times New Roman" w:eastAsia="宋体" w:cs="等线"/>
                      <w:i w:val="0"/>
                      <w:iCs w:val="0"/>
                      <w:color w:val="000000"/>
                      <w:kern w:val="0"/>
                      <w:sz w:val="21"/>
                      <w:szCs w:val="22"/>
                      <w:u w:val="none"/>
                      <w:lang w:val="en-US" w:eastAsia="zh-CN" w:bidi="ar"/>
                    </w:rPr>
                    <w:t>3.732</w:t>
                  </w:r>
                </w:p>
              </w:tc>
              <w:tc>
                <w:tcPr>
                  <w:tcW w:w="1612" w:type="pct"/>
                  <w:noWrap w:val="0"/>
                  <w:vAlign w:val="center"/>
                </w:tcPr>
                <w:p>
                  <w:pPr>
                    <w:keepNext w:val="0"/>
                    <w:keepLines w:val="0"/>
                    <w:widowControl/>
                    <w:suppressLineNumbers w:val="0"/>
                    <w:ind w:left="0" w:leftChars="0" w:right="0" w:rightChars="0" w:firstLine="0" w:firstLineChars="0"/>
                    <w:jc w:val="center"/>
                    <w:textAlignment w:val="center"/>
                    <w:rPr>
                      <w:rFonts w:hint="eastAsia" w:ascii="Times New Roman" w:hAnsi="Times New Roman" w:eastAsia="宋体" w:cs="等线"/>
                      <w:i w:val="0"/>
                      <w:iCs w:val="0"/>
                      <w:color w:val="000000"/>
                      <w:kern w:val="0"/>
                      <w:sz w:val="21"/>
                      <w:szCs w:val="22"/>
                      <w:u w:val="none"/>
                      <w:lang w:val="en-US" w:eastAsia="zh-CN" w:bidi="ar"/>
                    </w:rPr>
                  </w:pPr>
                  <w:r>
                    <w:rPr>
                      <w:rFonts w:hint="eastAsia" w:ascii="Times New Roman" w:hAnsi="Times New Roman" w:eastAsia="宋体" w:cs="等线"/>
                      <w:i w:val="0"/>
                      <w:iCs w:val="0"/>
                      <w:color w:val="000000"/>
                      <w:kern w:val="0"/>
                      <w:sz w:val="21"/>
                      <w:szCs w:val="22"/>
                      <w:u w:val="none"/>
                      <w:lang w:val="en-US" w:eastAsia="zh-CN" w:bidi="ar"/>
                    </w:rPr>
                    <w:t>0.44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4" w:type="pct"/>
                  <w:vMerge w:val="continue"/>
                  <w:noWrap w:val="0"/>
                  <w:vAlign w:val="center"/>
                </w:tcPr>
                <w:p>
                  <w:pPr>
                    <w:ind w:left="0" w:leftChars="0" w:right="0" w:rightChars="0" w:firstLine="0" w:firstLineChars="0"/>
                    <w:jc w:val="center"/>
                    <w:rPr>
                      <w:rFonts w:ascii="Times New Roman" w:hAnsi="Times New Roman" w:eastAsia="宋体" w:cs="Times New Roman"/>
                      <w:color w:val="auto"/>
                      <w:kern w:val="2"/>
                      <w:sz w:val="21"/>
                      <w:szCs w:val="21"/>
                      <w:lang w:val="en-US" w:eastAsia="zh-CN" w:bidi="ar-SA"/>
                    </w:rPr>
                  </w:pPr>
                </w:p>
              </w:tc>
              <w:tc>
                <w:tcPr>
                  <w:tcW w:w="1347" w:type="pct"/>
                  <w:noWrap w:val="0"/>
                  <w:vAlign w:val="center"/>
                </w:tcPr>
                <w:p>
                  <w:pPr>
                    <w:keepNext w:val="0"/>
                    <w:keepLines w:val="0"/>
                    <w:widowControl/>
                    <w:suppressLineNumbers w:val="0"/>
                    <w:ind w:left="0" w:leftChars="0" w:right="0" w:rightChars="0" w:firstLine="0" w:firstLineChars="0"/>
                    <w:jc w:val="center"/>
                    <w:textAlignment w:val="center"/>
                    <w:rPr>
                      <w:rStyle w:val="46"/>
                      <w:rFonts w:ascii="Times New Roman" w:hAnsi="Times New Roman" w:eastAsia="宋体"/>
                      <w:sz w:val="21"/>
                      <w:lang w:val="en-US" w:eastAsia="zh-CN" w:bidi="ar"/>
                    </w:rPr>
                  </w:pPr>
                  <w:r>
                    <w:rPr>
                      <w:rFonts w:hint="eastAsia" w:ascii="Times New Roman" w:hAnsi="Times New Roman" w:eastAsia="宋体" w:cs="等线"/>
                      <w:b/>
                      <w:bCs/>
                      <w:color w:val="000000"/>
                      <w:sz w:val="21"/>
                      <w:szCs w:val="22"/>
                      <w:u w:val="none"/>
                      <w:lang w:val="en-US" w:eastAsia="zh-CN" w:bidi="ar"/>
                    </w:rPr>
                    <w:t>小计</w:t>
                  </w:r>
                </w:p>
              </w:tc>
              <w:tc>
                <w:tcPr>
                  <w:tcW w:w="1255" w:type="pct"/>
                  <w:noWrap w:val="0"/>
                  <w:vAlign w:val="center"/>
                </w:tcPr>
                <w:p>
                  <w:pPr>
                    <w:keepNext w:val="0"/>
                    <w:keepLines w:val="0"/>
                    <w:widowControl/>
                    <w:suppressLineNumbers w:val="0"/>
                    <w:ind w:left="0" w:leftChars="0" w:right="0" w:rightChars="0" w:firstLine="0" w:firstLineChars="0"/>
                    <w:jc w:val="center"/>
                    <w:textAlignment w:val="center"/>
                    <w:rPr>
                      <w:rFonts w:hint="eastAsia" w:ascii="Times New Roman" w:hAnsi="Times New Roman" w:eastAsia="宋体" w:cs="等线"/>
                      <w:b/>
                      <w:bCs/>
                      <w:i w:val="0"/>
                      <w:iCs w:val="0"/>
                      <w:color w:val="000000"/>
                      <w:kern w:val="0"/>
                      <w:sz w:val="21"/>
                      <w:szCs w:val="22"/>
                      <w:u w:val="none"/>
                      <w:lang w:val="en-US" w:eastAsia="zh-CN" w:bidi="ar"/>
                    </w:rPr>
                  </w:pPr>
                  <w:r>
                    <w:rPr>
                      <w:rFonts w:hint="eastAsia" w:ascii="Times New Roman" w:hAnsi="Times New Roman" w:eastAsia="宋体" w:cs="等线"/>
                      <w:b/>
                      <w:bCs/>
                      <w:i w:val="0"/>
                      <w:iCs w:val="0"/>
                      <w:color w:val="000000"/>
                      <w:kern w:val="0"/>
                      <w:sz w:val="21"/>
                      <w:szCs w:val="22"/>
                      <w:u w:val="none"/>
                      <w:lang w:val="en-US" w:eastAsia="zh-CN" w:bidi="ar"/>
                    </w:rPr>
                    <w:t>35.135</w:t>
                  </w:r>
                </w:p>
              </w:tc>
              <w:tc>
                <w:tcPr>
                  <w:tcW w:w="1612" w:type="pct"/>
                  <w:noWrap w:val="0"/>
                  <w:vAlign w:val="center"/>
                </w:tcPr>
                <w:p>
                  <w:pPr>
                    <w:keepNext w:val="0"/>
                    <w:keepLines w:val="0"/>
                    <w:widowControl/>
                    <w:suppressLineNumbers w:val="0"/>
                    <w:ind w:left="0" w:leftChars="0" w:right="0" w:rightChars="0" w:firstLine="0" w:firstLineChars="0"/>
                    <w:jc w:val="center"/>
                    <w:textAlignment w:val="center"/>
                    <w:rPr>
                      <w:rFonts w:hint="eastAsia" w:ascii="Times New Roman" w:hAnsi="Times New Roman" w:eastAsia="宋体" w:cs="等线"/>
                      <w:b/>
                      <w:bCs/>
                      <w:i w:val="0"/>
                      <w:iCs w:val="0"/>
                      <w:color w:val="000000"/>
                      <w:kern w:val="0"/>
                      <w:sz w:val="21"/>
                      <w:szCs w:val="22"/>
                      <w:u w:val="none"/>
                      <w:lang w:val="en-US" w:eastAsia="zh-CN" w:bidi="ar"/>
                    </w:rPr>
                  </w:pPr>
                  <w:r>
                    <w:rPr>
                      <w:rFonts w:hint="eastAsia" w:ascii="Times New Roman" w:hAnsi="Times New Roman" w:eastAsia="宋体" w:cs="等线"/>
                      <w:b/>
                      <w:bCs/>
                      <w:i w:val="0"/>
                      <w:iCs w:val="0"/>
                      <w:color w:val="000000"/>
                      <w:kern w:val="0"/>
                      <w:sz w:val="21"/>
                      <w:szCs w:val="22"/>
                      <w:u w:val="none"/>
                      <w:lang w:val="en-US" w:eastAsia="zh-CN" w:bidi="ar"/>
                    </w:rPr>
                    <w:t>4.18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4" w:type="pct"/>
                  <w:vMerge w:val="restart"/>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其他</w:t>
                  </w:r>
                </w:p>
              </w:tc>
              <w:tc>
                <w:tcPr>
                  <w:tcW w:w="1347" w:type="pct"/>
                  <w:noWrap w:val="0"/>
                  <w:vAlign w:val="center"/>
                </w:tcPr>
                <w:p>
                  <w:pPr>
                    <w:keepNext w:val="0"/>
                    <w:keepLines w:val="0"/>
                    <w:widowControl/>
                    <w:suppressLineNumbers w:val="0"/>
                    <w:ind w:left="0" w:leftChars="0" w:right="0" w:rightChars="0" w:firstLine="0" w:firstLineChars="0"/>
                    <w:jc w:val="center"/>
                    <w:textAlignment w:val="center"/>
                    <w:rPr>
                      <w:rFonts w:ascii="Times New Roman" w:hAnsi="Times New Roman" w:eastAsia="宋体" w:cs="Times New Roman"/>
                      <w:color w:val="auto"/>
                      <w:kern w:val="2"/>
                      <w:sz w:val="21"/>
                      <w:szCs w:val="21"/>
                      <w:lang w:val="en-US" w:eastAsia="zh-CN" w:bidi="ar-SA"/>
                    </w:rPr>
                  </w:pPr>
                  <w:r>
                    <w:rPr>
                      <w:rStyle w:val="46"/>
                      <w:rFonts w:ascii="Times New Roman" w:hAnsi="Times New Roman" w:eastAsia="宋体"/>
                      <w:sz w:val="21"/>
                      <w:lang w:val="en-US" w:eastAsia="zh-CN" w:bidi="ar"/>
                    </w:rPr>
                    <w:t>建设用地</w:t>
                  </w:r>
                </w:p>
              </w:tc>
              <w:tc>
                <w:tcPr>
                  <w:tcW w:w="1255" w:type="pct"/>
                  <w:noWrap w:val="0"/>
                  <w:vAlign w:val="center"/>
                </w:tcPr>
                <w:p>
                  <w:pPr>
                    <w:keepNext w:val="0"/>
                    <w:keepLines w:val="0"/>
                    <w:widowControl/>
                    <w:suppressLineNumbers w:val="0"/>
                    <w:ind w:left="0" w:leftChars="0" w:right="0" w:rightChars="0" w:firstLine="0" w:firstLineChars="0"/>
                    <w:jc w:val="center"/>
                    <w:textAlignment w:val="center"/>
                    <w:rPr>
                      <w:rFonts w:hint="eastAsia" w:ascii="Times New Roman" w:hAnsi="Times New Roman" w:eastAsia="宋体" w:cs="等线"/>
                      <w:i w:val="0"/>
                      <w:iCs w:val="0"/>
                      <w:color w:val="000000"/>
                      <w:kern w:val="0"/>
                      <w:sz w:val="21"/>
                      <w:szCs w:val="22"/>
                      <w:u w:val="none"/>
                      <w:lang w:val="en-US" w:eastAsia="zh-CN" w:bidi="ar"/>
                    </w:rPr>
                  </w:pPr>
                  <w:r>
                    <w:rPr>
                      <w:rFonts w:hint="eastAsia" w:ascii="Times New Roman" w:hAnsi="Times New Roman" w:eastAsia="宋体" w:cs="等线"/>
                      <w:i w:val="0"/>
                      <w:iCs w:val="0"/>
                      <w:color w:val="000000"/>
                      <w:kern w:val="0"/>
                      <w:sz w:val="21"/>
                      <w:szCs w:val="22"/>
                      <w:u w:val="none"/>
                      <w:lang w:val="en-US" w:eastAsia="zh-CN" w:bidi="ar"/>
                    </w:rPr>
                    <w:t>40.732</w:t>
                  </w:r>
                </w:p>
              </w:tc>
              <w:tc>
                <w:tcPr>
                  <w:tcW w:w="1612" w:type="pct"/>
                  <w:noWrap w:val="0"/>
                  <w:vAlign w:val="center"/>
                </w:tcPr>
                <w:p>
                  <w:pPr>
                    <w:keepNext w:val="0"/>
                    <w:keepLines w:val="0"/>
                    <w:widowControl/>
                    <w:suppressLineNumbers w:val="0"/>
                    <w:ind w:left="0" w:leftChars="0" w:right="0" w:rightChars="0" w:firstLine="0" w:firstLineChars="0"/>
                    <w:jc w:val="center"/>
                    <w:textAlignment w:val="center"/>
                    <w:rPr>
                      <w:rFonts w:hint="eastAsia" w:ascii="Times New Roman" w:hAnsi="Times New Roman" w:eastAsia="宋体" w:cs="等线"/>
                      <w:i w:val="0"/>
                      <w:iCs w:val="0"/>
                      <w:color w:val="000000"/>
                      <w:kern w:val="0"/>
                      <w:sz w:val="21"/>
                      <w:szCs w:val="22"/>
                      <w:u w:val="none"/>
                      <w:lang w:val="en-US" w:eastAsia="zh-CN" w:bidi="ar"/>
                    </w:rPr>
                  </w:pPr>
                  <w:r>
                    <w:rPr>
                      <w:rFonts w:hint="eastAsia" w:ascii="Times New Roman" w:hAnsi="Times New Roman" w:eastAsia="宋体" w:cs="等线"/>
                      <w:i w:val="0"/>
                      <w:iCs w:val="0"/>
                      <w:color w:val="000000"/>
                      <w:kern w:val="0"/>
                      <w:sz w:val="21"/>
                      <w:szCs w:val="22"/>
                      <w:u w:val="none"/>
                      <w:lang w:val="en-US" w:eastAsia="zh-CN" w:bidi="ar"/>
                    </w:rPr>
                    <w:t>4.85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4" w:type="pct"/>
                  <w:vMerge w:val="continue"/>
                  <w:noWrap w:val="0"/>
                  <w:vAlign w:val="center"/>
                </w:tcPr>
                <w:p>
                  <w:pPr>
                    <w:ind w:left="0" w:leftChars="0" w:right="0" w:rightChars="0" w:firstLine="0" w:firstLineChars="0"/>
                    <w:jc w:val="center"/>
                    <w:rPr>
                      <w:rFonts w:ascii="Times New Roman" w:hAnsi="Times New Roman" w:eastAsia="宋体" w:cs="Times New Roman"/>
                      <w:color w:val="auto"/>
                      <w:kern w:val="2"/>
                      <w:sz w:val="21"/>
                      <w:szCs w:val="21"/>
                      <w:lang w:val="en-US" w:eastAsia="zh-CN" w:bidi="ar-SA"/>
                    </w:rPr>
                  </w:pPr>
                </w:p>
              </w:tc>
              <w:tc>
                <w:tcPr>
                  <w:tcW w:w="1347" w:type="pct"/>
                  <w:noWrap w:val="0"/>
                  <w:vAlign w:val="center"/>
                </w:tcPr>
                <w:p>
                  <w:pPr>
                    <w:keepNext w:val="0"/>
                    <w:keepLines w:val="0"/>
                    <w:widowControl/>
                    <w:suppressLineNumbers w:val="0"/>
                    <w:ind w:left="0" w:leftChars="0" w:right="0" w:rightChars="0" w:firstLine="0" w:firstLineChars="0"/>
                    <w:jc w:val="center"/>
                    <w:textAlignment w:val="center"/>
                    <w:rPr>
                      <w:rFonts w:ascii="Times New Roman" w:hAnsi="Times New Roman" w:eastAsia="宋体" w:cs="Times New Roman"/>
                      <w:color w:val="auto"/>
                      <w:kern w:val="2"/>
                      <w:sz w:val="21"/>
                      <w:szCs w:val="21"/>
                      <w:lang w:val="en-US" w:eastAsia="zh-CN" w:bidi="ar-SA"/>
                    </w:rPr>
                  </w:pPr>
                  <w:r>
                    <w:rPr>
                      <w:rStyle w:val="46"/>
                      <w:rFonts w:ascii="Times New Roman" w:hAnsi="Times New Roman" w:eastAsia="宋体"/>
                      <w:sz w:val="21"/>
                      <w:lang w:val="en-US" w:eastAsia="zh-CN" w:bidi="ar"/>
                    </w:rPr>
                    <w:t>水域及水利设施用地</w:t>
                  </w:r>
                </w:p>
              </w:tc>
              <w:tc>
                <w:tcPr>
                  <w:tcW w:w="1255" w:type="pct"/>
                  <w:noWrap w:val="0"/>
                  <w:vAlign w:val="center"/>
                </w:tcPr>
                <w:p>
                  <w:pPr>
                    <w:keepNext w:val="0"/>
                    <w:keepLines w:val="0"/>
                    <w:widowControl/>
                    <w:suppressLineNumbers w:val="0"/>
                    <w:ind w:left="0" w:leftChars="0" w:right="0" w:rightChars="0" w:firstLine="0" w:firstLineChars="0"/>
                    <w:jc w:val="center"/>
                    <w:textAlignment w:val="center"/>
                    <w:rPr>
                      <w:rFonts w:hint="eastAsia" w:ascii="Times New Roman" w:hAnsi="Times New Roman" w:eastAsia="宋体" w:cs="等线"/>
                      <w:i w:val="0"/>
                      <w:iCs w:val="0"/>
                      <w:color w:val="000000"/>
                      <w:kern w:val="0"/>
                      <w:sz w:val="21"/>
                      <w:szCs w:val="22"/>
                      <w:u w:val="none"/>
                      <w:lang w:val="en-US" w:eastAsia="zh-CN" w:bidi="ar"/>
                    </w:rPr>
                  </w:pPr>
                  <w:r>
                    <w:rPr>
                      <w:rFonts w:hint="eastAsia" w:ascii="Times New Roman" w:hAnsi="Times New Roman" w:eastAsia="宋体" w:cs="等线"/>
                      <w:i w:val="0"/>
                      <w:iCs w:val="0"/>
                      <w:color w:val="000000"/>
                      <w:kern w:val="0"/>
                      <w:sz w:val="21"/>
                      <w:szCs w:val="22"/>
                      <w:u w:val="none"/>
                      <w:lang w:val="en-US" w:eastAsia="zh-CN" w:bidi="ar"/>
                    </w:rPr>
                    <w:t>0.839</w:t>
                  </w:r>
                </w:p>
              </w:tc>
              <w:tc>
                <w:tcPr>
                  <w:tcW w:w="1612" w:type="pct"/>
                  <w:noWrap w:val="0"/>
                  <w:vAlign w:val="center"/>
                </w:tcPr>
                <w:p>
                  <w:pPr>
                    <w:keepNext w:val="0"/>
                    <w:keepLines w:val="0"/>
                    <w:widowControl/>
                    <w:suppressLineNumbers w:val="0"/>
                    <w:ind w:left="0" w:leftChars="0" w:right="0" w:rightChars="0" w:firstLine="0" w:firstLineChars="0"/>
                    <w:jc w:val="center"/>
                    <w:textAlignment w:val="center"/>
                    <w:rPr>
                      <w:rFonts w:hint="eastAsia" w:ascii="Times New Roman" w:hAnsi="Times New Roman" w:eastAsia="宋体" w:cs="等线"/>
                      <w:i w:val="0"/>
                      <w:iCs w:val="0"/>
                      <w:color w:val="000000"/>
                      <w:kern w:val="0"/>
                      <w:sz w:val="21"/>
                      <w:szCs w:val="22"/>
                      <w:u w:val="none"/>
                      <w:lang w:val="en-US" w:eastAsia="zh-CN" w:bidi="ar"/>
                    </w:rPr>
                  </w:pPr>
                  <w:r>
                    <w:rPr>
                      <w:rFonts w:hint="eastAsia" w:ascii="Times New Roman" w:hAnsi="Times New Roman" w:eastAsia="宋体" w:cs="等线"/>
                      <w:i w:val="0"/>
                      <w:iCs w:val="0"/>
                      <w:color w:val="000000"/>
                      <w:kern w:val="0"/>
                      <w:sz w:val="21"/>
                      <w:szCs w:val="22"/>
                      <w:u w:val="none"/>
                      <w:lang w:val="en-US" w:eastAsia="zh-CN" w:bidi="ar"/>
                    </w:rPr>
                    <w:t>0.10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132" w:type="pct"/>
                  <w:gridSpan w:val="2"/>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总计</w:t>
                  </w:r>
                </w:p>
              </w:tc>
              <w:tc>
                <w:tcPr>
                  <w:tcW w:w="1255" w:type="pct"/>
                  <w:noWrap w:val="0"/>
                  <w:vAlign w:val="center"/>
                </w:tcPr>
                <w:p>
                  <w:pPr>
                    <w:keepNext w:val="0"/>
                    <w:keepLines w:val="0"/>
                    <w:widowControl/>
                    <w:suppressLineNumbers w:val="0"/>
                    <w:ind w:left="0" w:leftChars="0" w:right="0" w:rightChars="0" w:firstLine="0" w:firstLineChars="0"/>
                    <w:jc w:val="center"/>
                    <w:textAlignment w:val="center"/>
                    <w:rPr>
                      <w:rFonts w:hint="eastAsia" w:ascii="Times New Roman" w:hAnsi="Times New Roman" w:eastAsia="宋体" w:cs="等线"/>
                      <w:b/>
                      <w:bCs/>
                      <w:i w:val="0"/>
                      <w:iCs w:val="0"/>
                      <w:color w:val="000000"/>
                      <w:kern w:val="0"/>
                      <w:sz w:val="21"/>
                      <w:szCs w:val="22"/>
                      <w:u w:val="none"/>
                      <w:lang w:val="en-US" w:eastAsia="zh-CN" w:bidi="ar"/>
                    </w:rPr>
                  </w:pPr>
                  <w:r>
                    <w:rPr>
                      <w:rFonts w:hint="eastAsia" w:ascii="Times New Roman" w:hAnsi="Times New Roman" w:eastAsia="宋体" w:cs="等线"/>
                      <w:b/>
                      <w:bCs/>
                      <w:i w:val="0"/>
                      <w:iCs w:val="0"/>
                      <w:color w:val="000000"/>
                      <w:kern w:val="0"/>
                      <w:sz w:val="21"/>
                      <w:szCs w:val="22"/>
                      <w:u w:val="none"/>
                      <w:lang w:val="en-US" w:eastAsia="zh-CN" w:bidi="ar"/>
                    </w:rPr>
                    <w:t>839.993</w:t>
                  </w:r>
                </w:p>
              </w:tc>
              <w:tc>
                <w:tcPr>
                  <w:tcW w:w="1612" w:type="pct"/>
                  <w:noWrap w:val="0"/>
                  <w:vAlign w:val="center"/>
                </w:tcPr>
                <w:p>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等线"/>
                      <w:b/>
                      <w:bCs/>
                      <w:i w:val="0"/>
                      <w:iCs w:val="0"/>
                      <w:color w:val="000000"/>
                      <w:kern w:val="0"/>
                      <w:sz w:val="21"/>
                      <w:szCs w:val="22"/>
                      <w:u w:val="none"/>
                      <w:lang w:val="en-US" w:eastAsia="zh-CN" w:bidi="ar"/>
                    </w:rPr>
                  </w:pPr>
                  <w:r>
                    <w:rPr>
                      <w:rFonts w:hint="eastAsia" w:ascii="Times New Roman" w:hAnsi="Times New Roman" w:eastAsia="宋体" w:cs="等线"/>
                      <w:b/>
                      <w:bCs/>
                      <w:i w:val="0"/>
                      <w:iCs w:val="0"/>
                      <w:color w:val="000000"/>
                      <w:kern w:val="0"/>
                      <w:sz w:val="21"/>
                      <w:szCs w:val="22"/>
                      <w:u w:val="none"/>
                      <w:lang w:val="en-US" w:eastAsia="zh-CN" w:bidi="ar"/>
                    </w:rPr>
                    <w:t>100</w:t>
                  </w:r>
                </w:p>
              </w:tc>
            </w:tr>
          </w:tbl>
          <w:p>
            <w:pPr>
              <w:spacing w:line="360" w:lineRule="auto"/>
              <w:ind w:firstLine="480" w:firstLineChars="200"/>
              <w:rPr>
                <w:rFonts w:hint="eastAsia" w:ascii="Times New Roman" w:hAnsi="Times New Roman" w:eastAsia="宋体" w:cs="Times New Roman"/>
                <w:b/>
                <w:color w:val="auto"/>
              </w:rPr>
            </w:pPr>
            <w:r>
              <w:rPr>
                <w:rFonts w:hint="eastAsia" w:ascii="Times New Roman" w:hAnsi="Times New Roman" w:eastAsia="宋体" w:cs="Times New Roman"/>
                <w:color w:val="auto"/>
                <w:sz w:val="24"/>
              </w:rPr>
              <w:t>从上表可以看出，评价区总面积</w:t>
            </w:r>
            <w:r>
              <w:rPr>
                <w:rFonts w:hint="eastAsia" w:cs="Times New Roman"/>
                <w:color w:val="auto"/>
                <w:sz w:val="24"/>
                <w:lang w:val="en-US" w:eastAsia="zh-CN"/>
              </w:rPr>
              <w:t>839.99</w:t>
            </w:r>
            <w:r>
              <w:rPr>
                <w:rFonts w:hint="eastAsia" w:ascii="Times New Roman" w:hAnsi="Times New Roman" w:eastAsia="宋体" w:cs="Times New Roman"/>
                <w:color w:val="auto"/>
                <w:sz w:val="24"/>
              </w:rPr>
              <w:t>hm</w:t>
            </w:r>
            <w:r>
              <w:rPr>
                <w:rFonts w:hint="eastAsia" w:ascii="Times New Roman" w:hAnsi="Times New Roman" w:eastAsia="宋体" w:cs="Times New Roman"/>
                <w:color w:val="auto"/>
                <w:sz w:val="24"/>
                <w:vertAlign w:val="superscript"/>
              </w:rPr>
              <w:t>2</w:t>
            </w:r>
            <w:r>
              <w:rPr>
                <w:rFonts w:hint="eastAsia" w:ascii="Times New Roman" w:hAnsi="Times New Roman" w:eastAsia="宋体" w:cs="Times New Roman"/>
                <w:color w:val="auto"/>
                <w:sz w:val="24"/>
              </w:rPr>
              <w:t>。区域地属热区，耕作强度较高，人为活动频繁，区内人工植被面积共</w:t>
            </w:r>
            <w:r>
              <w:rPr>
                <w:rFonts w:hint="eastAsia" w:cs="Times New Roman"/>
                <w:color w:val="auto"/>
                <w:sz w:val="24"/>
                <w:lang w:val="en-US" w:eastAsia="zh-CN"/>
              </w:rPr>
              <w:t>35.135</w:t>
            </w:r>
            <w:r>
              <w:rPr>
                <w:rFonts w:hint="eastAsia" w:ascii="Times New Roman" w:hAnsi="Times New Roman" w:eastAsia="宋体" w:cs="Times New Roman"/>
                <w:color w:val="auto"/>
                <w:sz w:val="24"/>
              </w:rPr>
              <w:t>hm</w:t>
            </w:r>
            <w:r>
              <w:rPr>
                <w:rFonts w:hint="eastAsia" w:ascii="Times New Roman" w:hAnsi="Times New Roman" w:eastAsia="宋体" w:cs="Times New Roman"/>
                <w:color w:val="auto"/>
                <w:sz w:val="24"/>
                <w:vertAlign w:val="superscript"/>
              </w:rPr>
              <w:t>2</w:t>
            </w:r>
            <w:r>
              <w:rPr>
                <w:rFonts w:hint="eastAsia" w:ascii="Times New Roman" w:hAnsi="Times New Roman" w:eastAsia="宋体" w:cs="Times New Roman"/>
                <w:color w:val="auto"/>
                <w:sz w:val="24"/>
              </w:rPr>
              <w:t>，达评价区总面积</w:t>
            </w:r>
            <w:r>
              <w:rPr>
                <w:rFonts w:ascii="Times New Roman" w:hAnsi="Times New Roman" w:eastAsia="宋体" w:cs="Times New Roman"/>
                <w:color w:val="auto"/>
                <w:sz w:val="24"/>
              </w:rPr>
              <w:t>的</w:t>
            </w:r>
            <w:r>
              <w:rPr>
                <w:rFonts w:hint="eastAsia" w:cs="Times New Roman"/>
                <w:color w:val="auto"/>
                <w:sz w:val="24"/>
                <w:lang w:val="en-US" w:eastAsia="zh-CN"/>
              </w:rPr>
              <w:t>4.18</w:t>
            </w:r>
            <w:r>
              <w:rPr>
                <w:rFonts w:hint="eastAsia" w:ascii="Times New Roman" w:hAnsi="Times New Roman" w:eastAsia="宋体" w:cs="Times New Roman"/>
                <w:color w:val="auto"/>
                <w:sz w:val="24"/>
              </w:rPr>
              <w:t>%；自然植被面积</w:t>
            </w:r>
            <w:r>
              <w:rPr>
                <w:rFonts w:hint="eastAsia" w:cs="Times New Roman"/>
                <w:color w:val="auto"/>
                <w:sz w:val="24"/>
                <w:lang w:val="en-US" w:eastAsia="zh-CN"/>
              </w:rPr>
              <w:t>763.286</w:t>
            </w:r>
            <w:r>
              <w:rPr>
                <w:rFonts w:hint="eastAsia" w:ascii="Times New Roman" w:hAnsi="Times New Roman" w:eastAsia="宋体" w:cs="Times New Roman"/>
                <w:color w:val="auto"/>
                <w:sz w:val="24"/>
              </w:rPr>
              <w:t>hm</w:t>
            </w:r>
            <w:r>
              <w:rPr>
                <w:rFonts w:hint="eastAsia" w:ascii="Times New Roman" w:hAnsi="Times New Roman" w:eastAsia="宋体" w:cs="Times New Roman"/>
                <w:color w:val="auto"/>
                <w:sz w:val="24"/>
                <w:vertAlign w:val="superscript"/>
              </w:rPr>
              <w:t>2</w:t>
            </w:r>
            <w:r>
              <w:rPr>
                <w:rFonts w:hint="eastAsia" w:ascii="Times New Roman" w:hAnsi="Times New Roman" w:eastAsia="宋体" w:cs="Times New Roman"/>
                <w:color w:val="auto"/>
                <w:sz w:val="24"/>
              </w:rPr>
              <w:t>，占评价区总面积的</w:t>
            </w:r>
            <w:r>
              <w:rPr>
                <w:rFonts w:hint="eastAsia" w:cs="Times New Roman"/>
                <w:color w:val="auto"/>
                <w:sz w:val="24"/>
                <w:lang w:val="en-US" w:eastAsia="zh-CN"/>
              </w:rPr>
              <w:t>90.86</w:t>
            </w:r>
            <w:r>
              <w:rPr>
                <w:rFonts w:hint="eastAsia" w:ascii="Times New Roman" w:hAnsi="Times New Roman" w:eastAsia="宋体" w:cs="Times New Roman"/>
                <w:color w:val="auto"/>
                <w:sz w:val="24"/>
              </w:rPr>
              <w:t>%，但其中绝大部分属于人为扰动后形成的次生性的灌丛和草丛植被。</w:t>
            </w:r>
          </w:p>
          <w:p>
            <w:pPr>
              <w:spacing w:line="360" w:lineRule="auto"/>
              <w:rPr>
                <w:rFonts w:ascii="宋体" w:hAnsi="宋体" w:eastAsia="宋体" w:cs="Times New Roman"/>
                <w:b/>
                <w:color w:val="auto"/>
                <w:sz w:val="24"/>
              </w:rPr>
            </w:pPr>
            <w:r>
              <w:rPr>
                <w:rFonts w:hint="eastAsia" w:ascii="宋体" w:hAnsi="宋体" w:eastAsia="宋体" w:cs="Times New Roman"/>
                <w:b/>
                <w:color w:val="auto"/>
                <w:sz w:val="24"/>
              </w:rPr>
              <w:t>（5）</w:t>
            </w:r>
            <w:r>
              <w:rPr>
                <w:rFonts w:hint="eastAsia" w:ascii="宋体" w:hAnsi="宋体" w:eastAsia="宋体" w:cs="Times New Roman"/>
                <w:b/>
                <w:bCs/>
                <w:color w:val="auto"/>
                <w:sz w:val="24"/>
              </w:rPr>
              <w:t>评价区植物资源及保护物种现状</w:t>
            </w:r>
          </w:p>
          <w:p>
            <w:pPr>
              <w:spacing w:line="360" w:lineRule="auto"/>
              <w:ind w:firstLine="472" w:firstLineChars="196"/>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1）</w:t>
            </w:r>
            <w:r>
              <w:rPr>
                <w:rFonts w:ascii="Times New Roman" w:hAnsi="Times New Roman" w:eastAsia="宋体" w:cs="Times New Roman"/>
                <w:b/>
                <w:bCs/>
                <w:color w:val="auto"/>
                <w:sz w:val="24"/>
              </w:rPr>
              <w:t>植被资源现状</w:t>
            </w:r>
          </w:p>
          <w:p>
            <w:pPr>
              <w:spacing w:line="360" w:lineRule="auto"/>
              <w:ind w:firstLine="480"/>
              <w:rPr>
                <w:rFonts w:ascii="宋体" w:hAnsi="宋体" w:eastAsia="宋体" w:cs="Times New Roman"/>
                <w:color w:val="auto"/>
                <w:sz w:val="24"/>
                <w:lang w:val="zh-CN"/>
              </w:rPr>
            </w:pPr>
            <w:r>
              <w:rPr>
                <w:rFonts w:ascii="宋体" w:hAnsi="宋体" w:eastAsia="宋体" w:cs="Times New Roman"/>
                <w:color w:val="auto"/>
                <w:sz w:val="24"/>
                <w:lang w:val="zh-CN"/>
              </w:rPr>
              <w:t>评价区</w:t>
            </w:r>
            <w:r>
              <w:rPr>
                <w:rStyle w:val="22"/>
                <w:rFonts w:hint="eastAsia" w:ascii="宋体" w:hAnsi="宋体" w:eastAsia="宋体" w:cs="Arial"/>
                <w:color w:val="auto"/>
                <w:sz w:val="24"/>
              </w:rPr>
              <w:t>地处</w:t>
            </w:r>
            <w:r>
              <w:rPr>
                <w:rFonts w:hint="eastAsia" w:ascii="宋体" w:hAnsi="宋体" w:eastAsia="宋体" w:cs="Times New Roman"/>
                <w:color w:val="auto"/>
                <w:sz w:val="24"/>
                <w:lang w:val="zh-CN"/>
              </w:rPr>
              <w:t>滇中北部</w:t>
            </w:r>
            <w:r>
              <w:rPr>
                <w:rFonts w:ascii="宋体" w:hAnsi="宋体" w:eastAsia="宋体" w:cs="Times New Roman"/>
                <w:color w:val="auto"/>
                <w:sz w:val="24"/>
              </w:rPr>
              <w:t>内陆高原区</w:t>
            </w:r>
            <w:r>
              <w:rPr>
                <w:rFonts w:hint="eastAsia" w:ascii="宋体" w:hAnsi="宋体" w:eastAsia="宋体" w:cs="Arial"/>
                <w:color w:val="auto"/>
                <w:sz w:val="24"/>
              </w:rPr>
              <w:t>和</w:t>
            </w:r>
            <w:r>
              <w:rPr>
                <w:rFonts w:ascii="宋体" w:hAnsi="宋体" w:eastAsia="宋体" w:cs="Arial"/>
                <w:color w:val="auto"/>
                <w:sz w:val="24"/>
              </w:rPr>
              <w:t>北</w:t>
            </w:r>
            <w:r>
              <w:rPr>
                <w:rStyle w:val="22"/>
                <w:rFonts w:ascii="宋体" w:hAnsi="宋体" w:eastAsia="宋体" w:cs="Arial"/>
                <w:color w:val="auto"/>
                <w:sz w:val="24"/>
              </w:rPr>
              <w:t>亚热带</w:t>
            </w:r>
            <w:r>
              <w:rPr>
                <w:rFonts w:ascii="宋体" w:hAnsi="宋体" w:eastAsia="宋体" w:cs="Arial"/>
                <w:color w:val="auto"/>
                <w:sz w:val="24"/>
              </w:rPr>
              <w:t>丘陵季风气候区</w:t>
            </w:r>
            <w:r>
              <w:rPr>
                <w:rFonts w:hint="eastAsia" w:ascii="宋体" w:hAnsi="宋体" w:eastAsia="宋体" w:cs="Arial"/>
                <w:color w:val="auto"/>
                <w:sz w:val="24"/>
              </w:rPr>
              <w:t>，</w:t>
            </w:r>
            <w:r>
              <w:rPr>
                <w:rFonts w:ascii="宋体" w:hAnsi="宋体" w:eastAsia="宋体" w:cs="Times New Roman"/>
                <w:color w:val="auto"/>
                <w:sz w:val="24"/>
                <w:lang w:val="zh-CN"/>
              </w:rPr>
              <w:t>位于金沙江流域，根据云南植被区划，评价区</w:t>
            </w:r>
            <w:r>
              <w:rPr>
                <w:rFonts w:hint="eastAsia" w:ascii="宋体" w:hAnsi="宋体" w:eastAsia="宋体" w:cs="Times New Roman"/>
                <w:color w:val="auto"/>
                <w:sz w:val="24"/>
                <w:lang w:val="zh-CN"/>
              </w:rPr>
              <w:t>属于亚热带常绿阔叶林区域(</w:t>
            </w:r>
            <w:r>
              <w:rPr>
                <w:rFonts w:hint="eastAsia" w:ascii="宋体" w:hAnsi="宋体" w:eastAsia="宋体" w:cs="宋体"/>
                <w:color w:val="auto"/>
                <w:sz w:val="24"/>
                <w:lang w:val="zh-CN"/>
              </w:rPr>
              <w:t>Ⅱ</w:t>
            </w:r>
            <w:r>
              <w:rPr>
                <w:rFonts w:hint="eastAsia" w:ascii="宋体" w:hAnsi="宋体" w:eastAsia="宋体" w:cs="Times New Roman"/>
                <w:color w:val="auto"/>
                <w:sz w:val="24"/>
                <w:lang w:val="zh-CN"/>
              </w:rPr>
              <w:t>)，西部（半湿润）常绿阔叶林亚区域(</w:t>
            </w:r>
            <w:r>
              <w:rPr>
                <w:rFonts w:hint="eastAsia" w:ascii="宋体" w:hAnsi="宋体" w:eastAsia="宋体" w:cs="宋体"/>
                <w:color w:val="auto"/>
                <w:sz w:val="24"/>
                <w:lang w:val="zh-CN"/>
              </w:rPr>
              <w:t>Ⅱ</w:t>
            </w:r>
            <w:r>
              <w:rPr>
                <w:rFonts w:ascii="宋体" w:hAnsi="宋体" w:eastAsia="宋体" w:cs="Times New Roman"/>
                <w:color w:val="auto"/>
                <w:sz w:val="24"/>
                <w:lang w:val="zh-CN"/>
              </w:rPr>
              <w:t>A</w:t>
            </w:r>
            <w:r>
              <w:rPr>
                <w:rFonts w:hint="eastAsia" w:ascii="宋体" w:hAnsi="宋体" w:eastAsia="宋体" w:cs="Times New Roman"/>
                <w:color w:val="auto"/>
                <w:sz w:val="24"/>
                <w:lang w:val="zh-CN"/>
              </w:rPr>
              <w:t>)，高原亚热带北部常绿阔叶林地带(</w:t>
            </w:r>
            <w:r>
              <w:rPr>
                <w:rFonts w:hint="eastAsia" w:ascii="宋体" w:hAnsi="宋体" w:eastAsia="宋体" w:cs="宋体"/>
                <w:color w:val="auto"/>
                <w:sz w:val="24"/>
                <w:lang w:val="zh-CN"/>
              </w:rPr>
              <w:t>Ⅱ</w:t>
            </w:r>
            <w:r>
              <w:rPr>
                <w:rFonts w:ascii="宋体" w:hAnsi="宋体" w:eastAsia="宋体" w:cs="Times New Roman"/>
                <w:color w:val="auto"/>
                <w:sz w:val="24"/>
                <w:lang w:val="zh-CN"/>
              </w:rPr>
              <w:t>Aii</w:t>
            </w:r>
            <w:r>
              <w:rPr>
                <w:rFonts w:hint="eastAsia" w:ascii="宋体" w:hAnsi="宋体" w:eastAsia="宋体" w:cs="Times New Roman"/>
                <w:color w:val="auto"/>
                <w:sz w:val="24"/>
                <w:lang w:val="zh-CN"/>
              </w:rPr>
              <w:t>)，滇中、北中山峡谷云南松林、高山栎类林亚区(</w:t>
            </w:r>
            <w:r>
              <w:rPr>
                <w:rFonts w:hint="eastAsia" w:ascii="宋体" w:hAnsi="宋体" w:eastAsia="宋体" w:cs="宋体"/>
                <w:color w:val="auto"/>
                <w:sz w:val="24"/>
                <w:lang w:val="zh-CN"/>
              </w:rPr>
              <w:t>Ⅱ</w:t>
            </w:r>
            <w:r>
              <w:rPr>
                <w:rFonts w:ascii="宋体" w:hAnsi="宋体" w:eastAsia="宋体" w:cs="Times New Roman"/>
                <w:color w:val="auto"/>
                <w:sz w:val="24"/>
                <w:lang w:val="zh-CN"/>
              </w:rPr>
              <w:t>Aii-1</w:t>
            </w:r>
            <w:r>
              <w:rPr>
                <w:rFonts w:hint="eastAsia" w:ascii="宋体" w:hAnsi="宋体" w:eastAsia="宋体" w:cs="Times New Roman"/>
                <w:color w:val="auto"/>
                <w:sz w:val="24"/>
                <w:lang w:val="zh-CN"/>
              </w:rPr>
              <w:t>b)。</w:t>
            </w:r>
            <w:r>
              <w:rPr>
                <w:rFonts w:ascii="宋体" w:hAnsi="宋体" w:eastAsia="宋体" w:cs="Times New Roman"/>
                <w:color w:val="auto"/>
                <w:sz w:val="24"/>
                <w:lang w:val="zh-CN"/>
              </w:rPr>
              <w:t>在农业区划上，本区域属于</w:t>
            </w:r>
            <w:r>
              <w:rPr>
                <w:rFonts w:hint="eastAsia" w:ascii="宋体" w:hAnsi="宋体" w:eastAsia="宋体" w:cs="Times New Roman"/>
                <w:color w:val="auto"/>
                <w:sz w:val="24"/>
                <w:lang w:val="zh-CN"/>
              </w:rPr>
              <w:t>金沙江干热河谷经作区</w:t>
            </w:r>
            <w:r>
              <w:rPr>
                <w:rFonts w:ascii="宋体" w:hAnsi="宋体" w:eastAsia="宋体" w:cs="Times New Roman"/>
                <w:color w:val="auto"/>
                <w:sz w:val="24"/>
                <w:lang w:val="zh-CN"/>
              </w:rPr>
              <w:t>。在植物区系上，该地区位于东亚植物区、中国-喜玛拉雅植物亚区。</w:t>
            </w:r>
          </w:p>
          <w:p>
            <w:pPr>
              <w:spacing w:line="360" w:lineRule="auto"/>
              <w:ind w:firstLine="480"/>
              <w:rPr>
                <w:rFonts w:ascii="宋体" w:hAnsi="宋体" w:eastAsia="宋体" w:cs="Times New Roman"/>
                <w:color w:val="auto"/>
                <w:sz w:val="24"/>
                <w:lang w:val="zh-CN"/>
              </w:rPr>
            </w:pPr>
            <w:r>
              <w:rPr>
                <w:rFonts w:ascii="宋体" w:hAnsi="宋体" w:eastAsia="宋体" w:cs="Times New Roman"/>
                <w:color w:val="auto"/>
                <w:sz w:val="24"/>
                <w:lang w:val="zh-CN"/>
              </w:rPr>
              <w:t>评价区内人口稀少，除缓坡或阶地被开垦为耕地外，大多数地区均呈现金沙江流域典型的干</w:t>
            </w:r>
            <w:r>
              <w:rPr>
                <w:rFonts w:hint="eastAsia" w:ascii="宋体" w:hAnsi="宋体" w:eastAsia="宋体" w:cs="Times New Roman"/>
                <w:color w:val="auto"/>
                <w:sz w:val="24"/>
                <w:lang w:val="zh-CN"/>
              </w:rPr>
              <w:t>热</w:t>
            </w:r>
            <w:r>
              <w:rPr>
                <w:rFonts w:ascii="宋体" w:hAnsi="宋体" w:eastAsia="宋体" w:cs="Times New Roman"/>
                <w:color w:val="auto"/>
                <w:sz w:val="24"/>
                <w:lang w:val="zh-CN"/>
              </w:rPr>
              <w:t>河谷植被景观，森林覆盖率极低。</w:t>
            </w:r>
          </w:p>
          <w:p>
            <w:pPr>
              <w:spacing w:line="360" w:lineRule="auto"/>
              <w:ind w:firstLine="480"/>
              <w:rPr>
                <w:rFonts w:ascii="宋体" w:hAnsi="宋体" w:eastAsia="宋体" w:cs="Times New Roman"/>
                <w:color w:val="auto"/>
                <w:sz w:val="24"/>
                <w:lang w:val="zh-CN"/>
              </w:rPr>
            </w:pPr>
            <w:r>
              <w:rPr>
                <w:rFonts w:ascii="宋体" w:hAnsi="宋体" w:eastAsia="宋体" w:cs="Times New Roman"/>
                <w:color w:val="auto"/>
                <w:sz w:val="24"/>
                <w:lang w:val="zh-CN"/>
              </w:rPr>
              <w:t>本项目评价区的海拔范围在</w:t>
            </w:r>
            <w:r>
              <w:rPr>
                <w:rFonts w:hint="eastAsia" w:ascii="宋体" w:hAnsi="宋体" w:eastAsia="宋体" w:cs="Times New Roman"/>
                <w:color w:val="auto"/>
                <w:sz w:val="24"/>
                <w:lang w:val="zh-CN"/>
              </w:rPr>
              <w:t>1</w:t>
            </w:r>
            <w:r>
              <w:rPr>
                <w:rFonts w:hint="eastAsia" w:ascii="宋体" w:hAnsi="宋体" w:eastAsia="宋体" w:cs="Times New Roman"/>
                <w:color w:val="auto"/>
                <w:sz w:val="24"/>
              </w:rPr>
              <w:t>0</w:t>
            </w:r>
            <w:r>
              <w:rPr>
                <w:rFonts w:hint="eastAsia" w:ascii="宋体" w:hAnsi="宋体" w:eastAsia="宋体" w:cs="Times New Roman"/>
                <w:color w:val="auto"/>
                <w:sz w:val="24"/>
                <w:lang w:val="zh-CN"/>
              </w:rPr>
              <w:t>0</w:t>
            </w:r>
            <w:r>
              <w:rPr>
                <w:rFonts w:ascii="宋体" w:hAnsi="宋体" w:eastAsia="宋体" w:cs="Times New Roman"/>
                <w:color w:val="auto"/>
                <w:sz w:val="24"/>
                <w:lang w:val="zh-CN"/>
              </w:rPr>
              <w:t>0～</w:t>
            </w:r>
            <w:r>
              <w:rPr>
                <w:rFonts w:hint="eastAsia" w:ascii="宋体" w:hAnsi="宋体" w:eastAsia="宋体" w:cs="Times New Roman"/>
                <w:color w:val="auto"/>
                <w:sz w:val="24"/>
                <w:lang w:val="zh-CN"/>
              </w:rPr>
              <w:t>15</w:t>
            </w:r>
            <w:r>
              <w:rPr>
                <w:rFonts w:ascii="宋体" w:hAnsi="宋体" w:eastAsia="宋体" w:cs="Times New Roman"/>
                <w:color w:val="auto"/>
                <w:sz w:val="24"/>
                <w:lang w:val="zh-CN"/>
              </w:rPr>
              <w:t>00m，区内植物种类以灌木和草本植物为主，</w:t>
            </w:r>
            <w:r>
              <w:rPr>
                <w:rFonts w:hint="eastAsia" w:ascii="宋体" w:hAnsi="宋体" w:eastAsia="宋体" w:cs="Times New Roman"/>
                <w:color w:val="auto"/>
                <w:sz w:val="24"/>
                <w:lang w:val="zh-CN"/>
              </w:rPr>
              <w:t>主要乔木树种有</w:t>
            </w:r>
            <w:r>
              <w:rPr>
                <w:rFonts w:hint="eastAsia" w:ascii="宋体" w:hAnsi="宋体" w:eastAsia="宋体" w:cs="宋体"/>
                <w:color w:val="auto"/>
                <w:sz w:val="24"/>
              </w:rPr>
              <w:t>云南松</w:t>
            </w:r>
            <w:r>
              <w:rPr>
                <w:rFonts w:hint="eastAsia" w:ascii="宋体" w:hAnsi="宋体" w:eastAsia="宋体" w:cs="Times New Roman"/>
                <w:color w:val="auto"/>
                <w:sz w:val="24"/>
                <w:lang w:val="zh-CN"/>
              </w:rPr>
              <w:t>、</w:t>
            </w:r>
            <w:r>
              <w:rPr>
                <w:rFonts w:hint="eastAsia" w:ascii="宋体" w:hAnsi="Times New Roman" w:eastAsia="宋体" w:cs="宋体"/>
                <w:color w:val="auto"/>
                <w:kern w:val="0"/>
                <w:sz w:val="24"/>
              </w:rPr>
              <w:t>锥连栎</w:t>
            </w:r>
            <w:r>
              <w:rPr>
                <w:rFonts w:hint="eastAsia" w:ascii="宋体" w:hAnsi="宋体" w:eastAsia="宋体" w:cs="宋体"/>
                <w:color w:val="auto"/>
                <w:sz w:val="24"/>
              </w:rPr>
              <w:t>、合欢</w:t>
            </w:r>
            <w:r>
              <w:rPr>
                <w:rFonts w:hint="eastAsia" w:ascii="宋体" w:hAnsi="宋体" w:eastAsia="宋体" w:cs="Times New Roman"/>
                <w:color w:val="auto"/>
                <w:sz w:val="24"/>
                <w:lang w:val="zh-CN"/>
              </w:rPr>
              <w:t>等</w:t>
            </w:r>
            <w:r>
              <w:rPr>
                <w:rFonts w:hint="eastAsia" w:ascii="宋体" w:hAnsi="宋体" w:eastAsia="宋体" w:cs="宋体"/>
                <w:color w:val="auto"/>
                <w:sz w:val="24"/>
              </w:rPr>
              <w:t>；主要灌木种类有余甘子、车桑子、</w:t>
            </w:r>
            <w:r>
              <w:rPr>
                <w:rFonts w:ascii="宋体" w:hAnsi="宋体" w:eastAsia="宋体" w:cs="Times New Roman"/>
                <w:color w:val="auto"/>
                <w:sz w:val="24"/>
              </w:rPr>
              <w:t>盐肤木</w:t>
            </w:r>
            <w:r>
              <w:rPr>
                <w:rFonts w:hint="eastAsia" w:ascii="宋体" w:hAnsi="宋体" w:eastAsia="宋体" w:cs="Times New Roman"/>
                <w:color w:val="auto"/>
                <w:sz w:val="24"/>
              </w:rPr>
              <w:t>、</w:t>
            </w:r>
            <w:r>
              <w:rPr>
                <w:rFonts w:hint="eastAsia" w:ascii="宋体" w:hAnsi="宋体" w:eastAsia="宋体" w:cs="宋体"/>
                <w:color w:val="auto"/>
                <w:sz w:val="24"/>
              </w:rPr>
              <w:t>青刺尖、滇榄仁</w:t>
            </w:r>
            <w:r>
              <w:rPr>
                <w:rFonts w:hint="eastAsia" w:ascii="宋体" w:hAnsi="宋体" w:eastAsia="宋体" w:cs="Times New Roman"/>
                <w:color w:val="auto"/>
                <w:sz w:val="24"/>
                <w:lang w:val="zh-CN"/>
              </w:rPr>
              <w:t>等</w:t>
            </w:r>
            <w:r>
              <w:rPr>
                <w:rFonts w:hint="eastAsia" w:ascii="宋体" w:hAnsi="宋体" w:eastAsia="宋体" w:cs="Times New Roman"/>
                <w:color w:val="auto"/>
                <w:sz w:val="24"/>
              </w:rPr>
              <w:t>，</w:t>
            </w:r>
            <w:r>
              <w:rPr>
                <w:rFonts w:hint="eastAsia" w:ascii="宋体" w:hAnsi="宋体" w:eastAsia="宋体" w:cs="Times New Roman"/>
                <w:color w:val="auto"/>
                <w:sz w:val="24"/>
                <w:lang w:val="zh-CN"/>
              </w:rPr>
              <w:t>主要草本植物有</w:t>
            </w:r>
            <w:r>
              <w:rPr>
                <w:rFonts w:ascii="宋体" w:hAnsi="宋体" w:eastAsia="宋体" w:cs="宋体"/>
                <w:color w:val="auto"/>
                <w:sz w:val="24"/>
              </w:rPr>
              <w:t>扭黄茅</w:t>
            </w:r>
            <w:r>
              <w:rPr>
                <w:rFonts w:hint="eastAsia" w:ascii="宋体" w:hAnsi="宋体" w:eastAsia="宋体" w:cs="宋体"/>
                <w:color w:val="auto"/>
                <w:sz w:val="24"/>
              </w:rPr>
              <w:t>、</w:t>
            </w:r>
            <w:r>
              <w:rPr>
                <w:rFonts w:hint="eastAsia" w:ascii="宋体" w:hAnsi="宋体" w:eastAsia="宋体" w:cs="Times New Roman"/>
                <w:color w:val="auto"/>
                <w:sz w:val="24"/>
              </w:rPr>
              <w:t>旱茅、</w:t>
            </w:r>
            <w:r>
              <w:rPr>
                <w:rFonts w:ascii="宋体" w:hAnsi="宋体" w:eastAsia="宋体" w:cs="Times New Roman"/>
                <w:color w:val="auto"/>
                <w:sz w:val="24"/>
              </w:rPr>
              <w:t>戟叶酸模</w:t>
            </w:r>
            <w:r>
              <w:rPr>
                <w:rFonts w:hint="eastAsia" w:ascii="宋体" w:hAnsi="宋体" w:eastAsia="宋体" w:cs="Times New Roman"/>
                <w:color w:val="auto"/>
                <w:sz w:val="24"/>
              </w:rPr>
              <w:t>、</w:t>
            </w:r>
            <w:r>
              <w:rPr>
                <w:rFonts w:ascii="宋体" w:hAnsi="宋体" w:eastAsia="宋体" w:cs="Times New Roman"/>
                <w:color w:val="auto"/>
                <w:sz w:val="24"/>
              </w:rPr>
              <w:t>荩草</w:t>
            </w:r>
            <w:r>
              <w:rPr>
                <w:rFonts w:hint="eastAsia" w:ascii="宋体" w:hAnsi="宋体" w:eastAsia="宋体" w:cs="Times New Roman"/>
                <w:color w:val="auto"/>
                <w:sz w:val="24"/>
              </w:rPr>
              <w:t>、</w:t>
            </w:r>
            <w:r>
              <w:rPr>
                <w:rFonts w:ascii="宋体" w:hAnsi="宋体" w:eastAsia="宋体" w:cs="Times New Roman"/>
                <w:color w:val="auto"/>
                <w:sz w:val="24"/>
              </w:rPr>
              <w:t>牛膝</w:t>
            </w:r>
            <w:r>
              <w:rPr>
                <w:rFonts w:hint="eastAsia" w:ascii="宋体" w:hAnsi="宋体" w:eastAsia="宋体" w:cs="Times New Roman"/>
                <w:color w:val="auto"/>
                <w:sz w:val="24"/>
              </w:rPr>
              <w:t>等。</w:t>
            </w:r>
          </w:p>
          <w:p>
            <w:pPr>
              <w:spacing w:line="360" w:lineRule="auto"/>
              <w:ind w:firstLine="480"/>
              <w:rPr>
                <w:rFonts w:ascii="宋体" w:hAnsi="宋体" w:eastAsia="宋体" w:cs="Times New Roman"/>
                <w:color w:val="auto"/>
                <w:sz w:val="24"/>
                <w:lang w:val="zh-CN"/>
              </w:rPr>
            </w:pPr>
            <w:r>
              <w:rPr>
                <w:rFonts w:ascii="宋体" w:hAnsi="宋体" w:eastAsia="宋体" w:cs="Times New Roman"/>
                <w:color w:val="auto"/>
                <w:sz w:val="24"/>
                <w:lang w:val="zh-CN"/>
              </w:rPr>
              <w:t>据调查记录的统计结果，</w:t>
            </w:r>
            <w:r>
              <w:rPr>
                <w:rFonts w:hint="eastAsia" w:ascii="宋体" w:hAnsi="宋体" w:eastAsia="宋体" w:cs="Times New Roman"/>
                <w:color w:val="auto"/>
                <w:sz w:val="24"/>
              </w:rPr>
              <w:t>拟建项目</w:t>
            </w:r>
            <w:r>
              <w:rPr>
                <w:rFonts w:ascii="宋体" w:hAnsi="宋体" w:eastAsia="宋体" w:cs="Times New Roman"/>
                <w:color w:val="auto"/>
                <w:sz w:val="24"/>
                <w:lang w:val="zh-CN"/>
              </w:rPr>
              <w:t>评价区内蕨类植物共有</w:t>
            </w:r>
            <w:r>
              <w:rPr>
                <w:rFonts w:hint="eastAsia" w:ascii="宋体" w:hAnsi="宋体" w:eastAsia="宋体" w:cs="Times New Roman"/>
                <w:color w:val="auto"/>
                <w:sz w:val="24"/>
              </w:rPr>
              <w:t>8科、11属、13种</w:t>
            </w:r>
            <w:r>
              <w:rPr>
                <w:rFonts w:ascii="宋体" w:hAnsi="宋体" w:eastAsia="宋体" w:cs="Times New Roman"/>
                <w:color w:val="auto"/>
                <w:sz w:val="24"/>
                <w:lang w:val="zh-CN"/>
              </w:rPr>
              <w:t>；裸子植物</w:t>
            </w:r>
            <w:r>
              <w:rPr>
                <w:rFonts w:hint="eastAsia" w:ascii="宋体" w:hAnsi="宋体" w:eastAsia="宋体" w:cs="Times New Roman"/>
                <w:color w:val="auto"/>
                <w:sz w:val="24"/>
                <w:lang w:val="de-DE"/>
              </w:rPr>
              <w:t>2</w:t>
            </w:r>
            <w:r>
              <w:rPr>
                <w:rFonts w:hint="eastAsia" w:ascii="宋体" w:hAnsi="宋体" w:eastAsia="宋体" w:cs="Times New Roman"/>
                <w:color w:val="auto"/>
                <w:sz w:val="24"/>
              </w:rPr>
              <w:t>科</w:t>
            </w:r>
            <w:r>
              <w:rPr>
                <w:rFonts w:hint="eastAsia" w:ascii="宋体" w:hAnsi="宋体" w:eastAsia="宋体" w:cs="Times New Roman"/>
                <w:color w:val="auto"/>
                <w:sz w:val="24"/>
                <w:lang w:val="de-DE"/>
              </w:rPr>
              <w:t>，3</w:t>
            </w:r>
            <w:r>
              <w:rPr>
                <w:rFonts w:hint="eastAsia" w:ascii="宋体" w:hAnsi="宋体" w:eastAsia="宋体" w:cs="Times New Roman"/>
                <w:color w:val="auto"/>
                <w:sz w:val="24"/>
              </w:rPr>
              <w:t>属</w:t>
            </w:r>
            <w:r>
              <w:rPr>
                <w:rFonts w:hint="eastAsia" w:ascii="宋体" w:hAnsi="宋体" w:eastAsia="宋体" w:cs="Times New Roman"/>
                <w:color w:val="auto"/>
                <w:sz w:val="24"/>
                <w:lang w:val="de-DE"/>
              </w:rPr>
              <w:t>，4</w:t>
            </w:r>
            <w:r>
              <w:rPr>
                <w:rFonts w:hint="eastAsia" w:ascii="宋体" w:hAnsi="宋体" w:eastAsia="宋体" w:cs="Times New Roman"/>
                <w:color w:val="auto"/>
                <w:sz w:val="24"/>
              </w:rPr>
              <w:t>种</w:t>
            </w:r>
            <w:r>
              <w:rPr>
                <w:rFonts w:ascii="宋体" w:hAnsi="宋体" w:eastAsia="宋体" w:cs="Times New Roman"/>
                <w:color w:val="auto"/>
                <w:sz w:val="24"/>
                <w:lang w:val="zh-CN"/>
              </w:rPr>
              <w:t>；被子植物</w:t>
            </w:r>
            <w:r>
              <w:rPr>
                <w:rFonts w:hint="eastAsia" w:ascii="宋体" w:hAnsi="宋体" w:eastAsia="宋体" w:cs="Times New Roman"/>
                <w:color w:val="auto"/>
                <w:sz w:val="24"/>
              </w:rPr>
              <w:t>63科，181属，222种</w:t>
            </w:r>
            <w:r>
              <w:rPr>
                <w:rFonts w:ascii="宋体" w:hAnsi="宋体" w:eastAsia="宋体" w:cs="Times New Roman"/>
                <w:color w:val="auto"/>
                <w:sz w:val="24"/>
                <w:lang w:val="zh-CN"/>
              </w:rPr>
              <w:t>。详见附录1：</w:t>
            </w:r>
            <w:r>
              <w:rPr>
                <w:rFonts w:hint="eastAsia" w:ascii="宋体" w:hAnsi="宋体" w:eastAsia="宋体" w:cs="Times New Roman"/>
                <w:color w:val="auto"/>
                <w:sz w:val="24"/>
                <w:lang w:val="zh-CN"/>
              </w:rPr>
              <w:t>华能元谋马头地光伏电站项目</w:t>
            </w:r>
            <w:r>
              <w:rPr>
                <w:rFonts w:ascii="宋体" w:hAnsi="宋体" w:eastAsia="宋体" w:cs="Times New Roman"/>
                <w:color w:val="auto"/>
                <w:sz w:val="24"/>
                <w:lang w:val="zh-CN"/>
              </w:rPr>
              <w:t>评价区维管束植物名录。</w:t>
            </w:r>
          </w:p>
          <w:p>
            <w:pPr>
              <w:spacing w:line="360" w:lineRule="auto"/>
              <w:ind w:firstLine="470" w:firstLineChars="196"/>
              <w:rPr>
                <w:rFonts w:ascii="宋体" w:hAnsi="宋体" w:eastAsia="宋体" w:cs="Times New Roman"/>
                <w:color w:val="auto"/>
                <w:sz w:val="24"/>
              </w:rPr>
            </w:pPr>
            <w:r>
              <w:rPr>
                <w:rFonts w:hint="eastAsia" w:ascii="宋体" w:hAnsi="宋体" w:eastAsia="宋体" w:cs="Times New Roman"/>
                <w:color w:val="auto"/>
                <w:sz w:val="24"/>
              </w:rPr>
              <w:t>2）野生保护物种现状</w:t>
            </w:r>
          </w:p>
          <w:p>
            <w:pPr>
              <w:spacing w:line="360" w:lineRule="auto"/>
              <w:ind w:firstLine="48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通过对本项目评价区植物种类的专项调查，依据《国家重点保护野生植物名录2021》评价区范围内没有发现国家级和省级重点保护野生植物，也没有本地特有的植物分布。</w:t>
            </w:r>
          </w:p>
          <w:p>
            <w:pPr>
              <w:spacing w:line="360" w:lineRule="auto"/>
              <w:ind w:firstLine="470" w:firstLineChars="196"/>
              <w:rPr>
                <w:rFonts w:ascii="宋体" w:hAnsi="宋体" w:eastAsia="宋体" w:cs="Times New Roman"/>
                <w:color w:val="auto"/>
                <w:sz w:val="24"/>
              </w:rPr>
            </w:pPr>
            <w:r>
              <w:rPr>
                <w:rFonts w:hint="eastAsia" w:ascii="宋体" w:hAnsi="宋体" w:eastAsia="宋体" w:cs="Times New Roman"/>
                <w:color w:val="auto"/>
                <w:sz w:val="24"/>
              </w:rPr>
              <w:t>3）名木古树</w:t>
            </w:r>
          </w:p>
          <w:p>
            <w:pPr>
              <w:spacing w:line="360" w:lineRule="auto"/>
              <w:ind w:firstLine="470" w:firstLineChars="196"/>
              <w:rPr>
                <w:rFonts w:ascii="宋体" w:hAnsi="宋体" w:eastAsia="宋体" w:cs="Times New Roman"/>
                <w:color w:val="auto"/>
                <w:sz w:val="24"/>
              </w:rPr>
            </w:pPr>
            <w:r>
              <w:rPr>
                <w:rFonts w:hint="eastAsia" w:ascii="宋体" w:hAnsi="宋体" w:eastAsia="宋体" w:cs="Times New Roman"/>
                <w:color w:val="auto"/>
                <w:sz w:val="24"/>
              </w:rPr>
              <w:t>根据云南省林业厅文件云林保护字(1996)第65号《关于印发云南省古树名木名录的通知》和实地踏查结果，项目区没有名木古树分布。</w:t>
            </w:r>
          </w:p>
          <w:p>
            <w:pPr>
              <w:adjustRightInd w:val="0"/>
              <w:snapToGrid w:val="0"/>
              <w:spacing w:line="360" w:lineRule="auto"/>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3.3.3 陆生野生动物</w:t>
            </w:r>
          </w:p>
          <w:p>
            <w:pPr>
              <w:spacing w:line="360" w:lineRule="auto"/>
              <w:rPr>
                <w:rFonts w:ascii="宋体" w:hAnsi="宋体" w:eastAsia="宋体" w:cs="Times New Roman"/>
                <w:b/>
                <w:color w:val="auto"/>
                <w:sz w:val="24"/>
              </w:rPr>
            </w:pPr>
            <w:r>
              <w:rPr>
                <w:rFonts w:hint="eastAsia" w:ascii="宋体" w:hAnsi="宋体" w:eastAsia="宋体" w:cs="Times New Roman"/>
                <w:b/>
                <w:color w:val="auto"/>
                <w:sz w:val="24"/>
              </w:rPr>
              <w:t>（1）</w:t>
            </w:r>
            <w:r>
              <w:rPr>
                <w:rFonts w:ascii="宋体" w:hAnsi="宋体" w:eastAsia="宋体" w:cs="Times New Roman"/>
                <w:b/>
                <w:color w:val="auto"/>
                <w:sz w:val="24"/>
              </w:rPr>
              <w:t>调查方法</w:t>
            </w:r>
            <w:r>
              <w:rPr>
                <w:rFonts w:hint="eastAsia" w:ascii="宋体" w:hAnsi="宋体" w:eastAsia="宋体" w:cs="Times New Roman"/>
                <w:b/>
                <w:color w:val="auto"/>
                <w:sz w:val="24"/>
              </w:rPr>
              <w:t>、范围及内容</w:t>
            </w:r>
          </w:p>
          <w:p>
            <w:pPr>
              <w:spacing w:line="360" w:lineRule="auto"/>
              <w:ind w:firstLine="480"/>
              <w:rPr>
                <w:rFonts w:ascii="宋体" w:hAnsi="宋体" w:eastAsia="宋体" w:cs="Times New Roman"/>
                <w:color w:val="auto"/>
                <w:sz w:val="24"/>
              </w:rPr>
            </w:pPr>
            <w:r>
              <w:rPr>
                <w:rFonts w:hint="eastAsia" w:ascii="宋体" w:hAnsi="宋体" w:eastAsia="宋体" w:cs="Times New Roman"/>
                <w:color w:val="auto"/>
                <w:sz w:val="24"/>
              </w:rPr>
              <w:t>1）调查方法</w:t>
            </w:r>
          </w:p>
          <w:p>
            <w:pPr>
              <w:autoSpaceDE w:val="0"/>
              <w:autoSpaceDN w:val="0"/>
              <w:adjustRightInd w:val="0"/>
              <w:spacing w:line="360" w:lineRule="auto"/>
              <w:ind w:firstLine="480"/>
              <w:rPr>
                <w:rFonts w:ascii="Times New Roman" w:hAnsi="Times New Roman" w:eastAsia="宋体" w:cs="Times New Roman"/>
                <w:color w:val="auto"/>
                <w:sz w:val="24"/>
              </w:rPr>
            </w:pPr>
            <w:r>
              <w:rPr>
                <w:rFonts w:hint="eastAsia" w:ascii="Times New Roman" w:hAnsi="Times New Roman" w:eastAsia="宋体" w:cs="Times New Roman"/>
                <w:color w:val="auto"/>
                <w:sz w:val="24"/>
              </w:rPr>
              <w:t>评价单位组织相关专家于2022</w:t>
            </w:r>
            <w:r>
              <w:rPr>
                <w:rFonts w:ascii="Times New Roman" w:hAnsi="Times New Roman" w:eastAsia="宋体" w:cs="Times New Roman"/>
                <w:color w:val="auto"/>
                <w:sz w:val="24"/>
              </w:rPr>
              <w:t>年</w:t>
            </w:r>
            <w:r>
              <w:rPr>
                <w:rFonts w:hint="eastAsia" w:ascii="Times New Roman" w:hAnsi="Times New Roman" w:eastAsia="宋体" w:cs="Times New Roman"/>
                <w:color w:val="auto"/>
                <w:sz w:val="24"/>
              </w:rPr>
              <w:t>4</w:t>
            </w:r>
            <w:r>
              <w:rPr>
                <w:rFonts w:ascii="Times New Roman" w:hAnsi="Times New Roman" w:eastAsia="宋体" w:cs="Times New Roman"/>
                <w:color w:val="auto"/>
                <w:sz w:val="24"/>
              </w:rPr>
              <w:t>月对</w:t>
            </w:r>
            <w:r>
              <w:rPr>
                <w:rFonts w:hint="eastAsia" w:ascii="Times New Roman" w:hAnsi="Times New Roman" w:eastAsia="宋体" w:cs="Times New Roman"/>
                <w:color w:val="auto"/>
                <w:sz w:val="24"/>
              </w:rPr>
              <w:t>华能元谋马头地光伏电站项目项目区</w:t>
            </w:r>
            <w:r>
              <w:rPr>
                <w:rFonts w:ascii="Times New Roman" w:hAnsi="Times New Roman" w:eastAsia="宋体" w:cs="Times New Roman"/>
                <w:color w:val="auto"/>
                <w:sz w:val="24"/>
              </w:rPr>
              <w:t>的陆栖脊椎动物进行了专业调查。野外调查中，主要观察记录了陆栖脊椎动物的生境状况；鸟类调查主要使用双筒望远镜观察记录；询问有关野生脊椎动物的情况</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调阅了</w:t>
            </w:r>
            <w:r>
              <w:rPr>
                <w:rFonts w:hint="eastAsia" w:ascii="Times New Roman" w:hAnsi="Times New Roman" w:eastAsia="宋体" w:cs="Times New Roman"/>
                <w:color w:val="auto"/>
                <w:sz w:val="24"/>
              </w:rPr>
              <w:t>元谋县</w:t>
            </w:r>
            <w:r>
              <w:rPr>
                <w:rFonts w:ascii="Times New Roman" w:hAnsi="Times New Roman" w:eastAsia="宋体" w:cs="Times New Roman"/>
                <w:color w:val="auto"/>
                <w:sz w:val="24"/>
              </w:rPr>
              <w:t>收集的相关资料</w:t>
            </w:r>
            <w:r>
              <w:rPr>
                <w:rFonts w:hint="eastAsia" w:ascii="Times New Roman" w:hAnsi="Times New Roman" w:eastAsia="宋体" w:cs="Times New Roman"/>
                <w:color w:val="auto"/>
                <w:sz w:val="24"/>
              </w:rPr>
              <w:t>；并</w:t>
            </w:r>
            <w:r>
              <w:rPr>
                <w:rFonts w:ascii="Times New Roman" w:hAnsi="Times New Roman" w:eastAsia="宋体" w:cs="Times New Roman"/>
                <w:color w:val="auto"/>
                <w:sz w:val="24"/>
              </w:rPr>
              <w:t>查阅</w:t>
            </w:r>
            <w:r>
              <w:rPr>
                <w:rFonts w:hint="eastAsia" w:ascii="Times New Roman" w:hAnsi="Times New Roman" w:eastAsia="宋体" w:cs="Times New Roman"/>
                <w:color w:val="auto"/>
                <w:sz w:val="24"/>
              </w:rPr>
              <w:t>和</w:t>
            </w:r>
            <w:r>
              <w:rPr>
                <w:rFonts w:ascii="Times New Roman" w:hAnsi="Times New Roman" w:eastAsia="宋体" w:cs="Times New Roman"/>
                <w:color w:val="auto"/>
                <w:sz w:val="24"/>
              </w:rPr>
              <w:t>收集了已发表的相关文献资料。</w:t>
            </w:r>
          </w:p>
          <w:p>
            <w:pPr>
              <w:autoSpaceDE w:val="0"/>
              <w:autoSpaceDN w:val="0"/>
              <w:adjustRightInd w:val="0"/>
              <w:spacing w:line="360" w:lineRule="auto"/>
              <w:ind w:firstLine="480"/>
              <w:rPr>
                <w:rFonts w:ascii="Times New Roman" w:hAnsi="Times New Roman" w:eastAsia="宋体" w:cs="Times New Roman"/>
                <w:color w:val="auto"/>
                <w:sz w:val="24"/>
              </w:rPr>
            </w:pPr>
            <w:r>
              <w:rPr>
                <w:rFonts w:hint="eastAsia" w:ascii="Times New Roman" w:hAnsi="Times New Roman" w:eastAsia="宋体" w:cs="Times New Roman"/>
                <w:color w:val="auto"/>
                <w:sz w:val="24"/>
              </w:rPr>
              <w:t>2）调查范围</w:t>
            </w:r>
          </w:p>
          <w:p>
            <w:pPr>
              <w:autoSpaceDE w:val="0"/>
              <w:autoSpaceDN w:val="0"/>
              <w:adjustRightInd w:val="0"/>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野外调查工作的重点为</w:t>
            </w:r>
            <w:r>
              <w:rPr>
                <w:rFonts w:hint="eastAsia" w:ascii="Times New Roman" w:hAnsi="Times New Roman" w:eastAsia="宋体" w:cs="Times New Roman"/>
                <w:color w:val="auto"/>
                <w:sz w:val="24"/>
              </w:rPr>
              <w:t>华能元谋马头地光伏电站项目项目区</w:t>
            </w:r>
            <w:r>
              <w:rPr>
                <w:rFonts w:ascii="Times New Roman" w:hAnsi="Times New Roman" w:eastAsia="宋体" w:cs="Times New Roman"/>
                <w:color w:val="auto"/>
                <w:sz w:val="24"/>
              </w:rPr>
              <w:t>，其次是与评价区相邻的地区</w:t>
            </w:r>
            <w:r>
              <w:rPr>
                <w:rFonts w:hint="eastAsia" w:ascii="Times New Roman" w:hAnsi="Times New Roman" w:eastAsia="宋体" w:cs="Times New Roman"/>
                <w:color w:val="auto"/>
                <w:sz w:val="24"/>
              </w:rPr>
              <w:t>；主要调查区域海拔1000m</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1500m</w:t>
            </w:r>
            <w:r>
              <w:rPr>
                <w:rFonts w:ascii="Times New Roman" w:hAnsi="Times New Roman" w:eastAsia="宋体" w:cs="Times New Roman"/>
                <w:color w:val="auto"/>
                <w:sz w:val="24"/>
              </w:rPr>
              <w:t>。</w:t>
            </w:r>
          </w:p>
          <w:p>
            <w:pPr>
              <w:autoSpaceDE w:val="0"/>
              <w:autoSpaceDN w:val="0"/>
              <w:adjustRightInd w:val="0"/>
              <w:spacing w:line="360" w:lineRule="auto"/>
              <w:ind w:firstLine="480"/>
              <w:rPr>
                <w:rFonts w:ascii="Times New Roman" w:hAnsi="Times New Roman" w:eastAsia="宋体" w:cs="Times New Roman"/>
                <w:color w:val="auto"/>
                <w:sz w:val="24"/>
              </w:rPr>
            </w:pPr>
            <w:r>
              <w:rPr>
                <w:rFonts w:hint="eastAsia" w:ascii="Times New Roman" w:hAnsi="Times New Roman" w:eastAsia="宋体" w:cs="Times New Roman"/>
                <w:color w:val="auto"/>
                <w:sz w:val="24"/>
              </w:rPr>
              <w:t>3）调查内容</w:t>
            </w:r>
          </w:p>
          <w:p>
            <w:pPr>
              <w:spacing w:line="360" w:lineRule="auto"/>
              <w:ind w:firstLine="480"/>
              <w:rPr>
                <w:rFonts w:ascii="Times New Roman" w:hAnsi="Times New Roman" w:eastAsia="宋体" w:cs="Times New Roman"/>
                <w:color w:val="auto"/>
                <w:sz w:val="24"/>
              </w:rPr>
            </w:pPr>
            <w:r>
              <w:rPr>
                <w:rFonts w:hint="eastAsia" w:ascii="Times New Roman" w:hAnsi="Times New Roman" w:eastAsia="宋体" w:cs="Times New Roman"/>
                <w:color w:val="auto"/>
                <w:sz w:val="24"/>
              </w:rPr>
              <w:t>主要调查评价区内的两栖类、爬行类、鸟类、兽类的种类，国家重点保护野生动物分布，云南省级重点保护野生动物分布情况。</w:t>
            </w:r>
          </w:p>
          <w:p>
            <w:pPr>
              <w:spacing w:line="360" w:lineRule="auto"/>
              <w:rPr>
                <w:rFonts w:ascii="宋体" w:hAnsi="宋体" w:eastAsia="宋体" w:cs="Times New Roman"/>
                <w:b/>
                <w:color w:val="auto"/>
                <w:sz w:val="24"/>
              </w:rPr>
            </w:pPr>
            <w:r>
              <w:rPr>
                <w:rFonts w:hint="eastAsia" w:ascii="宋体" w:hAnsi="宋体" w:eastAsia="宋体" w:cs="Times New Roman"/>
                <w:b/>
                <w:color w:val="auto"/>
                <w:sz w:val="24"/>
              </w:rPr>
              <w:t>（2）</w:t>
            </w:r>
            <w:r>
              <w:rPr>
                <w:rFonts w:hint="eastAsia" w:ascii="Times New Roman" w:hAnsi="Times New Roman" w:eastAsia="宋体" w:cs="Times New Roman"/>
                <w:b/>
                <w:color w:val="auto"/>
                <w:sz w:val="24"/>
              </w:rPr>
              <w:t>陆生动物现状</w:t>
            </w:r>
          </w:p>
          <w:p>
            <w:pPr>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根据上述各种资料进行了综合分析，目前评价区分布有陆栖脊椎动物</w:t>
            </w:r>
            <w:r>
              <w:rPr>
                <w:rFonts w:hint="eastAsia" w:ascii="Times New Roman" w:hAnsi="Times New Roman" w:eastAsia="宋体" w:cs="Times New Roman"/>
                <w:color w:val="auto"/>
                <w:sz w:val="24"/>
              </w:rPr>
              <w:t>75</w:t>
            </w:r>
            <w:r>
              <w:rPr>
                <w:rFonts w:ascii="Times New Roman" w:hAnsi="Times New Roman" w:eastAsia="宋体" w:cs="Times New Roman"/>
                <w:color w:val="auto"/>
                <w:sz w:val="24"/>
              </w:rPr>
              <w:t>种，具体分布在各纲中的数量状况，参见附录。</w:t>
            </w:r>
          </w:p>
          <w:p>
            <w:pPr>
              <w:widowControl w:val="0"/>
              <w:adjustRightInd w:val="0"/>
              <w:snapToGrid w:val="0"/>
              <w:spacing w:line="240" w:lineRule="auto"/>
              <w:ind w:left="0" w:leftChars="0" w:right="0" w:rightChars="0" w:firstLine="0" w:firstLineChars="0"/>
              <w:jc w:val="center"/>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表3.3-4   陆栖脊椎动物各纲下分类阶元数量</w:t>
            </w:r>
          </w:p>
          <w:tbl>
            <w:tblPr>
              <w:tblStyle w:val="18"/>
              <w:tblW w:w="4998"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223"/>
              <w:gridCol w:w="1353"/>
              <w:gridCol w:w="1353"/>
              <w:gridCol w:w="1080"/>
              <w:gridCol w:w="134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927"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动物类群</w:t>
                  </w:r>
                </w:p>
              </w:tc>
              <w:tc>
                <w:tcPr>
                  <w:tcW w:w="809"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目</w:t>
                  </w:r>
                </w:p>
              </w:tc>
              <w:tc>
                <w:tcPr>
                  <w:tcW w:w="809"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科</w:t>
                  </w:r>
                </w:p>
              </w:tc>
              <w:tc>
                <w:tcPr>
                  <w:tcW w:w="646"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属</w:t>
                  </w:r>
                </w:p>
              </w:tc>
              <w:tc>
                <w:tcPr>
                  <w:tcW w:w="806"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种</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927"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两栖类</w:t>
                  </w:r>
                </w:p>
              </w:tc>
              <w:tc>
                <w:tcPr>
                  <w:tcW w:w="809"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w:t>
                  </w:r>
                </w:p>
              </w:tc>
              <w:tc>
                <w:tcPr>
                  <w:tcW w:w="809"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4</w:t>
                  </w:r>
                </w:p>
              </w:tc>
              <w:tc>
                <w:tcPr>
                  <w:tcW w:w="646"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4</w:t>
                  </w:r>
                </w:p>
              </w:tc>
              <w:tc>
                <w:tcPr>
                  <w:tcW w:w="806"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927"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爬行类</w:t>
                  </w:r>
                </w:p>
              </w:tc>
              <w:tc>
                <w:tcPr>
                  <w:tcW w:w="809" w:type="pct"/>
                  <w:tcBorders>
                    <w:tl2br w:val="nil"/>
                    <w:tr2bl w:val="nil"/>
                  </w:tcBorders>
                  <w:noWrap/>
                  <w:tcMar>
                    <w:top w:w="15" w:type="dxa"/>
                    <w:left w:w="15" w:type="dxa"/>
                    <w:bottom w:w="0" w:type="dxa"/>
                    <w:right w:w="15" w:type="dxa"/>
                  </w:tcMar>
                  <w:vAlign w:val="center"/>
                </w:tcPr>
                <w:p>
                  <w:pPr>
                    <w:spacing w:before="50" w:after="50"/>
                    <w:ind w:left="0" w:leftChars="0" w:right="0" w:rightChars="0" w:firstLine="0" w:firstLineChars="0"/>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2</w:t>
                  </w:r>
                </w:p>
              </w:tc>
              <w:tc>
                <w:tcPr>
                  <w:tcW w:w="809" w:type="pct"/>
                  <w:tcBorders>
                    <w:tl2br w:val="nil"/>
                    <w:tr2bl w:val="nil"/>
                  </w:tcBorders>
                  <w:noWrap/>
                  <w:tcMar>
                    <w:top w:w="15" w:type="dxa"/>
                    <w:left w:w="15" w:type="dxa"/>
                    <w:bottom w:w="0" w:type="dxa"/>
                    <w:right w:w="15" w:type="dxa"/>
                  </w:tcMar>
                  <w:vAlign w:val="center"/>
                </w:tcPr>
                <w:p>
                  <w:pPr>
                    <w:spacing w:before="50" w:after="50"/>
                    <w:ind w:left="0" w:leftChars="0" w:right="0" w:rightChars="0" w:firstLine="0" w:firstLineChars="0"/>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6</w:t>
                  </w:r>
                </w:p>
              </w:tc>
              <w:tc>
                <w:tcPr>
                  <w:tcW w:w="646" w:type="pct"/>
                  <w:tcBorders>
                    <w:tl2br w:val="nil"/>
                    <w:tr2bl w:val="nil"/>
                  </w:tcBorders>
                  <w:noWrap/>
                  <w:tcMar>
                    <w:top w:w="15" w:type="dxa"/>
                    <w:left w:w="15" w:type="dxa"/>
                    <w:bottom w:w="0" w:type="dxa"/>
                    <w:right w:w="15" w:type="dxa"/>
                  </w:tcMar>
                  <w:vAlign w:val="center"/>
                </w:tcPr>
                <w:p>
                  <w:pPr>
                    <w:spacing w:before="50" w:after="50"/>
                    <w:ind w:left="0" w:leftChars="0" w:right="0" w:rightChars="0" w:firstLine="0" w:firstLineChars="0"/>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7</w:t>
                  </w:r>
                </w:p>
              </w:tc>
              <w:tc>
                <w:tcPr>
                  <w:tcW w:w="806" w:type="pct"/>
                  <w:tcBorders>
                    <w:tl2br w:val="nil"/>
                    <w:tr2bl w:val="nil"/>
                  </w:tcBorders>
                  <w:noWrap/>
                  <w:tcMar>
                    <w:top w:w="15" w:type="dxa"/>
                    <w:left w:w="15" w:type="dxa"/>
                    <w:bottom w:w="0" w:type="dxa"/>
                    <w:right w:w="15" w:type="dxa"/>
                  </w:tcMar>
                  <w:vAlign w:val="center"/>
                </w:tcPr>
                <w:p>
                  <w:pPr>
                    <w:spacing w:before="50" w:after="50"/>
                    <w:ind w:left="0" w:leftChars="0" w:right="0" w:rightChars="0" w:firstLine="0" w:firstLineChars="0"/>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927"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鸟类</w:t>
                  </w:r>
                </w:p>
              </w:tc>
              <w:tc>
                <w:tcPr>
                  <w:tcW w:w="809" w:type="pct"/>
                  <w:tcBorders>
                    <w:tl2br w:val="nil"/>
                    <w:tr2bl w:val="nil"/>
                  </w:tcBorders>
                  <w:noWrap/>
                  <w:tcMar>
                    <w:top w:w="15" w:type="dxa"/>
                    <w:left w:w="15" w:type="dxa"/>
                    <w:bottom w:w="0" w:type="dxa"/>
                    <w:right w:w="15" w:type="dxa"/>
                  </w:tcMar>
                  <w:vAlign w:val="center"/>
                </w:tcPr>
                <w:p>
                  <w:pPr>
                    <w:spacing w:before="50" w:after="50"/>
                    <w:ind w:left="0" w:leftChars="0" w:right="0" w:rightChars="0" w:firstLine="0" w:firstLineChars="0"/>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9</w:t>
                  </w:r>
                </w:p>
              </w:tc>
              <w:tc>
                <w:tcPr>
                  <w:tcW w:w="809" w:type="pct"/>
                  <w:tcBorders>
                    <w:tl2br w:val="nil"/>
                    <w:tr2bl w:val="nil"/>
                  </w:tcBorders>
                  <w:noWrap/>
                  <w:tcMar>
                    <w:top w:w="15" w:type="dxa"/>
                    <w:left w:w="15" w:type="dxa"/>
                    <w:bottom w:w="0" w:type="dxa"/>
                    <w:right w:w="15" w:type="dxa"/>
                  </w:tcMar>
                  <w:vAlign w:val="center"/>
                </w:tcPr>
                <w:p>
                  <w:pPr>
                    <w:spacing w:before="50" w:after="50"/>
                    <w:ind w:left="0" w:leftChars="0" w:right="0" w:rightChars="0" w:firstLine="0" w:firstLineChars="0"/>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20</w:t>
                  </w:r>
                </w:p>
              </w:tc>
              <w:tc>
                <w:tcPr>
                  <w:tcW w:w="646" w:type="pct"/>
                  <w:tcBorders>
                    <w:tl2br w:val="nil"/>
                    <w:tr2bl w:val="nil"/>
                  </w:tcBorders>
                  <w:noWrap/>
                  <w:tcMar>
                    <w:top w:w="15" w:type="dxa"/>
                    <w:left w:w="15" w:type="dxa"/>
                    <w:bottom w:w="0" w:type="dxa"/>
                    <w:right w:w="15" w:type="dxa"/>
                  </w:tcMar>
                  <w:vAlign w:val="center"/>
                </w:tcPr>
                <w:p>
                  <w:pPr>
                    <w:spacing w:before="50" w:after="50"/>
                    <w:ind w:left="0" w:leftChars="0" w:right="0" w:rightChars="0" w:firstLine="0" w:firstLineChars="0"/>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39</w:t>
                  </w:r>
                </w:p>
              </w:tc>
              <w:tc>
                <w:tcPr>
                  <w:tcW w:w="806" w:type="pct"/>
                  <w:tcBorders>
                    <w:tl2br w:val="nil"/>
                    <w:tr2bl w:val="nil"/>
                  </w:tcBorders>
                  <w:noWrap/>
                  <w:tcMar>
                    <w:top w:w="15" w:type="dxa"/>
                    <w:left w:w="15" w:type="dxa"/>
                    <w:bottom w:w="0" w:type="dxa"/>
                    <w:right w:w="15" w:type="dxa"/>
                  </w:tcMar>
                  <w:vAlign w:val="center"/>
                </w:tcPr>
                <w:p>
                  <w:pPr>
                    <w:spacing w:before="50" w:after="50"/>
                    <w:ind w:left="0" w:leftChars="0" w:right="0" w:rightChars="0" w:firstLine="0" w:firstLineChars="0"/>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927"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哺乳类</w:t>
                  </w:r>
                </w:p>
              </w:tc>
              <w:tc>
                <w:tcPr>
                  <w:tcW w:w="809"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5</w:t>
                  </w:r>
                </w:p>
              </w:tc>
              <w:tc>
                <w:tcPr>
                  <w:tcW w:w="809"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8</w:t>
                  </w:r>
                </w:p>
              </w:tc>
              <w:tc>
                <w:tcPr>
                  <w:tcW w:w="646"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11</w:t>
                  </w:r>
                </w:p>
              </w:tc>
              <w:tc>
                <w:tcPr>
                  <w:tcW w:w="806"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927"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小计</w:t>
                  </w:r>
                </w:p>
              </w:tc>
              <w:tc>
                <w:tcPr>
                  <w:tcW w:w="809"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17</w:t>
                  </w:r>
                </w:p>
              </w:tc>
              <w:tc>
                <w:tcPr>
                  <w:tcW w:w="809"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39</w:t>
                  </w:r>
                </w:p>
              </w:tc>
              <w:tc>
                <w:tcPr>
                  <w:tcW w:w="646"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62</w:t>
                  </w:r>
                </w:p>
              </w:tc>
              <w:tc>
                <w:tcPr>
                  <w:tcW w:w="806"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75</w:t>
                  </w:r>
                </w:p>
              </w:tc>
            </w:tr>
          </w:tbl>
          <w:p>
            <w:pPr>
              <w:spacing w:line="360" w:lineRule="auto"/>
              <w:ind w:firstLine="482"/>
              <w:rPr>
                <w:rFonts w:ascii="宋体" w:hAnsi="宋体" w:eastAsia="宋体" w:cs="Times New Roman"/>
                <w:b/>
                <w:color w:val="auto"/>
                <w:sz w:val="24"/>
              </w:rPr>
            </w:pPr>
            <w:bookmarkStart w:id="12" w:name="_Toc52191724"/>
            <w:r>
              <w:rPr>
                <w:rFonts w:hint="eastAsia" w:ascii="宋体" w:hAnsi="宋体" w:eastAsia="宋体" w:cs="Times New Roman"/>
                <w:b/>
                <w:color w:val="auto"/>
                <w:sz w:val="24"/>
              </w:rPr>
              <w:t>1）</w:t>
            </w:r>
            <w:r>
              <w:rPr>
                <w:rFonts w:ascii="宋体" w:hAnsi="宋体" w:eastAsia="宋体" w:cs="Times New Roman"/>
                <w:b/>
                <w:color w:val="auto"/>
                <w:sz w:val="24"/>
              </w:rPr>
              <w:t>种类和数量</w:t>
            </w:r>
            <w:bookmarkEnd w:id="12"/>
          </w:p>
          <w:p>
            <w:pPr>
              <w:spacing w:line="360" w:lineRule="auto"/>
              <w:ind w:firstLine="482"/>
              <w:rPr>
                <w:rFonts w:ascii="宋体" w:hAnsi="宋体" w:eastAsia="宋体" w:cs="Times New Roman"/>
                <w:b/>
                <w:color w:val="auto"/>
                <w:sz w:val="24"/>
              </w:rPr>
            </w:pPr>
            <w:r>
              <w:rPr>
                <w:rFonts w:ascii="Times New Roman" w:hAnsi="Times New Roman" w:eastAsia="宋体" w:cs="Times New Roman"/>
                <w:b/>
                <w:color w:val="auto"/>
                <w:sz w:val="24"/>
              </w:rPr>
              <w:t>①</w:t>
            </w:r>
            <w:r>
              <w:rPr>
                <w:rFonts w:hint="eastAsia" w:ascii="宋体" w:hAnsi="宋体" w:eastAsia="宋体" w:cs="Times New Roman"/>
                <w:b/>
                <w:color w:val="auto"/>
                <w:sz w:val="24"/>
              </w:rPr>
              <w:t>两栖类</w:t>
            </w:r>
          </w:p>
          <w:p>
            <w:pPr>
              <w:spacing w:line="360" w:lineRule="auto"/>
              <w:ind w:firstLine="480"/>
              <w:rPr>
                <w:rFonts w:ascii="Times New Roman" w:hAnsi="Times New Roman" w:eastAsia="宋体" w:cs="Times New Roman"/>
                <w:color w:val="auto"/>
                <w:sz w:val="24"/>
              </w:rPr>
            </w:pPr>
            <w:r>
              <w:rPr>
                <w:rFonts w:hint="eastAsia" w:ascii="宋体" w:hAnsi="宋体" w:eastAsia="宋体" w:cs="Times New Roman"/>
                <w:color w:val="auto"/>
                <w:sz w:val="24"/>
              </w:rPr>
              <w:t>根据对拟建项目区及周边现场调查及文献记载，区域分布有两栖动物4种，隶属1目4科</w:t>
            </w:r>
            <w:r>
              <w:rPr>
                <w:rFonts w:ascii="Times New Roman" w:hAnsi="Times New Roman" w:eastAsia="宋体" w:cs="Times New Roman"/>
                <w:color w:val="auto"/>
                <w:sz w:val="24"/>
              </w:rPr>
              <w:t>4属（</w:t>
            </w:r>
            <w:r>
              <w:rPr>
                <w:rFonts w:hint="eastAsia" w:ascii="Times New Roman" w:hAnsi="Times New Roman" w:eastAsia="宋体" w:cs="Times New Roman"/>
                <w:color w:val="auto"/>
                <w:sz w:val="24"/>
              </w:rPr>
              <w:t>详见</w:t>
            </w:r>
            <w:r>
              <w:rPr>
                <w:rFonts w:ascii="Times New Roman" w:hAnsi="Times New Roman" w:eastAsia="宋体" w:cs="Times New Roman"/>
                <w:color w:val="auto"/>
                <w:sz w:val="24"/>
              </w:rPr>
              <w:t>附录）。</w:t>
            </w:r>
          </w:p>
          <w:p>
            <w:pPr>
              <w:spacing w:line="360" w:lineRule="auto"/>
              <w:ind w:firstLine="482"/>
              <w:rPr>
                <w:rFonts w:ascii="Times New Roman" w:hAnsi="Times New Roman" w:eastAsia="宋体" w:cs="Times New Roman"/>
                <w:b/>
                <w:color w:val="auto"/>
                <w:sz w:val="24"/>
              </w:rPr>
            </w:pPr>
            <w:r>
              <w:rPr>
                <w:rFonts w:ascii="Times New Roman" w:hAnsi="Times New Roman" w:eastAsia="宋体" w:cs="Times New Roman"/>
                <w:b/>
                <w:color w:val="auto"/>
                <w:sz w:val="24"/>
              </w:rPr>
              <w:t>②爬行类</w:t>
            </w:r>
          </w:p>
          <w:p>
            <w:pPr>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根据对项目区及周边现场调查及文献记载，区域分布有爬行动物8种，隶属2目6科7属（</w:t>
            </w:r>
            <w:r>
              <w:rPr>
                <w:rFonts w:hint="eastAsia" w:ascii="Times New Roman" w:hAnsi="Times New Roman" w:eastAsia="宋体" w:cs="Times New Roman"/>
                <w:color w:val="auto"/>
                <w:sz w:val="24"/>
              </w:rPr>
              <w:t>详见</w:t>
            </w:r>
            <w:r>
              <w:rPr>
                <w:rFonts w:ascii="Times New Roman" w:hAnsi="Times New Roman" w:eastAsia="宋体" w:cs="Times New Roman"/>
                <w:color w:val="auto"/>
                <w:sz w:val="24"/>
              </w:rPr>
              <w:t>附录）。</w:t>
            </w:r>
          </w:p>
          <w:p>
            <w:pPr>
              <w:spacing w:line="360" w:lineRule="auto"/>
              <w:ind w:firstLine="482"/>
              <w:rPr>
                <w:rFonts w:ascii="Times New Roman" w:hAnsi="Times New Roman" w:eastAsia="宋体" w:cs="Times New Roman"/>
                <w:b/>
                <w:color w:val="auto"/>
                <w:sz w:val="24"/>
              </w:rPr>
            </w:pPr>
            <w:r>
              <w:rPr>
                <w:rFonts w:ascii="Times New Roman" w:hAnsi="Times New Roman" w:eastAsia="宋体" w:cs="Times New Roman"/>
                <w:b/>
                <w:color w:val="auto"/>
                <w:sz w:val="24"/>
              </w:rPr>
              <w:t>③鸟类</w:t>
            </w:r>
          </w:p>
          <w:p>
            <w:pPr>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根据对项目区及周边现场调查及文献记载，区域分布有鸟类5</w:t>
            </w:r>
            <w:r>
              <w:rPr>
                <w:rFonts w:hint="eastAsia" w:ascii="Times New Roman" w:hAnsi="Times New Roman" w:eastAsia="宋体" w:cs="Times New Roman"/>
                <w:color w:val="auto"/>
                <w:sz w:val="24"/>
              </w:rPr>
              <w:t>0</w:t>
            </w:r>
            <w:r>
              <w:rPr>
                <w:rFonts w:ascii="Times New Roman" w:hAnsi="Times New Roman" w:eastAsia="宋体" w:cs="Times New Roman"/>
                <w:color w:val="auto"/>
                <w:sz w:val="24"/>
              </w:rPr>
              <w:t>种，隶属9目</w:t>
            </w:r>
            <w:r>
              <w:rPr>
                <w:rFonts w:hint="eastAsia" w:ascii="Times New Roman" w:hAnsi="Times New Roman" w:eastAsia="宋体" w:cs="Times New Roman"/>
                <w:color w:val="auto"/>
                <w:sz w:val="24"/>
              </w:rPr>
              <w:t>20</w:t>
            </w:r>
            <w:r>
              <w:rPr>
                <w:rFonts w:ascii="Times New Roman" w:hAnsi="Times New Roman" w:eastAsia="宋体" w:cs="Times New Roman"/>
                <w:color w:val="auto"/>
                <w:sz w:val="24"/>
              </w:rPr>
              <w:t>科(其中鹟科含4亚科)，40属（</w:t>
            </w:r>
            <w:r>
              <w:rPr>
                <w:rFonts w:hint="eastAsia" w:ascii="Times New Roman" w:hAnsi="Times New Roman" w:eastAsia="宋体" w:cs="Times New Roman"/>
                <w:color w:val="auto"/>
                <w:sz w:val="24"/>
              </w:rPr>
              <w:t>详见</w:t>
            </w:r>
            <w:r>
              <w:rPr>
                <w:rFonts w:ascii="Times New Roman" w:hAnsi="Times New Roman" w:eastAsia="宋体" w:cs="Times New Roman"/>
                <w:color w:val="auto"/>
                <w:sz w:val="24"/>
              </w:rPr>
              <w:t>附录）。</w:t>
            </w:r>
          </w:p>
          <w:p>
            <w:pPr>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但实际调查表明，由于评价区范围狭小，实际存在的物种数量可能远远小于资料记载的数量。</w:t>
            </w:r>
            <w:r>
              <w:rPr>
                <w:rFonts w:hint="eastAsia" w:ascii="Times New Roman" w:hAnsi="Times New Roman" w:eastAsia="宋体" w:cs="Times New Roman"/>
                <w:color w:val="auto"/>
                <w:sz w:val="24"/>
              </w:rPr>
              <w:t>且</w:t>
            </w:r>
            <w:r>
              <w:rPr>
                <w:rFonts w:ascii="Times New Roman" w:hAnsi="Times New Roman" w:eastAsia="宋体" w:cs="Times New Roman"/>
                <w:color w:val="auto"/>
                <w:sz w:val="24"/>
              </w:rPr>
              <w:t>由于野外调查时间有限，无法准确判明具体的种类数量。</w:t>
            </w:r>
          </w:p>
          <w:p>
            <w:pPr>
              <w:spacing w:line="360" w:lineRule="auto"/>
              <w:ind w:firstLine="482"/>
              <w:rPr>
                <w:rFonts w:ascii="Times New Roman" w:hAnsi="Times New Roman" w:eastAsia="宋体" w:cs="Times New Roman"/>
                <w:b/>
                <w:color w:val="auto"/>
                <w:sz w:val="24"/>
              </w:rPr>
            </w:pPr>
            <w:r>
              <w:rPr>
                <w:rFonts w:ascii="Times New Roman" w:hAnsi="Times New Roman" w:eastAsia="宋体" w:cs="Times New Roman"/>
                <w:b/>
                <w:color w:val="auto"/>
                <w:sz w:val="24"/>
              </w:rPr>
              <w:t>④兽类</w:t>
            </w:r>
          </w:p>
          <w:p>
            <w:pPr>
              <w:spacing w:line="360" w:lineRule="auto"/>
              <w:ind w:firstLine="480"/>
              <w:rPr>
                <w:rFonts w:ascii="宋体" w:hAnsi="宋体" w:eastAsia="宋体" w:cs="Times New Roman"/>
                <w:color w:val="auto"/>
                <w:sz w:val="24"/>
              </w:rPr>
            </w:pPr>
            <w:r>
              <w:rPr>
                <w:rFonts w:hint="eastAsia" w:ascii="宋体" w:hAnsi="宋体" w:eastAsia="宋体" w:cs="Times New Roman"/>
                <w:color w:val="auto"/>
                <w:sz w:val="24"/>
              </w:rPr>
              <w:t>根据对现场调查及文献记载，项目区及周边分布有哺乳动物12种，隶属5目8科11属（详见附录）。</w:t>
            </w:r>
          </w:p>
          <w:p>
            <w:pPr>
              <w:spacing w:line="360" w:lineRule="auto"/>
              <w:ind w:firstLine="482"/>
              <w:rPr>
                <w:rFonts w:ascii="宋体" w:hAnsi="宋体" w:eastAsia="宋体" w:cs="Times New Roman"/>
                <w:b/>
                <w:color w:val="auto"/>
                <w:sz w:val="24"/>
              </w:rPr>
            </w:pPr>
            <w:r>
              <w:rPr>
                <w:rFonts w:hint="eastAsia" w:ascii="宋体" w:hAnsi="宋体" w:eastAsia="宋体" w:cs="Times New Roman"/>
                <w:b/>
                <w:color w:val="auto"/>
                <w:sz w:val="24"/>
              </w:rPr>
              <w:t>2）</w:t>
            </w:r>
            <w:r>
              <w:rPr>
                <w:rFonts w:ascii="宋体" w:hAnsi="宋体" w:eastAsia="宋体" w:cs="Times New Roman"/>
                <w:b/>
                <w:color w:val="auto"/>
                <w:sz w:val="24"/>
              </w:rPr>
              <w:t>区系特点</w:t>
            </w:r>
          </w:p>
          <w:p>
            <w:pPr>
              <w:spacing w:line="360" w:lineRule="auto"/>
              <w:ind w:firstLine="482"/>
              <w:rPr>
                <w:rFonts w:ascii="宋体" w:hAnsi="宋体" w:eastAsia="宋体" w:cs="Times New Roman"/>
                <w:b/>
                <w:color w:val="auto"/>
                <w:sz w:val="24"/>
              </w:rPr>
            </w:pPr>
            <w:bookmarkStart w:id="13" w:name="_Toc52191726"/>
            <w:r>
              <w:rPr>
                <w:rFonts w:ascii="Times New Roman" w:hAnsi="Times New Roman" w:eastAsia="宋体" w:cs="Times New Roman"/>
                <w:b/>
                <w:color w:val="auto"/>
                <w:sz w:val="24"/>
              </w:rPr>
              <w:t>①</w:t>
            </w:r>
            <w:r>
              <w:rPr>
                <w:rFonts w:ascii="宋体" w:hAnsi="宋体" w:eastAsia="宋体" w:cs="Times New Roman"/>
                <w:b/>
                <w:color w:val="auto"/>
                <w:sz w:val="24"/>
              </w:rPr>
              <w:t>两栖类</w:t>
            </w:r>
          </w:p>
          <w:p>
            <w:pPr>
              <w:spacing w:line="360" w:lineRule="auto"/>
              <w:ind w:firstLine="480"/>
              <w:rPr>
                <w:rFonts w:ascii="宋体" w:hAnsi="宋体" w:eastAsia="宋体" w:cs="Times New Roman"/>
                <w:color w:val="auto"/>
                <w:sz w:val="24"/>
              </w:rPr>
            </w:pPr>
            <w:r>
              <w:rPr>
                <w:rFonts w:hint="eastAsia" w:ascii="宋体" w:hAnsi="宋体" w:eastAsia="宋体" w:cs="Times New Roman"/>
                <w:color w:val="auto"/>
                <w:sz w:val="24"/>
              </w:rPr>
              <w:t>在项目区及周边分布的4种两栖动物全部为东洋界成分，迄今未发现有古北界成分和古北东洋两界成分分布。在4种两栖动物中，东洋界广布种占优势有2种,占全部两栖类种数的50%；西南区的物种,有1种，占全部两栖类种数的25%；华南区种类有1种，占全部两栖类种数的25%。无华中区种类和华中—华南区种类分布。</w:t>
            </w:r>
          </w:p>
          <w:p>
            <w:pPr>
              <w:spacing w:line="360" w:lineRule="auto"/>
              <w:ind w:firstLine="482"/>
              <w:rPr>
                <w:rFonts w:ascii="宋体" w:hAnsi="宋体" w:eastAsia="宋体" w:cs="Times New Roman"/>
                <w:b/>
                <w:color w:val="auto"/>
                <w:sz w:val="24"/>
              </w:rPr>
            </w:pPr>
            <w:r>
              <w:rPr>
                <w:rFonts w:ascii="Times New Roman" w:hAnsi="Times New Roman" w:eastAsia="宋体" w:cs="Times New Roman"/>
                <w:b/>
                <w:color w:val="auto"/>
                <w:sz w:val="24"/>
              </w:rPr>
              <w:t>②</w:t>
            </w:r>
            <w:r>
              <w:rPr>
                <w:rFonts w:ascii="宋体" w:hAnsi="宋体" w:eastAsia="宋体" w:cs="Times New Roman"/>
                <w:b/>
                <w:color w:val="auto"/>
                <w:sz w:val="24"/>
              </w:rPr>
              <w:t>爬行类</w:t>
            </w:r>
          </w:p>
          <w:p>
            <w:pPr>
              <w:spacing w:line="360" w:lineRule="auto"/>
              <w:ind w:firstLine="480"/>
              <w:rPr>
                <w:rFonts w:ascii="宋体" w:hAnsi="宋体" w:eastAsia="宋体" w:cs="Times New Roman"/>
                <w:color w:val="auto"/>
                <w:sz w:val="24"/>
              </w:rPr>
            </w:pPr>
            <w:r>
              <w:rPr>
                <w:rFonts w:hint="eastAsia" w:ascii="宋体" w:hAnsi="宋体" w:eastAsia="宋体" w:cs="Times New Roman"/>
                <w:color w:val="auto"/>
                <w:sz w:val="24"/>
              </w:rPr>
              <w:t>在项目区及周边分布的8种爬行动物中，东洋界种类占优势，有7种，占全部爬行动物种数的87.5%；古北东洋两界种类有1种，占全部爬行动物种数的12.5%；未发现有古北界成分分布。在东洋界种类中，西南区种类占优势，有4种，占全部东洋界爬行动物种数的57.14%；华南区种类有2种，占全部东洋界爬行动物种数的28.57%；华中华南区种类有1种，占全部东洋界爬行动物种数的14.28%；无华中区种类分布。</w:t>
            </w:r>
          </w:p>
          <w:p>
            <w:pPr>
              <w:spacing w:line="360" w:lineRule="auto"/>
              <w:ind w:firstLine="482"/>
              <w:rPr>
                <w:rFonts w:ascii="宋体" w:hAnsi="宋体" w:eastAsia="宋体" w:cs="Times New Roman"/>
                <w:b/>
                <w:color w:val="auto"/>
                <w:sz w:val="24"/>
              </w:rPr>
            </w:pPr>
            <w:r>
              <w:rPr>
                <w:rFonts w:ascii="Times New Roman" w:hAnsi="Times New Roman" w:eastAsia="宋体" w:cs="Times New Roman"/>
                <w:b/>
                <w:color w:val="auto"/>
                <w:sz w:val="24"/>
              </w:rPr>
              <w:t>③</w:t>
            </w:r>
            <w:r>
              <w:rPr>
                <w:rFonts w:ascii="宋体" w:hAnsi="宋体" w:eastAsia="宋体" w:cs="Times New Roman"/>
                <w:b/>
                <w:color w:val="auto"/>
                <w:sz w:val="24"/>
              </w:rPr>
              <w:t>鸟类</w:t>
            </w:r>
          </w:p>
          <w:p>
            <w:pPr>
              <w:spacing w:line="360" w:lineRule="auto"/>
              <w:ind w:firstLine="480"/>
              <w:rPr>
                <w:rFonts w:ascii="宋体" w:hAnsi="宋体" w:eastAsia="宋体" w:cs="Times New Roman"/>
                <w:color w:val="auto"/>
                <w:sz w:val="24"/>
              </w:rPr>
            </w:pPr>
            <w:r>
              <w:rPr>
                <w:rFonts w:ascii="宋体" w:hAnsi="宋体" w:eastAsia="宋体" w:cs="Times New Roman"/>
                <w:color w:val="auto"/>
                <w:sz w:val="24"/>
              </w:rPr>
              <w:t>资料分析表明，无论从全部鸟类来看还是从繁殖鸟类来看，东洋种都占优势，在一半以上(见表</w:t>
            </w:r>
            <w:r>
              <w:rPr>
                <w:rFonts w:hint="eastAsia" w:ascii="Times New Roman" w:hAnsi="Times New Roman" w:eastAsia="宋体" w:cs="Times New Roman"/>
                <w:color w:val="auto"/>
                <w:sz w:val="24"/>
              </w:rPr>
              <w:t>3.3-5</w:t>
            </w:r>
            <w:r>
              <w:rPr>
                <w:rFonts w:ascii="宋体" w:hAnsi="宋体" w:eastAsia="宋体" w:cs="Times New Roman"/>
                <w:color w:val="auto"/>
                <w:sz w:val="24"/>
              </w:rPr>
              <w:t>)，此外，</w:t>
            </w:r>
            <w:r>
              <w:rPr>
                <w:rFonts w:hint="eastAsia" w:ascii="宋体" w:hAnsi="宋体" w:eastAsia="宋体" w:cs="Times New Roman"/>
                <w:color w:val="auto"/>
                <w:sz w:val="24"/>
              </w:rPr>
              <w:t>古北界</w:t>
            </w:r>
            <w:r>
              <w:rPr>
                <w:rFonts w:ascii="宋体" w:hAnsi="宋体" w:eastAsia="宋体" w:cs="Times New Roman"/>
                <w:color w:val="auto"/>
                <w:sz w:val="24"/>
              </w:rPr>
              <w:t>种占有相当的比例。</w:t>
            </w:r>
          </w:p>
          <w:p>
            <w:pPr>
              <w:widowControl w:val="0"/>
              <w:adjustRightInd w:val="0"/>
              <w:snapToGrid w:val="0"/>
              <w:spacing w:line="240" w:lineRule="auto"/>
              <w:ind w:left="0" w:leftChars="0" w:right="0" w:rightChars="0" w:firstLine="0" w:firstLineChars="0"/>
              <w:jc w:val="center"/>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表3.3-5   评价区鸟类区系从属分析</w:t>
            </w:r>
          </w:p>
          <w:tbl>
            <w:tblPr>
              <w:tblStyle w:val="18"/>
              <w:tblW w:w="5000"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87"/>
              <w:gridCol w:w="1819"/>
              <w:gridCol w:w="1819"/>
              <w:gridCol w:w="1819"/>
              <w:gridCol w:w="181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50" w:type="pct"/>
                  <w:tcBorders>
                    <w:tl2br w:val="nil"/>
                    <w:tr2bl w:val="nil"/>
                  </w:tcBorders>
                  <w:noWrap w:val="0"/>
                  <w:vAlign w:val="center"/>
                </w:tcPr>
                <w:p>
                  <w:pPr>
                    <w:ind w:left="0" w:leftChars="0" w:right="0" w:rightChars="0" w:firstLine="0" w:firstLineChars="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区系从属</w:t>
                  </w:r>
                </w:p>
              </w:tc>
              <w:tc>
                <w:tcPr>
                  <w:tcW w:w="1088"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东洋界</w:t>
                  </w:r>
                </w:p>
              </w:tc>
              <w:tc>
                <w:tcPr>
                  <w:tcW w:w="1088"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古</w:t>
                  </w:r>
                  <w:r>
                    <w:rPr>
                      <w:rFonts w:ascii="Times New Roman" w:hAnsi="Times New Roman" w:eastAsia="宋体" w:cs="Times New Roman"/>
                      <w:color w:val="auto"/>
                      <w:szCs w:val="21"/>
                    </w:rPr>
                    <w:cr/>
                  </w:r>
                  <w:r>
                    <w:rPr>
                      <w:rFonts w:ascii="Times New Roman" w:hAnsi="Times New Roman" w:eastAsia="宋体" w:cs="Times New Roman"/>
                      <w:color w:val="auto"/>
                      <w:szCs w:val="21"/>
                    </w:rPr>
                    <w:t>界</w:t>
                  </w:r>
                </w:p>
              </w:tc>
              <w:tc>
                <w:tcPr>
                  <w:tcW w:w="1088"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广</w:t>
                  </w:r>
                  <w:r>
                    <w:rPr>
                      <w:rFonts w:ascii="Times New Roman" w:hAnsi="Times New Roman" w:eastAsia="宋体" w:cs="Times New Roman"/>
                      <w:color w:val="auto"/>
                      <w:szCs w:val="21"/>
                    </w:rPr>
                    <w:cr/>
                  </w:r>
                  <w:r>
                    <w:rPr>
                      <w:rFonts w:ascii="Times New Roman" w:hAnsi="Times New Roman" w:eastAsia="宋体" w:cs="Times New Roman"/>
                      <w:color w:val="auto"/>
                      <w:szCs w:val="21"/>
                    </w:rPr>
                    <w:t>种</w:t>
                  </w:r>
                </w:p>
              </w:tc>
              <w:tc>
                <w:tcPr>
                  <w:tcW w:w="1088"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小计</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50" w:type="pct"/>
                  <w:tcBorders>
                    <w:tl2br w:val="nil"/>
                    <w:tr2bl w:val="nil"/>
                  </w:tcBorders>
                  <w:noWrap w:val="0"/>
                  <w:vAlign w:val="center"/>
                </w:tcPr>
                <w:p>
                  <w:pPr>
                    <w:ind w:left="0" w:leftChars="0" w:right="0" w:rightChars="0" w:firstLine="0" w:firstLineChars="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种数</w:t>
                  </w:r>
                </w:p>
              </w:tc>
              <w:tc>
                <w:tcPr>
                  <w:tcW w:w="1088"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Times New Roman" w:hAnsi="Times New Roman" w:eastAsia="宋体" w:cs="Times New Roman"/>
                      <w:color w:val="auto"/>
                      <w:szCs w:val="21"/>
                    </w:rPr>
                  </w:pPr>
                  <w:r>
                    <w:rPr>
                      <w:rFonts w:ascii="Times New Roman" w:hAnsi="Times New Roman" w:eastAsia="宋体" w:cs="Times New Roman"/>
                      <w:color w:val="auto"/>
                      <w:szCs w:val="21"/>
                    </w:rPr>
                    <w:t>27</w:t>
                  </w:r>
                </w:p>
              </w:tc>
              <w:tc>
                <w:tcPr>
                  <w:tcW w:w="1088"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Times New Roman" w:hAnsi="Times New Roman" w:eastAsia="宋体" w:cs="Times New Roman"/>
                      <w:color w:val="auto"/>
                      <w:szCs w:val="21"/>
                    </w:rPr>
                  </w:pPr>
                  <w:r>
                    <w:rPr>
                      <w:rFonts w:ascii="Times New Roman" w:hAnsi="Times New Roman" w:eastAsia="宋体" w:cs="Times New Roman"/>
                      <w:color w:val="auto"/>
                      <w:szCs w:val="21"/>
                    </w:rPr>
                    <w:t>18</w:t>
                  </w:r>
                </w:p>
              </w:tc>
              <w:tc>
                <w:tcPr>
                  <w:tcW w:w="1088"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w:t>
                  </w:r>
                </w:p>
              </w:tc>
              <w:tc>
                <w:tcPr>
                  <w:tcW w:w="1088"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Times New Roman" w:hAnsi="Times New Roman" w:eastAsia="宋体" w:cs="Times New Roman"/>
                      <w:color w:val="auto"/>
                      <w:szCs w:val="21"/>
                    </w:rPr>
                  </w:pPr>
                  <w:r>
                    <w:rPr>
                      <w:rFonts w:ascii="Times New Roman" w:hAnsi="Times New Roman" w:eastAsia="宋体" w:cs="Times New Roman"/>
                      <w:color w:val="auto"/>
                      <w:szCs w:val="21"/>
                    </w:rPr>
                    <w:cr/>
                  </w:r>
                  <w:r>
                    <w:rPr>
                      <w:rFonts w:ascii="Times New Roman" w:hAnsi="Times New Roman" w:eastAsia="宋体" w:cs="Times New Roman"/>
                      <w:color w:val="auto"/>
                      <w:szCs w:val="21"/>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50" w:type="pct"/>
                  <w:tcBorders>
                    <w:tl2br w:val="nil"/>
                    <w:tr2bl w:val="nil"/>
                  </w:tcBorders>
                  <w:noWrap w:val="0"/>
                  <w:vAlign w:val="center"/>
                </w:tcPr>
                <w:p>
                  <w:pPr>
                    <w:ind w:left="0" w:leftChars="0" w:right="0" w:rightChars="0" w:firstLine="0" w:firstLineChars="0"/>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1088"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54.00</w:t>
                  </w:r>
                </w:p>
              </w:tc>
              <w:tc>
                <w:tcPr>
                  <w:tcW w:w="1088"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Times New Roman" w:hAnsi="Times New Roman" w:eastAsia="宋体" w:cs="Times New Roman"/>
                      <w:color w:val="auto"/>
                      <w:szCs w:val="21"/>
                    </w:rPr>
                  </w:pP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6.00</w:t>
                  </w:r>
                </w:p>
              </w:tc>
              <w:tc>
                <w:tcPr>
                  <w:tcW w:w="1088"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10.00</w:t>
                  </w:r>
                </w:p>
              </w:tc>
              <w:tc>
                <w:tcPr>
                  <w:tcW w:w="1088" w:type="pct"/>
                  <w:tcBorders>
                    <w:tl2br w:val="nil"/>
                    <w:tr2bl w:val="nil"/>
                  </w:tcBorders>
                  <w:noWrap/>
                  <w:tcMar>
                    <w:top w:w="15" w:type="dxa"/>
                    <w:left w:w="15" w:type="dxa"/>
                    <w:bottom w:w="0" w:type="dxa"/>
                    <w:right w:w="15" w:type="dxa"/>
                  </w:tcMar>
                  <w:vAlign w:val="center"/>
                </w:tcPr>
                <w:p>
                  <w:pPr>
                    <w:ind w:left="0" w:leftChars="0" w:right="0" w:rightChars="0" w:firstLine="0" w:firstLineChars="0"/>
                    <w:jc w:val="center"/>
                    <w:rPr>
                      <w:rFonts w:ascii="Times New Roman" w:hAnsi="Times New Roman" w:eastAsia="宋体" w:cs="Times New Roman"/>
                      <w:color w:val="auto"/>
                      <w:szCs w:val="21"/>
                    </w:rPr>
                  </w:pPr>
                  <w:r>
                    <w:rPr>
                      <w:rFonts w:ascii="Times New Roman" w:hAnsi="Times New Roman" w:eastAsia="宋体" w:cs="Times New Roman"/>
                      <w:color w:val="auto"/>
                      <w:szCs w:val="21"/>
                    </w:rPr>
                    <w:t>100.0</w:t>
                  </w:r>
                </w:p>
              </w:tc>
            </w:tr>
          </w:tbl>
          <w:p>
            <w:pPr>
              <w:spacing w:line="360" w:lineRule="auto"/>
              <w:ind w:firstLine="482"/>
              <w:rPr>
                <w:rFonts w:ascii="宋体" w:hAnsi="宋体" w:eastAsia="宋体" w:cs="Times New Roman"/>
                <w:b/>
                <w:color w:val="auto"/>
                <w:sz w:val="24"/>
              </w:rPr>
            </w:pPr>
            <w:r>
              <w:rPr>
                <w:rFonts w:ascii="Times New Roman" w:hAnsi="Times New Roman" w:eastAsia="宋体" w:cs="Times New Roman"/>
                <w:b/>
                <w:color w:val="auto"/>
                <w:sz w:val="24"/>
              </w:rPr>
              <w:t>④</w:t>
            </w:r>
            <w:r>
              <w:rPr>
                <w:rFonts w:ascii="宋体" w:hAnsi="宋体" w:eastAsia="宋体" w:cs="Times New Roman"/>
                <w:b/>
                <w:color w:val="auto"/>
                <w:sz w:val="24"/>
              </w:rPr>
              <w:t>哺乳类</w:t>
            </w:r>
          </w:p>
          <w:p>
            <w:pPr>
              <w:spacing w:line="360" w:lineRule="auto"/>
              <w:ind w:firstLine="480"/>
              <w:rPr>
                <w:rFonts w:ascii="Times New Roman" w:hAnsi="Times New Roman" w:eastAsia="宋体" w:cs="Times New Roman"/>
                <w:color w:val="auto"/>
                <w:sz w:val="24"/>
              </w:rPr>
            </w:pPr>
            <w:r>
              <w:rPr>
                <w:rFonts w:hint="eastAsia" w:ascii="宋体" w:hAnsi="宋体" w:eastAsia="宋体" w:cs="Times New Roman"/>
                <w:color w:val="auto"/>
                <w:sz w:val="24"/>
              </w:rPr>
              <w:t>在项目区及周边分布的12种哺乳动物中，东洋界种类占绝对优势，有6种，占全部哺乳动物种数的50%；古北东洋两界共有种类有3种，占全部哺乳动物种数的25%；未发现有古北界种类分布。华南区种类1种，西南区种类有2种，占全部东洋界种数的33.33%；无华中区种类分布；也无华中华南区种类分布。</w:t>
            </w:r>
          </w:p>
          <w:p>
            <w:pPr>
              <w:spacing w:line="360" w:lineRule="auto"/>
              <w:rPr>
                <w:rFonts w:ascii="Times New Roman" w:hAnsi="Times New Roman" w:eastAsia="宋体" w:cs="Times New Roman"/>
                <w:b/>
                <w:color w:val="auto"/>
                <w:sz w:val="24"/>
              </w:rPr>
            </w:pPr>
            <w:r>
              <w:rPr>
                <w:rFonts w:hint="eastAsia" w:ascii="Times New Roman" w:hAnsi="Times New Roman" w:eastAsia="宋体" w:cs="Times New Roman"/>
                <w:b/>
                <w:color w:val="auto"/>
                <w:sz w:val="24"/>
              </w:rPr>
              <w:t>（3）</w:t>
            </w:r>
            <w:r>
              <w:rPr>
                <w:rFonts w:ascii="Times New Roman" w:hAnsi="Times New Roman" w:eastAsia="宋体" w:cs="Times New Roman"/>
                <w:b/>
                <w:color w:val="auto"/>
                <w:sz w:val="24"/>
              </w:rPr>
              <w:t>珍稀濒危保护动物</w:t>
            </w:r>
            <w:bookmarkEnd w:id="13"/>
          </w:p>
          <w:p>
            <w:pPr>
              <w:spacing w:line="360" w:lineRule="auto"/>
              <w:ind w:firstLine="482"/>
              <w:rPr>
                <w:rFonts w:ascii="Times New Roman" w:hAnsi="Times New Roman" w:eastAsia="宋体" w:cs="Times New Roman"/>
                <w:b/>
                <w:color w:val="auto"/>
                <w:sz w:val="24"/>
              </w:rPr>
            </w:pPr>
            <w:r>
              <w:rPr>
                <w:rFonts w:ascii="Times New Roman" w:hAnsi="Times New Roman" w:eastAsia="宋体" w:cs="Times New Roman"/>
                <w:b/>
                <w:color w:val="auto"/>
                <w:sz w:val="24"/>
              </w:rPr>
              <w:t>①两栖动物</w:t>
            </w:r>
          </w:p>
          <w:p>
            <w:pPr>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在</w:t>
            </w:r>
            <w:r>
              <w:rPr>
                <w:rFonts w:hint="eastAsia" w:ascii="宋体" w:hAnsi="宋体" w:eastAsia="宋体" w:cs="Times New Roman"/>
                <w:color w:val="auto"/>
                <w:sz w:val="24"/>
              </w:rPr>
              <w:t>项目区及周边</w:t>
            </w:r>
            <w:r>
              <w:rPr>
                <w:rFonts w:ascii="Times New Roman" w:hAnsi="Times New Roman" w:eastAsia="宋体" w:cs="Times New Roman"/>
                <w:color w:val="auto"/>
                <w:sz w:val="24"/>
              </w:rPr>
              <w:t>分布的4种两栖动物中，无国家级和云南省级重点保护野生动物分布；也无珍稀濒危动物分布。</w:t>
            </w:r>
          </w:p>
          <w:p>
            <w:pPr>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调查未发现该地区特有种类分布。</w:t>
            </w:r>
          </w:p>
          <w:p>
            <w:pPr>
              <w:spacing w:line="360" w:lineRule="auto"/>
              <w:ind w:firstLine="482"/>
              <w:rPr>
                <w:rFonts w:ascii="Times New Roman" w:hAnsi="Times New Roman" w:eastAsia="宋体" w:cs="Times New Roman"/>
                <w:b/>
                <w:color w:val="auto"/>
                <w:sz w:val="24"/>
              </w:rPr>
            </w:pPr>
            <w:r>
              <w:rPr>
                <w:rFonts w:ascii="Times New Roman" w:hAnsi="Times New Roman" w:eastAsia="宋体" w:cs="Times New Roman"/>
                <w:b/>
                <w:color w:val="auto"/>
                <w:sz w:val="24"/>
              </w:rPr>
              <w:t>②爬行动物</w:t>
            </w:r>
          </w:p>
          <w:p>
            <w:pPr>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在</w:t>
            </w:r>
            <w:r>
              <w:rPr>
                <w:rFonts w:hint="eastAsia" w:ascii="宋体" w:hAnsi="宋体" w:eastAsia="宋体" w:cs="Times New Roman"/>
                <w:color w:val="auto"/>
                <w:sz w:val="24"/>
              </w:rPr>
              <w:t>项目区及周边</w:t>
            </w:r>
            <w:r>
              <w:rPr>
                <w:rFonts w:ascii="Times New Roman" w:hAnsi="Times New Roman" w:eastAsia="宋体" w:cs="Times New Roman"/>
                <w:color w:val="auto"/>
                <w:sz w:val="24"/>
              </w:rPr>
              <w:t>分布的8种爬行动物中，无国家级重点保护野生动物分布，仅有1种，即眼镜蛇</w:t>
            </w:r>
            <w:r>
              <w:rPr>
                <w:rFonts w:ascii="Times New Roman" w:hAnsi="Times New Roman" w:eastAsia="宋体" w:cs="Times New Roman"/>
                <w:i/>
                <w:color w:val="auto"/>
                <w:sz w:val="24"/>
              </w:rPr>
              <w:t>Naja naja atra，</w:t>
            </w:r>
            <w:r>
              <w:rPr>
                <w:rFonts w:ascii="Times New Roman" w:hAnsi="Times New Roman" w:eastAsia="宋体" w:cs="Times New Roman"/>
                <w:color w:val="auto"/>
                <w:sz w:val="24"/>
              </w:rPr>
              <w:t>是云南省Ⅱ级重点保护野生动物，占全部爬行动物种数的12.5%。</w:t>
            </w:r>
          </w:p>
          <w:p>
            <w:pPr>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调查未发现该地区特有种类分布。</w:t>
            </w:r>
          </w:p>
          <w:p>
            <w:pPr>
              <w:spacing w:line="360" w:lineRule="auto"/>
              <w:ind w:firstLine="482"/>
              <w:rPr>
                <w:rFonts w:ascii="Times New Roman" w:hAnsi="Times New Roman" w:eastAsia="宋体" w:cs="Times New Roman"/>
                <w:b/>
                <w:color w:val="auto"/>
                <w:sz w:val="24"/>
              </w:rPr>
            </w:pPr>
            <w:r>
              <w:rPr>
                <w:rFonts w:ascii="Times New Roman" w:hAnsi="Times New Roman" w:eastAsia="宋体" w:cs="Times New Roman"/>
                <w:b/>
                <w:color w:val="auto"/>
                <w:sz w:val="24"/>
              </w:rPr>
              <w:t>③鸟类</w:t>
            </w:r>
          </w:p>
          <w:p>
            <w:pPr>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在所记录的</w:t>
            </w:r>
            <w:r>
              <w:rPr>
                <w:rFonts w:hint="eastAsia" w:ascii="Times New Roman" w:hAnsi="Times New Roman" w:eastAsia="宋体" w:cs="Times New Roman"/>
                <w:color w:val="auto"/>
                <w:sz w:val="24"/>
              </w:rPr>
              <w:t>50</w:t>
            </w:r>
            <w:r>
              <w:rPr>
                <w:rFonts w:ascii="Times New Roman" w:hAnsi="Times New Roman" w:eastAsia="宋体" w:cs="Times New Roman"/>
                <w:color w:val="auto"/>
                <w:sz w:val="24"/>
              </w:rPr>
              <w:t>种鸟类中，有国家重点保护鸟类</w:t>
            </w:r>
            <w:r>
              <w:rPr>
                <w:rFonts w:hint="eastAsia" w:ascii="Times New Roman" w:hAnsi="Times New Roman" w:eastAsia="宋体" w:cs="Times New Roman"/>
                <w:color w:val="auto"/>
                <w:sz w:val="24"/>
              </w:rPr>
              <w:t>2</w:t>
            </w:r>
            <w:r>
              <w:rPr>
                <w:rFonts w:ascii="Times New Roman" w:hAnsi="Times New Roman" w:eastAsia="宋体" w:cs="Times New Roman"/>
                <w:color w:val="auto"/>
                <w:sz w:val="24"/>
              </w:rPr>
              <w:t>种，全为Ⅱ级保护动物，仅占全部鸟类种数的</w:t>
            </w:r>
            <w:r>
              <w:rPr>
                <w:rFonts w:hint="eastAsia" w:ascii="Times New Roman" w:hAnsi="Times New Roman" w:eastAsia="宋体" w:cs="Times New Roman"/>
                <w:color w:val="auto"/>
                <w:sz w:val="24"/>
              </w:rPr>
              <w:t>4.00</w:t>
            </w:r>
            <w:r>
              <w:rPr>
                <w:rFonts w:ascii="Times New Roman" w:hAnsi="Times New Roman" w:eastAsia="宋体" w:cs="Times New Roman"/>
                <w:color w:val="auto"/>
                <w:sz w:val="24"/>
              </w:rPr>
              <w:t>%；全部为为猛禽类，其中鹰类</w:t>
            </w:r>
            <w:r>
              <w:rPr>
                <w:rFonts w:hint="eastAsia" w:ascii="Times New Roman" w:hAnsi="Times New Roman" w:eastAsia="宋体" w:cs="Times New Roman"/>
                <w:color w:val="auto"/>
                <w:sz w:val="24"/>
              </w:rPr>
              <w:t>1</w:t>
            </w:r>
            <w:r>
              <w:rPr>
                <w:rFonts w:ascii="Times New Roman" w:hAnsi="Times New Roman" w:eastAsia="宋体" w:cs="Times New Roman"/>
                <w:color w:val="auto"/>
                <w:sz w:val="24"/>
              </w:rPr>
              <w:t>种、鸮类1种，为常见的种类。</w:t>
            </w:r>
          </w:p>
          <w:p>
            <w:pPr>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上述种类中，猛禽活动范围较大，因工程影响区范围狭小，故实际分布数量稀少。调查未发现该地区特有种类分布。</w:t>
            </w:r>
          </w:p>
          <w:p>
            <w:pPr>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评价区分布的国家重点保护鸟类参见表</w:t>
            </w:r>
            <w:r>
              <w:rPr>
                <w:rFonts w:hint="eastAsia" w:ascii="Times New Roman" w:hAnsi="Times New Roman" w:eastAsia="宋体" w:cs="Times New Roman"/>
                <w:color w:val="auto"/>
                <w:sz w:val="24"/>
              </w:rPr>
              <w:t>3.3-6</w:t>
            </w:r>
            <w:r>
              <w:rPr>
                <w:rFonts w:ascii="Times New Roman" w:hAnsi="Times New Roman" w:eastAsia="宋体" w:cs="Times New Roman"/>
                <w:color w:val="auto"/>
                <w:sz w:val="24"/>
              </w:rPr>
              <w:t>。</w:t>
            </w:r>
          </w:p>
          <w:p>
            <w:pPr>
              <w:widowControl w:val="0"/>
              <w:adjustRightInd w:val="0"/>
              <w:snapToGrid w:val="0"/>
              <w:spacing w:line="240" w:lineRule="auto"/>
              <w:ind w:left="0" w:leftChars="0" w:right="0" w:rightChars="0" w:firstLine="0" w:firstLineChars="0"/>
              <w:jc w:val="center"/>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表3.3-6   评价区国家重点保护鸟类名录</w:t>
            </w:r>
          </w:p>
          <w:tbl>
            <w:tblPr>
              <w:tblStyle w:val="18"/>
              <w:tblW w:w="5000"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94"/>
              <w:gridCol w:w="1843"/>
              <w:gridCol w:w="3780"/>
              <w:gridCol w:w="184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35" w:type="pct"/>
                  <w:tcBorders>
                    <w:tl2br w:val="nil"/>
                    <w:tr2bl w:val="nil"/>
                  </w:tcBorders>
                  <w:noWrap w:val="0"/>
                  <w:vAlign w:val="center"/>
                </w:tcPr>
                <w:p>
                  <w:pPr>
                    <w:ind w:firstLine="42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val="zh-CN"/>
                    </w:rPr>
                    <w:t>序号</w:t>
                  </w:r>
                </w:p>
              </w:tc>
              <w:tc>
                <w:tcPr>
                  <w:tcW w:w="1102" w:type="pct"/>
                  <w:tcBorders>
                    <w:tl2br w:val="nil"/>
                    <w:tr2bl w:val="nil"/>
                  </w:tcBorders>
                  <w:noWrap w:val="0"/>
                  <w:vAlign w:val="center"/>
                </w:tcPr>
                <w:p>
                  <w:pPr>
                    <w:ind w:firstLine="42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val="zh-CN"/>
                    </w:rPr>
                    <w:t>种</w:t>
                  </w:r>
                  <w:r>
                    <w:rPr>
                      <w:rFonts w:ascii="Times New Roman" w:hAnsi="Times New Roman" w:eastAsia="宋体" w:cs="Times New Roman"/>
                      <w:color w:val="auto"/>
                      <w:kern w:val="0"/>
                      <w:szCs w:val="21"/>
                    </w:rPr>
                    <w:t xml:space="preserve">  </w:t>
                  </w:r>
                  <w:r>
                    <w:rPr>
                      <w:rFonts w:ascii="Times New Roman" w:hAnsi="Times New Roman" w:eastAsia="宋体" w:cs="Times New Roman"/>
                      <w:color w:val="auto"/>
                      <w:kern w:val="0"/>
                      <w:szCs w:val="21"/>
                      <w:lang w:val="zh-CN"/>
                    </w:rPr>
                    <w:t>类</w:t>
                  </w:r>
                </w:p>
              </w:tc>
              <w:tc>
                <w:tcPr>
                  <w:tcW w:w="2261" w:type="pct"/>
                  <w:tcBorders>
                    <w:tl2br w:val="nil"/>
                    <w:tr2bl w:val="nil"/>
                  </w:tcBorders>
                  <w:noWrap w:val="0"/>
                  <w:vAlign w:val="center"/>
                </w:tcPr>
                <w:p>
                  <w:pPr>
                    <w:ind w:firstLine="42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val="zh-CN"/>
                    </w:rPr>
                    <w:t>学</w:t>
                  </w:r>
                  <w:r>
                    <w:rPr>
                      <w:rFonts w:ascii="Times New Roman" w:hAnsi="Times New Roman" w:eastAsia="宋体" w:cs="Times New Roman"/>
                      <w:color w:val="auto"/>
                      <w:kern w:val="0"/>
                      <w:szCs w:val="21"/>
                    </w:rPr>
                    <w:t xml:space="preserve">  </w:t>
                  </w:r>
                  <w:r>
                    <w:rPr>
                      <w:rFonts w:ascii="Times New Roman" w:hAnsi="Times New Roman" w:eastAsia="宋体" w:cs="Times New Roman"/>
                      <w:color w:val="auto"/>
                      <w:kern w:val="0"/>
                      <w:szCs w:val="21"/>
                      <w:lang w:val="zh-CN"/>
                    </w:rPr>
                    <w:t>名</w:t>
                  </w:r>
                </w:p>
              </w:tc>
              <w:tc>
                <w:tcPr>
                  <w:tcW w:w="1102" w:type="pct"/>
                  <w:tcBorders>
                    <w:tl2br w:val="nil"/>
                    <w:tr2bl w:val="nil"/>
                  </w:tcBorders>
                  <w:noWrap w:val="0"/>
                  <w:vAlign w:val="center"/>
                </w:tcPr>
                <w:p>
                  <w:pPr>
                    <w:ind w:firstLine="42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val="zh-CN"/>
                    </w:rPr>
                    <w:t>保护级别</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35" w:type="pct"/>
                  <w:tcBorders>
                    <w:tl2br w:val="nil"/>
                    <w:tr2bl w:val="nil"/>
                  </w:tcBorders>
                  <w:noWrap w:val="0"/>
                  <w:vAlign w:val="center"/>
                </w:tcPr>
                <w:p>
                  <w:pPr>
                    <w:ind w:firstLine="42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p>
              </w:tc>
              <w:tc>
                <w:tcPr>
                  <w:tcW w:w="1102" w:type="pct"/>
                  <w:tcBorders>
                    <w:tl2br w:val="nil"/>
                    <w:tr2bl w:val="nil"/>
                  </w:tcBorders>
                  <w:noWrap w:val="0"/>
                  <w:vAlign w:val="center"/>
                </w:tcPr>
                <w:p>
                  <w:pPr>
                    <w:ind w:firstLine="42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红隼</w:t>
                  </w:r>
                </w:p>
              </w:tc>
              <w:tc>
                <w:tcPr>
                  <w:tcW w:w="2261" w:type="pct"/>
                  <w:tcBorders>
                    <w:tl2br w:val="nil"/>
                    <w:tr2bl w:val="nil"/>
                  </w:tcBorders>
                  <w:noWrap w:val="0"/>
                  <w:vAlign w:val="center"/>
                </w:tcPr>
                <w:p>
                  <w:pPr>
                    <w:ind w:firstLine="420"/>
                    <w:jc w:val="center"/>
                    <w:rPr>
                      <w:rFonts w:ascii="Times New Roman" w:hAnsi="Times New Roman" w:eastAsia="宋体" w:cs="Times New Roman"/>
                      <w:i/>
                      <w:iCs/>
                      <w:color w:val="auto"/>
                      <w:szCs w:val="21"/>
                    </w:rPr>
                  </w:pPr>
                  <w:r>
                    <w:rPr>
                      <w:rFonts w:ascii="Times New Roman" w:hAnsi="Times New Roman" w:eastAsia="宋体" w:cs="Times New Roman"/>
                      <w:i/>
                      <w:iCs/>
                      <w:color w:val="auto"/>
                      <w:szCs w:val="21"/>
                    </w:rPr>
                    <w:t>Fa</w:t>
                  </w:r>
                  <w:r>
                    <w:rPr>
                      <w:rFonts w:ascii="Times New Roman" w:hAnsi="Times New Roman" w:eastAsia="宋体" w:cs="Times New Roman"/>
                      <w:i/>
                      <w:iCs/>
                      <w:color w:val="auto"/>
                      <w:szCs w:val="21"/>
                    </w:rPr>
                    <w:cr/>
                  </w:r>
                  <w:r>
                    <w:rPr>
                      <w:rFonts w:ascii="Times New Roman" w:hAnsi="Times New Roman" w:eastAsia="宋体" w:cs="Times New Roman"/>
                      <w:i/>
                      <w:iCs/>
                      <w:color w:val="auto"/>
                      <w:szCs w:val="21"/>
                    </w:rPr>
                    <w:cr/>
                  </w:r>
                  <w:r>
                    <w:rPr>
                      <w:rFonts w:ascii="Times New Roman" w:hAnsi="Times New Roman" w:eastAsia="宋体" w:cs="Times New Roman"/>
                      <w:i/>
                      <w:iCs/>
                      <w:color w:val="auto"/>
                      <w:szCs w:val="21"/>
                    </w:rPr>
                    <w:t>o tinnunculus</w:t>
                  </w:r>
                </w:p>
              </w:tc>
              <w:tc>
                <w:tcPr>
                  <w:tcW w:w="1102" w:type="pct"/>
                  <w:tcBorders>
                    <w:tl2br w:val="nil"/>
                    <w:tr2bl w:val="nil"/>
                  </w:tcBorders>
                  <w:noWrap w:val="0"/>
                  <w:vAlign w:val="center"/>
                </w:tcPr>
                <w:p>
                  <w:pPr>
                    <w:ind w:firstLine="420"/>
                    <w:jc w:val="center"/>
                    <w:rPr>
                      <w:rFonts w:ascii="Times New Roman" w:hAnsi="Times New Roman" w:eastAsia="宋体" w:cs="Times New Roman"/>
                      <w:color w:val="auto"/>
                      <w:szCs w:val="21"/>
                    </w:rPr>
                  </w:pPr>
                  <w:r>
                    <w:rPr>
                      <w:rFonts w:ascii="Times New Roman" w:hAnsi="Times New Roman" w:eastAsia="宋体" w:cs="Times New Roman"/>
                      <w:color w:val="auto"/>
                      <w:szCs w:val="21"/>
                    </w:rPr>
                    <w:t>Ⅱ</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35" w:type="pct"/>
                  <w:tcBorders>
                    <w:tl2br w:val="nil"/>
                    <w:tr2bl w:val="nil"/>
                  </w:tcBorders>
                  <w:noWrap w:val="0"/>
                  <w:vAlign w:val="center"/>
                </w:tcPr>
                <w:p>
                  <w:pPr>
                    <w:ind w:firstLine="42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p>
              </w:tc>
              <w:tc>
                <w:tcPr>
                  <w:tcW w:w="1102" w:type="pct"/>
                  <w:tcBorders>
                    <w:tl2br w:val="nil"/>
                    <w:tr2bl w:val="nil"/>
                  </w:tcBorders>
                  <w:noWrap w:val="0"/>
                  <w:vAlign w:val="center"/>
                </w:tcPr>
                <w:p>
                  <w:pPr>
                    <w:ind w:firstLine="42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斑头鸺鹠</w:t>
                  </w:r>
                </w:p>
              </w:tc>
              <w:tc>
                <w:tcPr>
                  <w:tcW w:w="2261" w:type="pct"/>
                  <w:tcBorders>
                    <w:tl2br w:val="nil"/>
                    <w:tr2bl w:val="nil"/>
                  </w:tcBorders>
                  <w:noWrap w:val="0"/>
                  <w:vAlign w:val="center"/>
                </w:tcPr>
                <w:p>
                  <w:pPr>
                    <w:ind w:firstLine="420"/>
                    <w:jc w:val="center"/>
                    <w:rPr>
                      <w:rFonts w:ascii="Times New Roman" w:hAnsi="Times New Roman" w:eastAsia="宋体" w:cs="Times New Roman"/>
                      <w:i/>
                      <w:iCs/>
                      <w:color w:val="auto"/>
                      <w:szCs w:val="21"/>
                    </w:rPr>
                  </w:pPr>
                  <w:r>
                    <w:rPr>
                      <w:rFonts w:ascii="Times New Roman" w:hAnsi="Times New Roman" w:eastAsia="宋体" w:cs="Times New Roman"/>
                      <w:i/>
                      <w:iCs/>
                      <w:color w:val="auto"/>
                      <w:szCs w:val="21"/>
                    </w:rPr>
                    <w:t>Glaucid</w:t>
                  </w:r>
                  <w:r>
                    <w:rPr>
                      <w:rFonts w:ascii="Times New Roman" w:hAnsi="Times New Roman" w:eastAsia="宋体" w:cs="Times New Roman"/>
                      <w:i/>
                      <w:iCs/>
                      <w:color w:val="auto"/>
                      <w:szCs w:val="21"/>
                    </w:rPr>
                    <w:cr/>
                  </w:r>
                  <w:r>
                    <w:rPr>
                      <w:rFonts w:ascii="Times New Roman" w:hAnsi="Times New Roman" w:eastAsia="宋体" w:cs="Times New Roman"/>
                      <w:i/>
                      <w:iCs/>
                      <w:color w:val="auto"/>
                      <w:szCs w:val="21"/>
                    </w:rPr>
                    <w:t>um cuculoides</w:t>
                  </w:r>
                </w:p>
              </w:tc>
              <w:tc>
                <w:tcPr>
                  <w:tcW w:w="1102" w:type="pct"/>
                  <w:tcBorders>
                    <w:tl2br w:val="nil"/>
                    <w:tr2bl w:val="nil"/>
                  </w:tcBorders>
                  <w:noWrap w:val="0"/>
                  <w:vAlign w:val="center"/>
                </w:tcPr>
                <w:p>
                  <w:pPr>
                    <w:ind w:firstLine="420"/>
                    <w:jc w:val="center"/>
                    <w:rPr>
                      <w:rFonts w:ascii="Times New Roman" w:hAnsi="Times New Roman" w:eastAsia="宋体" w:cs="Times New Roman"/>
                      <w:color w:val="auto"/>
                      <w:szCs w:val="21"/>
                    </w:rPr>
                  </w:pPr>
                  <w:r>
                    <w:rPr>
                      <w:rFonts w:ascii="Times New Roman" w:hAnsi="Times New Roman" w:eastAsia="宋体" w:cs="Times New Roman"/>
                      <w:color w:val="auto"/>
                      <w:szCs w:val="21"/>
                    </w:rPr>
                    <w:t>Ⅱ</w:t>
                  </w:r>
                </w:p>
              </w:tc>
            </w:tr>
          </w:tbl>
          <w:p>
            <w:pPr>
              <w:spacing w:line="360" w:lineRule="auto"/>
              <w:ind w:firstLine="482"/>
              <w:rPr>
                <w:rFonts w:ascii="Times New Roman" w:hAnsi="Times New Roman" w:eastAsia="宋体" w:cs="Times New Roman"/>
                <w:color w:val="auto"/>
                <w:sz w:val="24"/>
              </w:rPr>
            </w:pPr>
            <w:r>
              <w:rPr>
                <w:rFonts w:ascii="Times New Roman" w:hAnsi="Times New Roman" w:eastAsia="宋体" w:cs="Times New Roman"/>
                <w:b/>
                <w:bCs/>
                <w:color w:val="auto"/>
                <w:sz w:val="24"/>
              </w:rPr>
              <w:t>a.红隼</w:t>
            </w:r>
          </w:p>
          <w:p>
            <w:pPr>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广分布物种，踪迹几遍及全省。以昆虫、两栖类、小型爬行动物、小型鸟类和小型兽类为食。国家II级重点保护动物，工程影响区可见。施工区偶见。</w:t>
            </w:r>
          </w:p>
          <w:p>
            <w:pPr>
              <w:spacing w:line="360" w:lineRule="auto"/>
              <w:ind w:firstLine="482"/>
              <w:rPr>
                <w:rFonts w:ascii="Times New Roman" w:hAnsi="Times New Roman" w:eastAsia="宋体" w:cs="Times New Roman"/>
                <w:b/>
                <w:bCs/>
                <w:color w:val="auto"/>
                <w:sz w:val="24"/>
              </w:rPr>
            </w:pPr>
            <w:r>
              <w:rPr>
                <w:rFonts w:ascii="Times New Roman" w:hAnsi="Times New Roman" w:eastAsia="宋体" w:cs="Times New Roman"/>
                <w:b/>
                <w:bCs/>
                <w:color w:val="auto"/>
                <w:sz w:val="24"/>
              </w:rPr>
              <w:t>c.斑头鸺鹠</w:t>
            </w:r>
          </w:p>
          <w:p>
            <w:pPr>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为小型猫头鹰，但大于领鸺鹠(</w:t>
            </w:r>
            <w:r>
              <w:rPr>
                <w:rFonts w:ascii="Times New Roman" w:hAnsi="Times New Roman" w:eastAsia="宋体" w:cs="Times New Roman"/>
                <w:i/>
                <w:iCs/>
                <w:color w:val="auto"/>
                <w:sz w:val="24"/>
              </w:rPr>
              <w:t>G. brodiei</w:t>
            </w:r>
            <w:r>
              <w:rPr>
                <w:rFonts w:ascii="Times New Roman" w:hAnsi="Times New Roman" w:eastAsia="宋体" w:cs="Times New Roman"/>
                <w:color w:val="auto"/>
                <w:sz w:val="24"/>
              </w:rPr>
              <w:t>)。多见于农田、居民点附近的高大树木上。多单个活动，昼时可见。以昆虫和小型脊椎动物为食物。分布于海拔300～2500m的区域内，资源为常见种。属国家重点保护动物II级。</w:t>
            </w:r>
          </w:p>
          <w:p>
            <w:pPr>
              <w:spacing w:line="360" w:lineRule="auto"/>
              <w:ind w:firstLine="480"/>
              <w:rPr>
                <w:rFonts w:ascii="Times New Roman" w:hAnsi="Times New Roman" w:eastAsia="宋体" w:cs="Times New Roman"/>
                <w:b/>
                <w:color w:val="auto"/>
                <w:sz w:val="24"/>
              </w:rPr>
            </w:pPr>
            <w:r>
              <w:rPr>
                <w:rFonts w:ascii="Times New Roman" w:hAnsi="Times New Roman" w:eastAsia="宋体" w:cs="Times New Roman"/>
                <w:color w:val="auto"/>
                <w:sz w:val="24"/>
              </w:rPr>
              <w:t>由于上述3种鸟类分布范围较广，运动能力较强，只要采取较有效的保护措施，严格执行国家有关动物保护法规，工程修建不会造成它们的濒危和灭绝。</w:t>
            </w:r>
          </w:p>
          <w:p>
            <w:pPr>
              <w:spacing w:line="360" w:lineRule="auto"/>
              <w:ind w:firstLine="482"/>
              <w:rPr>
                <w:rFonts w:ascii="Times New Roman" w:hAnsi="Times New Roman" w:eastAsia="宋体" w:cs="Times New Roman"/>
                <w:b/>
                <w:color w:val="auto"/>
                <w:sz w:val="24"/>
              </w:rPr>
            </w:pPr>
            <w:r>
              <w:rPr>
                <w:rFonts w:ascii="Times New Roman" w:hAnsi="Times New Roman" w:eastAsia="宋体" w:cs="Times New Roman"/>
                <w:b/>
                <w:color w:val="auto"/>
                <w:sz w:val="24"/>
              </w:rPr>
              <w:t>④</w:t>
            </w:r>
            <w:r>
              <w:rPr>
                <w:rFonts w:ascii="Times New Roman" w:hAnsi="Times New Roman" w:eastAsia="宋体" w:cs="Times New Roman"/>
                <w:b/>
                <w:color w:val="auto"/>
                <w:sz w:val="24"/>
                <w:lang w:val="zh-CN"/>
              </w:rPr>
              <w:t>哺乳类</w:t>
            </w:r>
          </w:p>
          <w:p>
            <w:pPr>
              <w:spacing w:line="360" w:lineRule="auto"/>
              <w:ind w:firstLine="480"/>
              <w:rPr>
                <w:rFonts w:ascii="宋体" w:hAnsi="宋体" w:eastAsia="宋体" w:cs="Times New Roman"/>
                <w:color w:val="auto"/>
                <w:sz w:val="24"/>
              </w:rPr>
            </w:pPr>
            <w:r>
              <w:rPr>
                <w:rFonts w:hint="eastAsia" w:ascii="宋体" w:hAnsi="宋体" w:eastAsia="宋体" w:cs="Times New Roman"/>
                <w:color w:val="auto"/>
                <w:sz w:val="24"/>
              </w:rPr>
              <w:t>在项目区及周边分布的12种哺乳动物中，无国家级和云南省级重点保护野生动物分布。</w:t>
            </w:r>
          </w:p>
          <w:p>
            <w:pPr>
              <w:spacing w:line="360" w:lineRule="auto"/>
              <w:rPr>
                <w:rFonts w:ascii="宋体" w:hAnsi="宋体" w:eastAsia="宋体" w:cs="Times New Roman"/>
                <w:color w:val="auto"/>
                <w:sz w:val="24"/>
              </w:rPr>
            </w:pPr>
            <w:r>
              <w:rPr>
                <w:rFonts w:hint="eastAsia" w:ascii="宋体" w:hAnsi="宋体" w:eastAsia="宋体" w:cs="Times New Roman"/>
                <w:color w:val="auto"/>
                <w:sz w:val="24"/>
              </w:rPr>
              <w:t>调查未发现该地区特有种类分布。</w:t>
            </w:r>
          </w:p>
          <w:p>
            <w:pPr>
              <w:spacing w:line="360" w:lineRule="auto"/>
              <w:rPr>
                <w:rFonts w:ascii="Times New Roman" w:hAnsi="Times New Roman" w:eastAsia="宋体" w:cs="Times New Roman"/>
                <w:b/>
                <w:color w:val="auto"/>
                <w:sz w:val="24"/>
              </w:rPr>
            </w:pPr>
            <w:r>
              <w:rPr>
                <w:rFonts w:hint="eastAsia" w:ascii="Times New Roman" w:hAnsi="Times New Roman" w:eastAsia="宋体" w:cs="Times New Roman"/>
                <w:b/>
                <w:color w:val="auto"/>
                <w:sz w:val="24"/>
              </w:rPr>
              <w:t>（4）</w:t>
            </w:r>
            <w:r>
              <w:rPr>
                <w:rFonts w:ascii="Times New Roman" w:hAnsi="Times New Roman" w:eastAsia="宋体" w:cs="Times New Roman"/>
                <w:b/>
                <w:color w:val="auto"/>
                <w:sz w:val="24"/>
              </w:rPr>
              <w:t>脊椎动物资源现状评价</w:t>
            </w:r>
          </w:p>
          <w:p>
            <w:pPr>
              <w:spacing w:line="360" w:lineRule="auto"/>
              <w:ind w:firstLine="480"/>
              <w:rPr>
                <w:rFonts w:ascii="Times New Roman" w:hAnsi="Times New Roman" w:eastAsia="宋体" w:cs="Times New Roman"/>
                <w:b/>
                <w:bCs/>
                <w:color w:val="auto"/>
                <w:sz w:val="24"/>
              </w:rPr>
            </w:pPr>
            <w:r>
              <w:rPr>
                <w:rFonts w:ascii="Times New Roman" w:hAnsi="Times New Roman" w:eastAsia="宋体" w:cs="Times New Roman"/>
                <w:b/>
                <w:bCs/>
                <w:color w:val="auto"/>
                <w:sz w:val="24"/>
              </w:rPr>
              <w:t>1）种群小</w:t>
            </w:r>
            <w:r>
              <w:rPr>
                <w:rFonts w:hint="eastAsia" w:ascii="Times New Roman" w:hAnsi="Times New Roman" w:eastAsia="宋体" w:cs="Times New Roman"/>
                <w:b/>
                <w:bCs/>
                <w:color w:val="auto"/>
                <w:sz w:val="24"/>
              </w:rPr>
              <w:t>，</w:t>
            </w:r>
            <w:r>
              <w:rPr>
                <w:rFonts w:ascii="Times New Roman" w:hAnsi="Times New Roman" w:eastAsia="宋体" w:cs="Times New Roman"/>
                <w:b/>
                <w:bCs/>
                <w:color w:val="auto"/>
                <w:sz w:val="24"/>
              </w:rPr>
              <w:t>无资源优势</w:t>
            </w:r>
          </w:p>
          <w:p>
            <w:pPr>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评价区目前共记载陆栖脊椎动物</w:t>
            </w:r>
            <w:r>
              <w:rPr>
                <w:rFonts w:hint="eastAsia" w:ascii="Times New Roman" w:hAnsi="Times New Roman" w:eastAsia="宋体" w:cs="Times New Roman"/>
                <w:color w:val="auto"/>
                <w:sz w:val="24"/>
              </w:rPr>
              <w:t>75</w:t>
            </w:r>
            <w:r>
              <w:rPr>
                <w:rFonts w:ascii="Times New Roman" w:hAnsi="Times New Roman" w:eastAsia="宋体" w:cs="Times New Roman"/>
                <w:color w:val="auto"/>
                <w:sz w:val="24"/>
              </w:rPr>
              <w:t>种，但种类的特点是种群小。由于脊椎动物各个类群均存在种群小数量少，难以形成一定的资源规模。所以一旦种群遭到人为的过度捕猎等破坏往往难以恢复，而一些种类对环境有严格的最适要求，环境一旦稍微变化，均会导致数量急剧下降。</w:t>
            </w:r>
          </w:p>
          <w:p>
            <w:pPr>
              <w:spacing w:line="360" w:lineRule="auto"/>
              <w:ind w:firstLine="480"/>
              <w:rPr>
                <w:rFonts w:ascii="Times New Roman" w:hAnsi="Times New Roman" w:eastAsia="宋体" w:cs="Times New Roman"/>
                <w:color w:val="auto"/>
                <w:sz w:val="24"/>
              </w:rPr>
            </w:pPr>
            <w:r>
              <w:rPr>
                <w:rFonts w:ascii="Times New Roman" w:hAnsi="Times New Roman" w:eastAsia="宋体" w:cs="Times New Roman"/>
                <w:b/>
                <w:bCs/>
                <w:color w:val="auto"/>
                <w:sz w:val="24"/>
              </w:rPr>
              <w:t>2）小型有害兽类种群数量大</w:t>
            </w:r>
          </w:p>
          <w:p>
            <w:pPr>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在评价区及其周围地区，小型兽类，尤其是啮齿类活动痕迹十分多，而且种类和数量均较丰富，该类群有</w:t>
            </w:r>
            <w:r>
              <w:rPr>
                <w:rFonts w:hint="eastAsia" w:ascii="Times New Roman" w:hAnsi="Times New Roman" w:eastAsia="宋体" w:cs="Times New Roman"/>
                <w:color w:val="auto"/>
                <w:sz w:val="24"/>
              </w:rPr>
              <w:t>云南兔</w:t>
            </w:r>
            <w:r>
              <w:rPr>
                <w:rFonts w:ascii="Times New Roman" w:hAnsi="Times New Roman" w:eastAsia="宋体" w:cs="Times New Roman"/>
                <w:color w:val="auto"/>
                <w:sz w:val="24"/>
              </w:rPr>
              <w:t>（</w:t>
            </w:r>
            <w:r>
              <w:rPr>
                <w:rFonts w:ascii="Times New Roman" w:hAnsi="Times New Roman" w:eastAsia="宋体" w:cs="Times New Roman"/>
                <w:i/>
                <w:color w:val="auto"/>
                <w:sz w:val="24"/>
              </w:rPr>
              <w:t xml:space="preserve">Lepus comus </w:t>
            </w:r>
            <w:r>
              <w:rPr>
                <w:rFonts w:ascii="Times New Roman" w:hAnsi="Times New Roman" w:eastAsia="宋体" w:cs="Times New Roman"/>
                <w:color w:val="auto"/>
                <w:sz w:val="24"/>
              </w:rPr>
              <w:t>）、赤腹松鼠（</w:t>
            </w:r>
            <w:r>
              <w:rPr>
                <w:rFonts w:ascii="Times New Roman" w:hAnsi="Times New Roman" w:eastAsia="宋体" w:cs="Times New Roman"/>
                <w:i/>
                <w:color w:val="auto"/>
                <w:sz w:val="24"/>
              </w:rPr>
              <w:t>Callosciurus erythraeus</w:t>
            </w:r>
            <w:r>
              <w:rPr>
                <w:rFonts w:ascii="Times New Roman" w:hAnsi="Times New Roman" w:eastAsia="宋体" w:cs="Times New Roman"/>
                <w:color w:val="auto"/>
                <w:sz w:val="24"/>
              </w:rPr>
              <w:t>）、褐家鼠（</w:t>
            </w:r>
            <w:r>
              <w:rPr>
                <w:rFonts w:ascii="Times New Roman" w:hAnsi="Times New Roman" w:eastAsia="宋体" w:cs="Times New Roman"/>
                <w:i/>
                <w:color w:val="auto"/>
                <w:sz w:val="24"/>
              </w:rPr>
              <w:t>Rattus norvegicus</w:t>
            </w:r>
            <w:r>
              <w:rPr>
                <w:rFonts w:ascii="Times New Roman" w:hAnsi="Times New Roman" w:eastAsia="宋体" w:cs="Times New Roman"/>
                <w:color w:val="auto"/>
                <w:sz w:val="24"/>
              </w:rPr>
              <w:t>）、社鼠（</w:t>
            </w:r>
            <w:r>
              <w:rPr>
                <w:rFonts w:ascii="Times New Roman" w:hAnsi="Times New Roman" w:eastAsia="宋体" w:cs="Times New Roman"/>
                <w:i/>
                <w:color w:val="auto"/>
                <w:sz w:val="24"/>
              </w:rPr>
              <w:t>Rattus niviventer</w:t>
            </w:r>
            <w:r>
              <w:rPr>
                <w:rFonts w:ascii="Times New Roman" w:hAnsi="Times New Roman" w:eastAsia="宋体" w:cs="Times New Roman"/>
                <w:color w:val="auto"/>
                <w:sz w:val="24"/>
              </w:rPr>
              <w:t>）等种类。</w:t>
            </w:r>
          </w:p>
          <w:p>
            <w:pPr>
              <w:spacing w:line="360" w:lineRule="auto"/>
              <w:ind w:firstLine="480"/>
              <w:rPr>
                <w:rFonts w:ascii="Times New Roman" w:hAnsi="Times New Roman" w:eastAsia="宋体" w:cs="Times New Roman"/>
                <w:b/>
                <w:bCs/>
                <w:color w:val="auto"/>
                <w:sz w:val="24"/>
              </w:rPr>
            </w:pPr>
            <w:r>
              <w:rPr>
                <w:rFonts w:ascii="Times New Roman" w:hAnsi="Times New Roman" w:eastAsia="宋体" w:cs="Times New Roman"/>
                <w:b/>
                <w:bCs/>
                <w:color w:val="auto"/>
                <w:sz w:val="24"/>
              </w:rPr>
              <w:t>3）保护种类和珍稀种类较少</w:t>
            </w:r>
          </w:p>
          <w:p>
            <w:pPr>
              <w:spacing w:line="360" w:lineRule="auto"/>
              <w:ind w:firstLine="480"/>
              <w:rPr>
                <w:rFonts w:ascii="宋体" w:hAnsi="宋体" w:eastAsia="宋体" w:cs="Times New Roman"/>
                <w:color w:val="auto"/>
                <w:sz w:val="24"/>
              </w:rPr>
            </w:pPr>
            <w:r>
              <w:rPr>
                <w:rFonts w:ascii="Times New Roman" w:hAnsi="Times New Roman" w:eastAsia="宋体" w:cs="Times New Roman"/>
                <w:color w:val="auto"/>
                <w:sz w:val="24"/>
              </w:rPr>
              <w:t>本次评价范围区域内无中国野生动物保护法列为重点保护动物名单中的I级动物。爬行类中仅</w:t>
            </w:r>
            <w:r>
              <w:rPr>
                <w:rFonts w:hint="eastAsia" w:ascii="宋体" w:hAnsi="宋体" w:eastAsia="宋体" w:cs="Times New Roman"/>
                <w:color w:val="auto"/>
                <w:sz w:val="24"/>
              </w:rPr>
              <w:t>眼镜蛇是云南省Ⅱ级重点保护野生动物</w:t>
            </w:r>
            <w:r>
              <w:rPr>
                <w:rFonts w:ascii="Times New Roman" w:hAnsi="Times New Roman" w:eastAsia="宋体" w:cs="Times New Roman"/>
                <w:color w:val="auto"/>
                <w:sz w:val="24"/>
              </w:rPr>
              <w:t>；鸟类中仅有３种被国家列为II级重点保护动物，但它们已主要在评价范围外活动</w:t>
            </w:r>
            <w:r>
              <w:rPr>
                <w:rFonts w:hint="eastAsia" w:ascii="Times New Roman" w:hAnsi="Times New Roman" w:eastAsia="宋体" w:cs="Times New Roman"/>
                <w:color w:val="auto"/>
                <w:sz w:val="24"/>
              </w:rPr>
              <w:t>；兽类中</w:t>
            </w:r>
            <w:r>
              <w:rPr>
                <w:rFonts w:hint="eastAsia" w:ascii="宋体" w:hAnsi="宋体" w:eastAsia="宋体" w:cs="Times New Roman"/>
                <w:color w:val="auto"/>
                <w:sz w:val="24"/>
              </w:rPr>
              <w:t>无国家级和云南省级重点保护野生动物分布。调查未发现该地区特有种类分布。</w:t>
            </w:r>
          </w:p>
          <w:p>
            <w:pPr>
              <w:spacing w:line="360" w:lineRule="auto"/>
              <w:ind w:firstLine="480"/>
              <w:rPr>
                <w:rFonts w:ascii="Times New Roman" w:hAnsi="Times New Roman" w:eastAsia="宋体" w:cs="Times New Roman"/>
                <w:b/>
                <w:bCs/>
                <w:color w:val="auto"/>
                <w:sz w:val="24"/>
              </w:rPr>
            </w:pPr>
            <w:r>
              <w:rPr>
                <w:rFonts w:ascii="Times New Roman" w:hAnsi="Times New Roman" w:eastAsia="宋体" w:cs="Times New Roman"/>
                <w:b/>
                <w:bCs/>
                <w:color w:val="auto"/>
                <w:sz w:val="24"/>
              </w:rPr>
              <w:t>4）缺乏狭域分布的特有种类</w:t>
            </w:r>
          </w:p>
          <w:p>
            <w:pPr>
              <w:spacing w:line="360" w:lineRule="auto"/>
              <w:ind w:firstLine="480"/>
              <w:rPr>
                <w:rFonts w:hint="eastAsia" w:ascii="Times New Roman" w:hAnsi="Times New Roman" w:eastAsia="宋体" w:cs="Times New Roman"/>
                <w:color w:val="auto"/>
                <w:sz w:val="24"/>
              </w:rPr>
            </w:pPr>
            <w:r>
              <w:rPr>
                <w:rFonts w:ascii="Times New Roman" w:hAnsi="Times New Roman" w:eastAsia="宋体" w:cs="Times New Roman"/>
                <w:color w:val="auto"/>
                <w:sz w:val="24"/>
              </w:rPr>
              <w:t>两栖类、爬行类、鸟类和兽类等类群中均无局限分布于</w:t>
            </w:r>
            <w:r>
              <w:rPr>
                <w:rFonts w:hint="eastAsia" w:ascii="Times New Roman" w:hAnsi="Times New Roman" w:eastAsia="宋体" w:cs="Times New Roman"/>
                <w:color w:val="auto"/>
                <w:sz w:val="24"/>
              </w:rPr>
              <w:t>评价</w:t>
            </w:r>
            <w:r>
              <w:rPr>
                <w:rFonts w:ascii="Times New Roman" w:hAnsi="Times New Roman" w:eastAsia="宋体" w:cs="Times New Roman"/>
                <w:color w:val="auto"/>
                <w:sz w:val="24"/>
              </w:rPr>
              <w:t>区的特有属、种。</w:t>
            </w:r>
          </w:p>
          <w:p>
            <w:pPr>
              <w:adjustRightInd w:val="0"/>
              <w:snapToGrid w:val="0"/>
              <w:spacing w:line="360" w:lineRule="auto"/>
              <w:rPr>
                <w:rFonts w:ascii="Times New Roman" w:hAnsi="Times New Roman" w:eastAsia="宋体" w:cs="Times New Roman"/>
                <w:b/>
                <w:bCs/>
                <w:color w:val="auto"/>
                <w:sz w:val="24"/>
              </w:rPr>
            </w:pPr>
            <w:bookmarkStart w:id="14" w:name="_Toc493771765"/>
            <w:r>
              <w:rPr>
                <w:rFonts w:hint="eastAsia" w:ascii="Times New Roman" w:hAnsi="Times New Roman" w:eastAsia="宋体" w:cs="Times New Roman"/>
                <w:b/>
                <w:bCs/>
                <w:color w:val="auto"/>
                <w:sz w:val="24"/>
              </w:rPr>
              <w:t>3.3.4</w:t>
            </w:r>
            <w:r>
              <w:rPr>
                <w:rFonts w:ascii="Times New Roman" w:hAnsi="Times New Roman" w:eastAsia="宋体" w:cs="Times New Roman"/>
                <w:b/>
                <w:bCs/>
                <w:color w:val="auto"/>
                <w:sz w:val="24"/>
              </w:rPr>
              <w:t>鱼类</w:t>
            </w:r>
            <w:bookmarkEnd w:id="14"/>
          </w:p>
          <w:p>
            <w:pPr>
              <w:widowControl w:val="0"/>
              <w:adjustRightInd w:val="0"/>
              <w:snapToGrid w:val="0"/>
              <w:spacing w:line="420" w:lineRule="exact"/>
              <w:ind w:firstLine="425"/>
              <w:jc w:val="both"/>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根据调查，评价区范围内鱼类主要有麦穗鱼、棒花鱼、白鲢鱼、鲫、鲤、泥鳅、黄鳝。均为常见种和静水型鱼类。无保护鱼类和流域特有种分布。</w:t>
            </w:r>
          </w:p>
          <w:p>
            <w:pPr>
              <w:spacing w:line="360" w:lineRule="auto"/>
              <w:rPr>
                <w:rFonts w:ascii="Times New Roman" w:hAnsi="Times New Roman" w:eastAsia="宋体" w:cs="Times New Roman"/>
                <w:b/>
                <w:color w:val="auto"/>
                <w:kern w:val="0"/>
                <w:sz w:val="28"/>
                <w:szCs w:val="28"/>
              </w:rPr>
            </w:pPr>
            <w:r>
              <w:rPr>
                <w:rFonts w:hint="eastAsia" w:ascii="Times New Roman" w:hAnsi="Times New Roman" w:eastAsia="宋体" w:cs="Times New Roman"/>
                <w:b/>
                <w:bCs/>
                <w:color w:val="auto"/>
                <w:kern w:val="0"/>
                <w:sz w:val="28"/>
                <w:szCs w:val="28"/>
              </w:rPr>
              <w:t>3.4生态</w:t>
            </w:r>
            <w:r>
              <w:rPr>
                <w:rFonts w:hint="eastAsia" w:ascii="Times New Roman" w:hAnsi="Times New Roman" w:eastAsia="宋体" w:cs="Times New Roman"/>
                <w:b/>
                <w:color w:val="auto"/>
                <w:kern w:val="0"/>
                <w:sz w:val="28"/>
                <w:szCs w:val="28"/>
              </w:rPr>
              <w:t>环境敏感区</w:t>
            </w:r>
          </w:p>
          <w:p>
            <w:pPr>
              <w:adjustRightInd w:val="0"/>
              <w:snapToGrid w:val="0"/>
              <w:spacing w:line="360" w:lineRule="auto"/>
              <w:rPr>
                <w:rFonts w:hint="eastAsia" w:ascii="Times New Roman" w:hAnsi="Times New Roman" w:eastAsia="宋体" w:cs="Times New Roman"/>
                <w:b/>
                <w:bCs/>
                <w:color w:val="auto"/>
                <w:sz w:val="24"/>
              </w:rPr>
            </w:pPr>
            <w:bookmarkStart w:id="15" w:name="_Toc44339578"/>
            <w:r>
              <w:rPr>
                <w:rFonts w:hint="eastAsia" w:ascii="Times New Roman" w:hAnsi="Times New Roman" w:eastAsia="宋体" w:cs="Times New Roman"/>
                <w:b/>
                <w:bCs/>
                <w:color w:val="auto"/>
                <w:sz w:val="24"/>
              </w:rPr>
              <w:t>3.4.1生态保护红线、永久基本农田</w:t>
            </w:r>
          </w:p>
          <w:p>
            <w:pPr>
              <w:autoSpaceDE w:val="0"/>
              <w:autoSpaceDN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经向元谋县自然资源局查询并出具《关于华能元谋多竹等光伏电站项目、华能元谋金河光伏电站项目、华能元谋马头地光伏电站项目选址“三区三线”查询情况复函》（附件</w:t>
            </w:r>
            <w:r>
              <w:rPr>
                <w:rFonts w:hint="default" w:ascii="Times New Roman" w:hAnsi="Times New Roman" w:eastAsia="宋体" w:cs="Times New Roman"/>
                <w:color w:val="auto"/>
                <w:kern w:val="0"/>
                <w:sz w:val="24"/>
                <w:lang w:val="en-US" w:eastAsia="zh-CN"/>
              </w:rPr>
              <w:t>5</w:t>
            </w:r>
            <w:r>
              <w:rPr>
                <w:rFonts w:hint="eastAsia" w:ascii="Times New Roman" w:hAnsi="Times New Roman" w:eastAsia="宋体" w:cs="Times New Roman"/>
                <w:color w:val="auto"/>
                <w:kern w:val="0"/>
                <w:sz w:val="24"/>
              </w:rPr>
              <w:t>），项目选址范围不位于元谋县“三区三线”划定的生态保护红线范围内，不位于永久基本农田保护区，不位于城镇开发边界内。</w:t>
            </w:r>
          </w:p>
          <w:p>
            <w:pPr>
              <w:adjustRightInd w:val="0"/>
              <w:snapToGrid w:val="0"/>
              <w:spacing w:line="360" w:lineRule="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3.4.2元谋土林州级自然保护区</w:t>
            </w:r>
            <w:bookmarkEnd w:id="15"/>
          </w:p>
          <w:p>
            <w:pPr>
              <w:adjustRightInd w:val="0"/>
              <w:snapToGrid w:val="0"/>
              <w:spacing w:line="360" w:lineRule="auto"/>
              <w:ind w:firstLine="442" w:firstLineChars="200"/>
              <w:rPr>
                <w:rFonts w:hint="eastAsia" w:ascii="Times New Roman" w:hAnsi="Times New Roman" w:eastAsia="宋体" w:cs="Times New Roman"/>
                <w:b/>
                <w:color w:val="auto"/>
                <w:spacing w:val="-10"/>
                <w:sz w:val="24"/>
              </w:rPr>
            </w:pPr>
            <w:r>
              <w:rPr>
                <w:rFonts w:hint="eastAsia" w:ascii="Times New Roman" w:hAnsi="Times New Roman" w:eastAsia="宋体" w:cs="Times New Roman"/>
                <w:b/>
                <w:color w:val="auto"/>
                <w:spacing w:val="-10"/>
                <w:sz w:val="24"/>
              </w:rPr>
              <w:t>（1）</w:t>
            </w:r>
            <w:r>
              <w:rPr>
                <w:rFonts w:hint="eastAsia" w:ascii="Times New Roman" w:hAnsi="Times New Roman" w:eastAsia="宋体" w:cs="Times New Roman"/>
                <w:b/>
                <w:color w:val="auto"/>
                <w:sz w:val="24"/>
              </w:rPr>
              <w:t>元谋土林州级保护区现状</w:t>
            </w:r>
          </w:p>
          <w:p>
            <w:pPr>
              <w:autoSpaceDE w:val="0"/>
              <w:autoSpaceDN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①保护区概况</w:t>
            </w:r>
          </w:p>
          <w:p>
            <w:pPr>
              <w:autoSpaceDE w:val="0"/>
              <w:autoSpaceDN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元谋土林州级自然保护区于2001年由楚雄彝族自治州人民政府批准（楚政复[</w:t>
            </w:r>
            <w:r>
              <w:rPr>
                <w:rFonts w:ascii="Times New Roman" w:hAnsi="Times New Roman" w:eastAsia="宋体" w:cs="Times New Roman"/>
                <w:color w:val="auto"/>
                <w:kern w:val="0"/>
                <w:sz w:val="24"/>
              </w:rPr>
              <w:t>2001]3</w:t>
            </w:r>
            <w:r>
              <w:rPr>
                <w:rFonts w:hint="eastAsia" w:ascii="Times New Roman" w:hAnsi="Times New Roman" w:eastAsia="宋体" w:cs="Times New Roman"/>
                <w:color w:val="auto"/>
                <w:kern w:val="0"/>
                <w:sz w:val="24"/>
              </w:rPr>
              <w:t>号）建立，批准面积1992hm</w:t>
            </w:r>
            <w:r>
              <w:rPr>
                <w:rFonts w:hint="eastAsia" w:ascii="Times New Roman" w:hAnsi="Times New Roman" w:eastAsia="宋体" w:cs="Times New Roman"/>
                <w:color w:val="auto"/>
                <w:kern w:val="0"/>
                <w:sz w:val="24"/>
                <w:vertAlign w:val="superscript"/>
              </w:rPr>
              <w:t>2</w:t>
            </w:r>
            <w:r>
              <w:rPr>
                <w:rFonts w:hint="eastAsia" w:ascii="Times New Roman" w:hAnsi="Times New Roman" w:eastAsia="宋体" w:cs="Times New Roman"/>
                <w:color w:val="auto"/>
                <w:kern w:val="0"/>
                <w:sz w:val="24"/>
              </w:rPr>
              <w:t>。2016年，经楚雄州人民政府批复同意（楚政复[2016]78号），保护区范围进行调整，调整后面积为1995.51hm</w:t>
            </w:r>
            <w:r>
              <w:rPr>
                <w:rFonts w:hint="eastAsia" w:ascii="Times New Roman" w:hAnsi="Times New Roman" w:eastAsia="宋体" w:cs="Times New Roman"/>
                <w:color w:val="auto"/>
                <w:kern w:val="0"/>
                <w:sz w:val="24"/>
                <w:vertAlign w:val="superscript"/>
              </w:rPr>
              <w:t>2</w:t>
            </w:r>
            <w:r>
              <w:rPr>
                <w:rFonts w:hint="eastAsia" w:ascii="Times New Roman" w:hAnsi="Times New Roman" w:eastAsia="宋体" w:cs="Times New Roman"/>
                <w:color w:val="auto"/>
                <w:kern w:val="0"/>
                <w:sz w:val="24"/>
              </w:rPr>
              <w:t>，其中核心区面积</w:t>
            </w:r>
            <w:r>
              <w:rPr>
                <w:rFonts w:ascii="Times New Roman" w:hAnsi="Times New Roman" w:eastAsia="宋体" w:cs="Times New Roman"/>
                <w:color w:val="auto"/>
                <w:kern w:val="0"/>
                <w:sz w:val="24"/>
              </w:rPr>
              <w:t>1098.68</w:t>
            </w:r>
            <w:r>
              <w:rPr>
                <w:rFonts w:hint="eastAsia" w:ascii="Times New Roman" w:hAnsi="Times New Roman" w:eastAsia="宋体" w:cs="Times New Roman"/>
                <w:color w:val="auto"/>
                <w:kern w:val="0"/>
                <w:sz w:val="24"/>
              </w:rPr>
              <w:t>hm</w:t>
            </w:r>
            <w:r>
              <w:rPr>
                <w:rFonts w:hint="eastAsia" w:ascii="Times New Roman" w:hAnsi="Times New Roman" w:eastAsia="宋体" w:cs="Times New Roman"/>
                <w:color w:val="auto"/>
                <w:kern w:val="0"/>
                <w:sz w:val="24"/>
                <w:vertAlign w:val="superscript"/>
              </w:rPr>
              <w:t>2</w:t>
            </w:r>
            <w:r>
              <w:rPr>
                <w:rFonts w:hint="eastAsia" w:ascii="Times New Roman" w:hAnsi="Times New Roman" w:eastAsia="宋体" w:cs="Times New Roman"/>
                <w:color w:val="auto"/>
                <w:kern w:val="0"/>
                <w:sz w:val="24"/>
              </w:rPr>
              <w:t>、实验区面积</w:t>
            </w:r>
            <w:r>
              <w:rPr>
                <w:rFonts w:ascii="Times New Roman" w:hAnsi="Times New Roman" w:eastAsia="宋体" w:cs="Times New Roman"/>
                <w:color w:val="auto"/>
                <w:kern w:val="0"/>
                <w:sz w:val="24"/>
              </w:rPr>
              <w:t>896.83</w:t>
            </w:r>
            <w:r>
              <w:rPr>
                <w:rFonts w:hint="eastAsia" w:ascii="Times New Roman" w:hAnsi="Times New Roman" w:eastAsia="宋体" w:cs="Times New Roman"/>
                <w:color w:val="auto"/>
                <w:kern w:val="0"/>
                <w:sz w:val="24"/>
              </w:rPr>
              <w:t>hm</w:t>
            </w:r>
            <w:r>
              <w:rPr>
                <w:rFonts w:hint="eastAsia" w:ascii="Times New Roman" w:hAnsi="Times New Roman" w:eastAsia="宋体" w:cs="Times New Roman"/>
                <w:color w:val="auto"/>
                <w:kern w:val="0"/>
                <w:sz w:val="24"/>
                <w:vertAlign w:val="superscript"/>
              </w:rPr>
              <w:t>2</w:t>
            </w:r>
            <w:r>
              <w:rPr>
                <w:rFonts w:hint="eastAsia" w:ascii="Times New Roman" w:hAnsi="Times New Roman" w:eastAsia="宋体" w:cs="Times New Roman"/>
                <w:color w:val="auto"/>
                <w:kern w:val="0"/>
                <w:sz w:val="24"/>
              </w:rPr>
              <w:t>。保护区范围介于25939'51"~2595230"N、101940'11"~101947'57"E之间，由物茂片区、平田片区和新华片区组成。其中：</w:t>
            </w:r>
          </w:p>
          <w:p>
            <w:pPr>
              <w:autoSpaceDE w:val="0"/>
              <w:autoSpaceDN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物茂片区地理坐标为25949'46"~25952'30"N，101943137"~101946'22"E，总面积9</w:t>
            </w:r>
            <w:r>
              <w:rPr>
                <w:rFonts w:ascii="Times New Roman" w:hAnsi="Times New Roman" w:eastAsia="宋体" w:cs="Times New Roman"/>
                <w:color w:val="auto"/>
                <w:kern w:val="0"/>
                <w:sz w:val="24"/>
              </w:rPr>
              <w:t>26.32</w:t>
            </w:r>
            <w:r>
              <w:rPr>
                <w:rFonts w:hint="eastAsia" w:ascii="Times New Roman" w:hAnsi="Times New Roman" w:eastAsia="宋体" w:cs="Times New Roman"/>
                <w:color w:val="auto"/>
                <w:kern w:val="0"/>
                <w:sz w:val="24"/>
              </w:rPr>
              <w:t>hm</w:t>
            </w:r>
            <w:r>
              <w:rPr>
                <w:rFonts w:hint="eastAsia" w:ascii="Times New Roman" w:hAnsi="Times New Roman" w:eastAsia="宋体" w:cs="Times New Roman"/>
                <w:color w:val="auto"/>
                <w:kern w:val="0"/>
                <w:sz w:val="24"/>
                <w:vertAlign w:val="superscript"/>
              </w:rPr>
              <w:t>2</w:t>
            </w:r>
            <w:r>
              <w:rPr>
                <w:rFonts w:hint="eastAsia" w:ascii="Times New Roman" w:hAnsi="Times New Roman" w:eastAsia="宋体" w:cs="Times New Roman"/>
                <w:color w:val="auto"/>
                <w:kern w:val="0"/>
                <w:sz w:val="24"/>
              </w:rPr>
              <w:t>。其中核心区面积</w:t>
            </w:r>
            <w:r>
              <w:rPr>
                <w:rFonts w:ascii="Times New Roman" w:hAnsi="Times New Roman" w:eastAsia="宋体" w:cs="Times New Roman"/>
                <w:color w:val="auto"/>
                <w:kern w:val="0"/>
                <w:sz w:val="24"/>
              </w:rPr>
              <w:t>591.98</w:t>
            </w:r>
            <w:r>
              <w:rPr>
                <w:rFonts w:hint="eastAsia" w:ascii="Times New Roman" w:hAnsi="Times New Roman" w:eastAsia="宋体" w:cs="Times New Roman"/>
                <w:color w:val="auto"/>
                <w:kern w:val="0"/>
                <w:sz w:val="24"/>
              </w:rPr>
              <w:t>hm</w:t>
            </w:r>
            <w:r>
              <w:rPr>
                <w:rFonts w:hint="eastAsia" w:ascii="Times New Roman" w:hAnsi="Times New Roman" w:eastAsia="宋体" w:cs="Times New Roman"/>
                <w:color w:val="auto"/>
                <w:kern w:val="0"/>
                <w:sz w:val="24"/>
                <w:vertAlign w:val="superscript"/>
              </w:rPr>
              <w:t>2</w:t>
            </w:r>
            <w:r>
              <w:rPr>
                <w:rFonts w:hint="eastAsia" w:ascii="Times New Roman" w:hAnsi="Times New Roman" w:eastAsia="宋体" w:cs="Times New Roman"/>
                <w:color w:val="auto"/>
                <w:kern w:val="0"/>
                <w:sz w:val="24"/>
              </w:rPr>
              <w:t>，包括南、北两个区域；实验区面积</w:t>
            </w:r>
            <w:r>
              <w:rPr>
                <w:rFonts w:ascii="Times New Roman" w:hAnsi="Times New Roman" w:eastAsia="宋体" w:cs="Times New Roman"/>
                <w:color w:val="auto"/>
                <w:kern w:val="0"/>
                <w:sz w:val="24"/>
              </w:rPr>
              <w:t>334.34</w:t>
            </w:r>
            <w:r>
              <w:rPr>
                <w:rFonts w:hint="eastAsia" w:ascii="Times New Roman" w:hAnsi="Times New Roman" w:eastAsia="宋体" w:cs="Times New Roman"/>
                <w:color w:val="auto"/>
                <w:kern w:val="0"/>
                <w:sz w:val="24"/>
              </w:rPr>
              <w:t>hm</w:t>
            </w:r>
            <w:r>
              <w:rPr>
                <w:rFonts w:hint="eastAsia" w:ascii="Times New Roman" w:hAnsi="Times New Roman" w:eastAsia="宋体" w:cs="Times New Roman"/>
                <w:color w:val="auto"/>
                <w:kern w:val="0"/>
                <w:sz w:val="24"/>
                <w:vertAlign w:val="superscript"/>
              </w:rPr>
              <w:t>2</w:t>
            </w:r>
            <w:r>
              <w:rPr>
                <w:rFonts w:hint="eastAsia" w:ascii="Times New Roman" w:hAnsi="Times New Roman" w:eastAsia="宋体" w:cs="Times New Roman"/>
                <w:color w:val="auto"/>
                <w:kern w:val="0"/>
                <w:sz w:val="24"/>
              </w:rPr>
              <w:t>。</w:t>
            </w:r>
          </w:p>
          <w:p>
            <w:pPr>
              <w:autoSpaceDE w:val="0"/>
              <w:autoSpaceDN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平田片区地理坐标为25943'37"- 25944'41"N，</w:t>
            </w:r>
            <w:r>
              <w:rPr>
                <w:rFonts w:ascii="Times New Roman" w:hAnsi="Times New Roman" w:eastAsia="宋体" w:cs="Times New Roman"/>
                <w:color w:val="auto"/>
                <w:kern w:val="0"/>
                <w:sz w:val="24"/>
              </w:rPr>
              <w:t>101947'01"~101947'58"E</w:t>
            </w:r>
            <w:r>
              <w:rPr>
                <w:rFonts w:hint="eastAsia" w:ascii="Times New Roman" w:hAnsi="Times New Roman" w:eastAsia="宋体" w:cs="Times New Roman"/>
                <w:color w:val="auto"/>
                <w:kern w:val="0"/>
                <w:sz w:val="24"/>
              </w:rPr>
              <w:t>，总面积1</w:t>
            </w:r>
            <w:r>
              <w:rPr>
                <w:rFonts w:ascii="Times New Roman" w:hAnsi="Times New Roman" w:eastAsia="宋体" w:cs="Times New Roman"/>
                <w:color w:val="auto"/>
                <w:kern w:val="0"/>
                <w:sz w:val="24"/>
              </w:rPr>
              <w:t>75.14</w:t>
            </w:r>
            <w:r>
              <w:rPr>
                <w:rFonts w:hint="eastAsia" w:ascii="Times New Roman" w:hAnsi="Times New Roman" w:eastAsia="宋体" w:cs="Times New Roman"/>
                <w:color w:val="auto"/>
                <w:kern w:val="0"/>
                <w:sz w:val="24"/>
              </w:rPr>
              <w:t xml:space="preserve"> hm</w:t>
            </w:r>
            <w:r>
              <w:rPr>
                <w:rFonts w:hint="eastAsia" w:ascii="Times New Roman" w:hAnsi="Times New Roman" w:eastAsia="宋体" w:cs="Times New Roman"/>
                <w:color w:val="auto"/>
                <w:kern w:val="0"/>
                <w:sz w:val="24"/>
                <w:vertAlign w:val="superscript"/>
              </w:rPr>
              <w:t>2</w:t>
            </w:r>
            <w:r>
              <w:rPr>
                <w:rFonts w:hint="eastAsia" w:ascii="Times New Roman" w:hAnsi="Times New Roman" w:eastAsia="宋体" w:cs="Times New Roman"/>
                <w:color w:val="auto"/>
                <w:kern w:val="0"/>
                <w:sz w:val="24"/>
              </w:rPr>
              <w:t>。均为实验区。</w:t>
            </w:r>
          </w:p>
          <w:p>
            <w:pPr>
              <w:autoSpaceDE w:val="0"/>
              <w:autoSpaceDN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新华片区地理坐标为25939'35"~25941'32"N，101939'35"~101942'18"E，总面积8</w:t>
            </w:r>
            <w:r>
              <w:rPr>
                <w:rFonts w:ascii="Times New Roman" w:hAnsi="Times New Roman" w:eastAsia="宋体" w:cs="Times New Roman"/>
                <w:color w:val="auto"/>
                <w:kern w:val="0"/>
                <w:sz w:val="24"/>
              </w:rPr>
              <w:t>94.05</w:t>
            </w:r>
            <w:r>
              <w:rPr>
                <w:rFonts w:hint="eastAsia" w:ascii="Times New Roman" w:hAnsi="Times New Roman" w:eastAsia="宋体" w:cs="Times New Roman"/>
                <w:color w:val="auto"/>
                <w:kern w:val="0"/>
                <w:sz w:val="24"/>
              </w:rPr>
              <w:t>hm</w:t>
            </w:r>
            <w:r>
              <w:rPr>
                <w:rFonts w:hint="eastAsia" w:ascii="Times New Roman" w:hAnsi="Times New Roman" w:eastAsia="宋体" w:cs="Times New Roman"/>
                <w:color w:val="auto"/>
                <w:kern w:val="0"/>
                <w:sz w:val="24"/>
                <w:vertAlign w:val="superscript"/>
              </w:rPr>
              <w:t>2</w:t>
            </w:r>
            <w:r>
              <w:rPr>
                <w:rFonts w:hint="eastAsia" w:ascii="Times New Roman" w:hAnsi="Times New Roman" w:eastAsia="宋体" w:cs="Times New Roman"/>
                <w:color w:val="auto"/>
                <w:kern w:val="0"/>
                <w:sz w:val="24"/>
              </w:rPr>
              <w:t>。其中核心区面积</w:t>
            </w:r>
            <w:r>
              <w:rPr>
                <w:rFonts w:ascii="Times New Roman" w:hAnsi="Times New Roman" w:eastAsia="宋体" w:cs="Times New Roman"/>
                <w:color w:val="auto"/>
                <w:kern w:val="0"/>
                <w:sz w:val="24"/>
              </w:rPr>
              <w:t>506.70</w:t>
            </w:r>
            <w:r>
              <w:rPr>
                <w:rFonts w:hint="eastAsia" w:ascii="Times New Roman" w:hAnsi="Times New Roman" w:eastAsia="宋体" w:cs="Times New Roman"/>
                <w:color w:val="auto"/>
                <w:kern w:val="0"/>
                <w:sz w:val="24"/>
              </w:rPr>
              <w:t>hm</w:t>
            </w:r>
            <w:r>
              <w:rPr>
                <w:rFonts w:hint="eastAsia" w:ascii="Times New Roman" w:hAnsi="Times New Roman" w:eastAsia="宋体" w:cs="Times New Roman"/>
                <w:color w:val="auto"/>
                <w:kern w:val="0"/>
                <w:sz w:val="24"/>
                <w:vertAlign w:val="superscript"/>
              </w:rPr>
              <w:t>2</w:t>
            </w:r>
            <w:r>
              <w:rPr>
                <w:rFonts w:hint="eastAsia" w:ascii="Times New Roman" w:hAnsi="Times New Roman" w:eastAsia="宋体" w:cs="Times New Roman"/>
                <w:color w:val="auto"/>
                <w:kern w:val="0"/>
                <w:sz w:val="24"/>
              </w:rPr>
              <w:t>，实验区面积</w:t>
            </w:r>
            <w:r>
              <w:rPr>
                <w:rFonts w:ascii="Times New Roman" w:hAnsi="Times New Roman" w:eastAsia="宋体" w:cs="Times New Roman"/>
                <w:color w:val="auto"/>
                <w:kern w:val="0"/>
                <w:sz w:val="24"/>
              </w:rPr>
              <w:t>387.35</w:t>
            </w:r>
            <w:r>
              <w:rPr>
                <w:rFonts w:hint="eastAsia" w:ascii="Times New Roman" w:hAnsi="Times New Roman" w:eastAsia="宋体" w:cs="Times New Roman"/>
                <w:color w:val="auto"/>
                <w:kern w:val="0"/>
                <w:sz w:val="24"/>
              </w:rPr>
              <w:t>hm</w:t>
            </w:r>
            <w:r>
              <w:rPr>
                <w:rFonts w:hint="eastAsia" w:ascii="Times New Roman" w:hAnsi="Times New Roman" w:eastAsia="宋体" w:cs="Times New Roman"/>
                <w:color w:val="auto"/>
                <w:kern w:val="0"/>
                <w:sz w:val="24"/>
                <w:vertAlign w:val="superscript"/>
              </w:rPr>
              <w:t>2</w:t>
            </w:r>
            <w:r>
              <w:rPr>
                <w:rFonts w:hint="eastAsia" w:ascii="Times New Roman" w:hAnsi="Times New Roman" w:eastAsia="宋体" w:cs="Times New Roman"/>
                <w:color w:val="auto"/>
                <w:kern w:val="0"/>
                <w:sz w:val="24"/>
              </w:rPr>
              <w:t>。</w:t>
            </w:r>
          </w:p>
          <w:p>
            <w:pPr>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元谋土林州级自然保护区属于自然遗迹类小型规模的保护区，主要保护对象为：古人类和古生物化石等古生物遗迹，土林地貌景观、地层剖面和构造剖面等地质遗迹。</w:t>
            </w:r>
          </w:p>
          <w:p>
            <w:pPr>
              <w:adjustRightInd w:val="0"/>
              <w:snapToGrid w:val="0"/>
              <w:spacing w:line="360" w:lineRule="auto"/>
              <w:ind w:firstLine="482"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b/>
                <w:bCs/>
                <w:color w:val="auto"/>
                <w:kern w:val="0"/>
                <w:sz w:val="24"/>
              </w:rPr>
              <w:t>（2）拟建项目与元谋土林州级保护区的关系</w:t>
            </w:r>
          </w:p>
          <w:p>
            <w:pPr>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本项目位于元谋土林州级自然保护区北部虎跳滩土林片区西北，不涉及元谋土林州级自然保护区，距离最近为班果土林片区，项目</w:t>
            </w:r>
            <w:r>
              <w:rPr>
                <w:rFonts w:hint="eastAsia" w:ascii="Times New Roman" w:hAnsi="Times New Roman" w:eastAsia="宋体" w:cs="Times New Roman"/>
                <w:color w:val="auto"/>
                <w:kern w:val="0"/>
                <w:sz w:val="24"/>
                <w:lang w:eastAsia="zh-CN"/>
              </w:rPr>
              <w:t>阿</w:t>
            </w:r>
            <w:r>
              <w:rPr>
                <w:rFonts w:hint="eastAsia" w:ascii="Times New Roman" w:hAnsi="Times New Roman" w:eastAsia="宋体" w:cs="Times New Roman"/>
                <w:color w:val="auto"/>
                <w:kern w:val="0"/>
                <w:sz w:val="24"/>
                <w:lang w:val="en-US" w:eastAsia="zh-CN"/>
              </w:rPr>
              <w:t>郎</w:t>
            </w:r>
            <w:r>
              <w:rPr>
                <w:rFonts w:hint="eastAsia" w:ascii="Times New Roman" w:hAnsi="Times New Roman" w:eastAsia="宋体" w:cs="Times New Roman"/>
                <w:color w:val="auto"/>
                <w:kern w:val="0"/>
                <w:sz w:val="24"/>
              </w:rPr>
              <w:t>片区位于元谋土林州级保护区班果土林片区东南侧，直线距离约</w:t>
            </w:r>
            <w:r>
              <w:rPr>
                <w:rFonts w:hint="eastAsia" w:ascii="Times New Roman" w:hAnsi="Times New Roman" w:eastAsia="宋体" w:cs="Times New Roman"/>
                <w:color w:val="auto"/>
                <w:kern w:val="0"/>
                <w:sz w:val="24"/>
                <w:lang w:val="en-US" w:eastAsia="zh-CN"/>
              </w:rPr>
              <w:t>800</w:t>
            </w:r>
            <w:r>
              <w:rPr>
                <w:rFonts w:hint="eastAsia" w:cs="Times New Roman"/>
                <w:color w:val="auto"/>
                <w:kern w:val="0"/>
                <w:sz w:val="24"/>
                <w:lang w:val="en-US" w:eastAsia="zh-CN"/>
              </w:rPr>
              <w:t>0</w:t>
            </w:r>
            <w:r>
              <w:rPr>
                <w:rFonts w:hint="eastAsia" w:ascii="Times New Roman" w:hAnsi="Times New Roman" w:eastAsia="宋体" w:cs="Times New Roman"/>
                <w:color w:val="auto"/>
                <w:kern w:val="0"/>
                <w:sz w:val="24"/>
              </w:rPr>
              <w:t>m；不涉及元谋土林州级自然保护区，其余个片区与自然保护区距离均超过</w:t>
            </w:r>
            <w:r>
              <w:rPr>
                <w:rFonts w:hint="eastAsia" w:ascii="Times New Roman" w:hAnsi="Times New Roman" w:eastAsia="宋体" w:cs="Times New Roman"/>
                <w:color w:val="auto"/>
                <w:kern w:val="0"/>
                <w:sz w:val="24"/>
                <w:lang w:val="en-US" w:eastAsia="zh-CN"/>
              </w:rPr>
              <w:t>800</w:t>
            </w:r>
            <w:r>
              <w:rPr>
                <w:rFonts w:hint="eastAsia" w:cs="Times New Roman"/>
                <w:color w:val="auto"/>
                <w:kern w:val="0"/>
                <w:sz w:val="24"/>
                <w:lang w:val="en-US" w:eastAsia="zh-CN"/>
              </w:rPr>
              <w:t>0</w:t>
            </w:r>
            <w:r>
              <w:rPr>
                <w:rFonts w:hint="eastAsia" w:ascii="Times New Roman" w:hAnsi="Times New Roman" w:eastAsia="宋体" w:cs="Times New Roman"/>
                <w:color w:val="auto"/>
                <w:kern w:val="0"/>
                <w:sz w:val="24"/>
              </w:rPr>
              <w:t>m；因此，本项目的建设不会对元谋土林州级自然保护区造成影响。项目与元谋土林州级自然保护区位置关系图见：附图</w:t>
            </w:r>
            <w:r>
              <w:rPr>
                <w:rFonts w:hint="eastAsia" w:cs="Times New Roman"/>
                <w:color w:val="auto"/>
                <w:kern w:val="0"/>
                <w:sz w:val="24"/>
                <w:lang w:val="en-US" w:eastAsia="zh-CN"/>
              </w:rPr>
              <w:t>6</w:t>
            </w:r>
            <w:r>
              <w:rPr>
                <w:rFonts w:hint="eastAsia" w:ascii="Times New Roman" w:hAnsi="Times New Roman" w:eastAsia="宋体" w:cs="Times New Roman"/>
                <w:color w:val="auto"/>
                <w:kern w:val="0"/>
                <w:sz w:val="24"/>
              </w:rPr>
              <w:t xml:space="preserve"> </w:t>
            </w:r>
            <w:r>
              <w:rPr>
                <w:rFonts w:ascii="Times New Roman" w:hAnsi="Times New Roman" w:eastAsia="宋体" w:cs="Times New Roman"/>
                <w:color w:val="auto"/>
                <w:sz w:val="24"/>
              </w:rPr>
              <w:t>项目与元谋县</w:t>
            </w:r>
            <w:r>
              <w:rPr>
                <w:rFonts w:hint="eastAsia" w:ascii="Times New Roman" w:hAnsi="Times New Roman" w:eastAsia="宋体" w:cs="Times New Roman"/>
                <w:color w:val="auto"/>
                <w:sz w:val="24"/>
              </w:rPr>
              <w:t>自然保护区、风景名胜</w:t>
            </w:r>
            <w:r>
              <w:rPr>
                <w:rFonts w:ascii="Times New Roman" w:hAnsi="Times New Roman" w:eastAsia="宋体" w:cs="Times New Roman"/>
                <w:color w:val="auto"/>
                <w:sz w:val="24"/>
              </w:rPr>
              <w:t>区位置关系图</w:t>
            </w:r>
            <w:r>
              <w:rPr>
                <w:rFonts w:hint="eastAsia" w:ascii="Times New Roman" w:hAnsi="Times New Roman" w:eastAsia="宋体" w:cs="Times New Roman"/>
                <w:color w:val="auto"/>
                <w:kern w:val="0"/>
                <w:sz w:val="24"/>
              </w:rPr>
              <w:t>。</w:t>
            </w:r>
          </w:p>
          <w:p>
            <w:pPr>
              <w:adjustRightInd w:val="0"/>
              <w:snapToGrid w:val="0"/>
              <w:spacing w:line="360" w:lineRule="auto"/>
              <w:rPr>
                <w:rFonts w:hint="eastAsia" w:ascii="Times New Roman" w:hAnsi="Times New Roman" w:eastAsia="宋体" w:cs="Times New Roman"/>
                <w:b/>
                <w:color w:val="auto"/>
                <w:spacing w:val="-10"/>
                <w:sz w:val="24"/>
              </w:rPr>
            </w:pPr>
            <w:r>
              <w:rPr>
                <w:rFonts w:hint="eastAsia" w:ascii="Times New Roman" w:hAnsi="Times New Roman" w:eastAsia="宋体" w:cs="Times New Roman"/>
                <w:b/>
                <w:bCs/>
                <w:color w:val="auto"/>
                <w:sz w:val="24"/>
              </w:rPr>
              <w:t>3.4.3</w:t>
            </w:r>
            <w:r>
              <w:rPr>
                <w:rFonts w:hint="eastAsia" w:ascii="Times New Roman" w:hAnsi="Times New Roman" w:eastAsia="宋体" w:cs="Times New Roman"/>
                <w:b/>
                <w:color w:val="auto"/>
                <w:sz w:val="24"/>
              </w:rPr>
              <w:t>元谋土林省级风景名胜区</w:t>
            </w:r>
          </w:p>
          <w:p>
            <w:pPr>
              <w:adjustRightInd w:val="0"/>
              <w:snapToGrid w:val="0"/>
              <w:spacing w:line="360" w:lineRule="auto"/>
              <w:ind w:firstLine="442" w:firstLineChars="200"/>
              <w:rPr>
                <w:rFonts w:hint="eastAsia" w:ascii="Times New Roman" w:hAnsi="Times New Roman" w:eastAsia="宋体" w:cs="Times New Roman"/>
                <w:b/>
                <w:color w:val="auto"/>
                <w:kern w:val="0"/>
                <w:sz w:val="24"/>
              </w:rPr>
            </w:pPr>
            <w:r>
              <w:rPr>
                <w:rFonts w:hint="eastAsia" w:ascii="Times New Roman" w:hAnsi="Times New Roman" w:eastAsia="宋体" w:cs="Times New Roman"/>
                <w:b/>
                <w:color w:val="auto"/>
                <w:spacing w:val="-10"/>
                <w:sz w:val="24"/>
              </w:rPr>
              <w:t>（1）</w:t>
            </w:r>
            <w:r>
              <w:rPr>
                <w:rFonts w:hint="eastAsia" w:ascii="Times New Roman" w:hAnsi="Times New Roman" w:eastAsia="宋体" w:cs="Times New Roman"/>
                <w:b/>
                <w:color w:val="auto"/>
                <w:sz w:val="24"/>
              </w:rPr>
              <w:t>元</w:t>
            </w:r>
            <w:r>
              <w:rPr>
                <w:rFonts w:hint="eastAsia" w:ascii="Times New Roman" w:hAnsi="Times New Roman" w:eastAsia="宋体" w:cs="Times New Roman"/>
                <w:b/>
                <w:color w:val="auto"/>
                <w:kern w:val="0"/>
                <w:sz w:val="24"/>
              </w:rPr>
              <w:t>谋土林省级风景名胜区现状</w:t>
            </w:r>
          </w:p>
          <w:p>
            <w:pPr>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元谋省级风景名胜区范围较分散，由金沙江峡谷片区、物茂片区、班果、新华等四个片区组成：</w:t>
            </w:r>
          </w:p>
          <w:p>
            <w:pPr>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1）金沙江峡谷景区，面积126.3km²，景区范围东至白马口，西至龙街渡，南、北以峡谷山脊连线为界，包括江边乡乌东德水库淹没区域。</w:t>
            </w:r>
          </w:p>
          <w:p>
            <w:pPr>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2）物茂土林，面积4.4 km²，范围包括物茂土林游览区、虎跳滩区域及周边环境保护区域。</w:t>
            </w:r>
          </w:p>
          <w:p>
            <w:pPr>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3）班果土林，面积8.6km²，景区范围包括班果土林及周围保护区域。</w:t>
            </w:r>
          </w:p>
          <w:p>
            <w:pPr>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4）浪巴铺土林，面积21.8km²，景区范围包括新华乡浪巴铺土林及周边保护区、河尾水库及周边区域。</w:t>
            </w:r>
          </w:p>
          <w:p>
            <w:pPr>
              <w:adjustRightInd w:val="0"/>
              <w:snapToGrid w:val="0"/>
              <w:spacing w:line="360" w:lineRule="auto"/>
              <w:ind w:firstLine="442" w:firstLineChars="200"/>
              <w:rPr>
                <w:rFonts w:hint="eastAsia" w:ascii="Times New Roman" w:hAnsi="Times New Roman" w:eastAsia="宋体" w:cs="Times New Roman"/>
                <w:b/>
                <w:color w:val="auto"/>
                <w:spacing w:val="-10"/>
                <w:sz w:val="24"/>
              </w:rPr>
            </w:pPr>
            <w:r>
              <w:rPr>
                <w:rFonts w:hint="eastAsia" w:ascii="Times New Roman" w:hAnsi="Times New Roman" w:eastAsia="宋体" w:cs="Times New Roman"/>
                <w:b/>
                <w:color w:val="auto"/>
                <w:spacing w:val="-10"/>
                <w:sz w:val="24"/>
              </w:rPr>
              <w:t>（2）拟建项目与元谋土林省级风景名胜区的关系</w:t>
            </w:r>
          </w:p>
          <w:p>
            <w:pPr>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本项目与金沙江峡谷片区、物茂片区、班果、新华等四个片区相距均较远；本项目</w:t>
            </w:r>
            <w:r>
              <w:rPr>
                <w:rFonts w:hint="eastAsia" w:ascii="Times New Roman" w:hAnsi="Times New Roman" w:eastAsia="宋体" w:cs="Times New Roman"/>
                <w:color w:val="auto"/>
                <w:kern w:val="0"/>
                <w:sz w:val="24"/>
                <w:lang w:eastAsia="zh-CN"/>
              </w:rPr>
              <w:t>阿</w:t>
            </w:r>
            <w:r>
              <w:rPr>
                <w:rFonts w:hint="eastAsia" w:ascii="Times New Roman" w:hAnsi="Times New Roman" w:eastAsia="宋体" w:cs="Times New Roman"/>
                <w:color w:val="auto"/>
                <w:kern w:val="0"/>
                <w:sz w:val="24"/>
                <w:lang w:val="en-US" w:eastAsia="zh-CN"/>
              </w:rPr>
              <w:t>郎</w:t>
            </w:r>
            <w:r>
              <w:rPr>
                <w:rFonts w:hint="eastAsia" w:ascii="Times New Roman" w:hAnsi="Times New Roman" w:eastAsia="宋体" w:cs="Times New Roman"/>
                <w:color w:val="auto"/>
                <w:kern w:val="0"/>
                <w:sz w:val="24"/>
              </w:rPr>
              <w:t>片区与班果土林距离最近，位于元谋土林省级风景名胜区班果土林东南侧，直线距离约为</w:t>
            </w:r>
            <w:r>
              <w:rPr>
                <w:rFonts w:hint="eastAsia" w:ascii="Times New Roman" w:hAnsi="Times New Roman" w:eastAsia="宋体" w:cs="Times New Roman"/>
                <w:color w:val="auto"/>
                <w:kern w:val="0"/>
                <w:sz w:val="24"/>
                <w:lang w:val="en-US" w:eastAsia="zh-CN"/>
              </w:rPr>
              <w:t>800</w:t>
            </w:r>
            <w:r>
              <w:rPr>
                <w:rFonts w:hint="eastAsia" w:cs="Times New Roman"/>
                <w:color w:val="auto"/>
                <w:kern w:val="0"/>
                <w:sz w:val="24"/>
                <w:lang w:val="en-US" w:eastAsia="zh-CN"/>
              </w:rPr>
              <w:t>0</w:t>
            </w:r>
            <w:r>
              <w:rPr>
                <w:rFonts w:hint="eastAsia" w:ascii="Times New Roman" w:hAnsi="Times New Roman" w:eastAsia="宋体" w:cs="Times New Roman"/>
                <w:color w:val="auto"/>
                <w:kern w:val="0"/>
                <w:sz w:val="24"/>
              </w:rPr>
              <w:t>m，未涉及该风景名胜区；不涉及元谋省级风景名胜区，其余各片区该风景名胜区距离均超过</w:t>
            </w:r>
            <w:r>
              <w:rPr>
                <w:rFonts w:hint="eastAsia" w:ascii="Times New Roman" w:hAnsi="Times New Roman" w:eastAsia="宋体" w:cs="Times New Roman"/>
                <w:color w:val="auto"/>
                <w:kern w:val="0"/>
                <w:sz w:val="24"/>
                <w:lang w:val="en-US" w:eastAsia="zh-CN"/>
              </w:rPr>
              <w:t>800</w:t>
            </w:r>
            <w:r>
              <w:rPr>
                <w:rFonts w:hint="eastAsia" w:cs="Times New Roman"/>
                <w:color w:val="auto"/>
                <w:kern w:val="0"/>
                <w:sz w:val="24"/>
                <w:lang w:val="en-US" w:eastAsia="zh-CN"/>
              </w:rPr>
              <w:t>0</w:t>
            </w:r>
            <w:r>
              <w:rPr>
                <w:rFonts w:hint="eastAsia" w:ascii="Times New Roman" w:hAnsi="Times New Roman" w:eastAsia="宋体" w:cs="Times New Roman"/>
                <w:color w:val="auto"/>
                <w:kern w:val="0"/>
                <w:sz w:val="24"/>
              </w:rPr>
              <w:t>m。因此，本项目的建设不会对该风景名胜区造成影响。项目与元谋土林省级风景名胜区的位置关系图见：附图</w:t>
            </w:r>
            <w:r>
              <w:rPr>
                <w:rFonts w:hint="eastAsia" w:cs="Times New Roman"/>
                <w:color w:val="auto"/>
                <w:kern w:val="0"/>
                <w:sz w:val="24"/>
                <w:lang w:val="en-US" w:eastAsia="zh-CN"/>
              </w:rPr>
              <w:t>6</w:t>
            </w:r>
            <w:r>
              <w:rPr>
                <w:rFonts w:hint="eastAsia" w:ascii="Times New Roman" w:hAnsi="Times New Roman" w:eastAsia="宋体" w:cs="Times New Roman"/>
                <w:color w:val="auto"/>
                <w:kern w:val="0"/>
                <w:sz w:val="24"/>
              </w:rPr>
              <w:t xml:space="preserve">  </w:t>
            </w:r>
            <w:r>
              <w:rPr>
                <w:rFonts w:ascii="Times New Roman" w:hAnsi="Times New Roman" w:eastAsia="宋体" w:cs="Times New Roman"/>
                <w:color w:val="auto"/>
                <w:sz w:val="24"/>
              </w:rPr>
              <w:t>项目与元谋县</w:t>
            </w:r>
            <w:r>
              <w:rPr>
                <w:rFonts w:hint="eastAsia" w:ascii="Times New Roman" w:hAnsi="Times New Roman" w:eastAsia="宋体" w:cs="Times New Roman"/>
                <w:color w:val="auto"/>
                <w:sz w:val="24"/>
              </w:rPr>
              <w:t>自然保护区、风景名胜</w:t>
            </w:r>
            <w:r>
              <w:rPr>
                <w:rFonts w:ascii="Times New Roman" w:hAnsi="Times New Roman" w:eastAsia="宋体" w:cs="Times New Roman"/>
                <w:color w:val="auto"/>
                <w:sz w:val="24"/>
              </w:rPr>
              <w:t>区位置关系图</w:t>
            </w:r>
            <w:r>
              <w:rPr>
                <w:rFonts w:hint="eastAsia" w:ascii="Times New Roman" w:hAnsi="Times New Roman" w:eastAsia="宋体" w:cs="Times New Roman"/>
                <w:color w:val="auto"/>
                <w:kern w:val="0"/>
                <w:sz w:val="24"/>
              </w:rPr>
              <w:t>。</w:t>
            </w:r>
          </w:p>
          <w:p>
            <w:pPr>
              <w:adjustRightInd w:val="0"/>
              <w:snapToGrid w:val="0"/>
              <w:spacing w:line="360" w:lineRule="auto"/>
              <w:rPr>
                <w:rFonts w:hint="eastAsia" w:ascii="Times New Roman" w:hAnsi="Times New Roman" w:eastAsia="宋体" w:cs="Times New Roman"/>
                <w:b/>
                <w:color w:val="auto"/>
                <w:kern w:val="0"/>
                <w:sz w:val="24"/>
              </w:rPr>
            </w:pPr>
            <w:r>
              <w:rPr>
                <w:rFonts w:hint="eastAsia" w:ascii="Times New Roman" w:hAnsi="Times New Roman" w:eastAsia="宋体" w:cs="Times New Roman"/>
                <w:b/>
                <w:bCs/>
                <w:color w:val="auto"/>
                <w:sz w:val="24"/>
              </w:rPr>
              <w:t>3.4.4</w:t>
            </w:r>
            <w:r>
              <w:rPr>
                <w:rFonts w:hint="eastAsia" w:ascii="Times New Roman" w:hAnsi="Times New Roman" w:eastAsia="宋体" w:cs="Times New Roman"/>
                <w:b/>
                <w:color w:val="auto"/>
                <w:kern w:val="0"/>
                <w:sz w:val="24"/>
              </w:rPr>
              <w:t>饮用水源保护区</w:t>
            </w:r>
          </w:p>
          <w:p>
            <w:pPr>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经调查，元谋县已划定县级以上城市集中式生活饮用水水源地2个（元谋丙间水库、元谋麻柳水库），已划定乡镇级饮用水水源地8个（坝以河水库、前进水库、储麦水库、新河水库、弯腰树水库、坛罐窑水库、磨石河饮用水水源地、阿咪拉取水点饮用水水源地），已划定农村“千吨万人”饮用水水源地2个（挨小河水库、坛罐窑水库）。本项目不涉及上述饮用水水源地保护区。拟建项目松树湾片区位于丙间水库下游约1690m处，距离丙间水库饮用水水源保护区约1540m</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其余片区距离该</w:t>
            </w:r>
            <w:r>
              <w:rPr>
                <w:rFonts w:hint="eastAsia" w:ascii="Times New Roman" w:hAnsi="Times New Roman" w:eastAsia="宋体" w:cs="Times New Roman"/>
                <w:color w:val="auto"/>
                <w:kern w:val="0"/>
                <w:sz w:val="24"/>
              </w:rPr>
              <w:t>饮用水水源保护区</w:t>
            </w:r>
            <w:r>
              <w:rPr>
                <w:rFonts w:hint="eastAsia" w:ascii="Times New Roman" w:hAnsi="Times New Roman" w:eastAsia="宋体" w:cs="Times New Roman"/>
                <w:color w:val="auto"/>
                <w:kern w:val="0"/>
                <w:sz w:val="24"/>
                <w:lang w:val="en-US" w:eastAsia="zh-CN"/>
              </w:rPr>
              <w:t>距离均超过1540m</w:t>
            </w:r>
            <w:r>
              <w:rPr>
                <w:rFonts w:hint="eastAsia" w:ascii="Times New Roman" w:hAnsi="Times New Roman" w:eastAsia="宋体" w:cs="Times New Roman"/>
                <w:color w:val="auto"/>
                <w:kern w:val="0"/>
                <w:sz w:val="24"/>
              </w:rPr>
              <w:t>；拟建项目松树湾片区位于麻柳水库下游约1840m处，距离麻柳水库饮用水水源保护区约1410m</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其余片区距离该</w:t>
            </w:r>
            <w:r>
              <w:rPr>
                <w:rFonts w:hint="eastAsia" w:ascii="Times New Roman" w:hAnsi="Times New Roman" w:eastAsia="宋体" w:cs="Times New Roman"/>
                <w:color w:val="auto"/>
                <w:kern w:val="0"/>
                <w:sz w:val="24"/>
              </w:rPr>
              <w:t>饮用水水源保护区</w:t>
            </w:r>
            <w:r>
              <w:rPr>
                <w:rFonts w:hint="eastAsia" w:ascii="Times New Roman" w:hAnsi="Times New Roman" w:eastAsia="宋体" w:cs="Times New Roman"/>
                <w:color w:val="auto"/>
                <w:kern w:val="0"/>
                <w:sz w:val="24"/>
                <w:lang w:val="en-US" w:eastAsia="zh-CN"/>
              </w:rPr>
              <w:t>距离均超过1840m</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rPr>
              <w:t>因此，本项目的建设不会对区域饮用水水源保护区造成影响。</w:t>
            </w:r>
          </w:p>
          <w:p>
            <w:pPr>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根据元谋县水务局出具的《关于楚雄州元谋县华能元谋马头地光伏电站项目选址意见的复函》（附件</w:t>
            </w:r>
            <w:r>
              <w:rPr>
                <w:rFonts w:hint="eastAsia" w:ascii="Times New Roman" w:hAnsi="Times New Roman" w:eastAsia="宋体" w:cs="Times New Roman"/>
                <w:color w:val="auto"/>
                <w:kern w:val="0"/>
                <w:sz w:val="24"/>
                <w:lang w:val="en-US" w:eastAsia="zh-CN"/>
              </w:rPr>
              <w:t>7</w:t>
            </w:r>
            <w:r>
              <w:rPr>
                <w:rFonts w:hint="eastAsia" w:ascii="Times New Roman" w:hAnsi="Times New Roman" w:eastAsia="宋体" w:cs="Times New Roman"/>
                <w:color w:val="auto"/>
                <w:kern w:val="0"/>
                <w:sz w:val="24"/>
              </w:rPr>
              <w:t>），项目不涉及饮用水水源保护区、水功能一级区的保护区和保留区。</w:t>
            </w:r>
          </w:p>
          <w:p>
            <w:pPr>
              <w:keepNext w:val="0"/>
              <w:keepLines w:val="0"/>
              <w:pageBreakBefore w:val="0"/>
              <w:widowControl w:val="0"/>
              <w:kinsoku/>
              <w:wordWrap/>
              <w:overflowPunct/>
              <w:topLinePunct w:val="0"/>
              <w:autoSpaceDE/>
              <w:autoSpaceDN/>
              <w:bidi w:val="0"/>
              <w:spacing w:line="360" w:lineRule="auto"/>
              <w:ind w:right="0" w:rightChars="0"/>
              <w:jc w:val="both"/>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3.5环境空气质量现状</w:t>
            </w:r>
          </w:p>
          <w:p>
            <w:pPr>
              <w:pStyle w:val="10"/>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华能元谋马头地光伏电站建设项目位于云南省楚雄州元谋县老城乡，属环境空气质量二类区。</w:t>
            </w:r>
          </w:p>
          <w:p>
            <w:pPr>
              <w:pStyle w:val="10"/>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根据元谋县人民政府202</w:t>
            </w:r>
            <w:r>
              <w:rPr>
                <w:rFonts w:hint="eastAsia" w:ascii="Times New Roman" w:hAnsi="Times New Roman" w:cs="Times New Roman"/>
                <w:color w:val="auto"/>
                <w:sz w:val="24"/>
                <w:lang w:val="en-US" w:eastAsia="zh-CN"/>
              </w:rPr>
              <w:t>3</w:t>
            </w:r>
            <w:r>
              <w:rPr>
                <w:rFonts w:hint="default" w:ascii="Times New Roman" w:hAnsi="Times New Roman" w:eastAsia="宋体" w:cs="Times New Roman"/>
                <w:color w:val="auto"/>
                <w:sz w:val="24"/>
                <w:lang w:val="en-US" w:eastAsia="zh-CN"/>
              </w:rPr>
              <w:t>年</w:t>
            </w:r>
            <w:r>
              <w:rPr>
                <w:rFonts w:hint="eastAsia" w:ascii="Times New Roman" w:hAnsi="Times New Roman" w:cs="Times New Roman"/>
                <w:color w:val="auto"/>
                <w:sz w:val="24"/>
                <w:lang w:val="en-US" w:eastAsia="zh-CN"/>
              </w:rPr>
              <w:t>1</w:t>
            </w:r>
            <w:r>
              <w:rPr>
                <w:rFonts w:hint="default" w:ascii="Times New Roman" w:hAnsi="Times New Roman" w:eastAsia="宋体" w:cs="Times New Roman"/>
                <w:color w:val="auto"/>
                <w:sz w:val="24"/>
                <w:lang w:val="en-US" w:eastAsia="zh-CN"/>
              </w:rPr>
              <w:t>月</w:t>
            </w:r>
            <w:r>
              <w:rPr>
                <w:rFonts w:hint="eastAsia" w:ascii="Times New Roman" w:hAnsi="Times New Roman" w:cs="Times New Roman"/>
                <w:color w:val="auto"/>
                <w:sz w:val="24"/>
                <w:lang w:val="en-US" w:eastAsia="zh-CN"/>
              </w:rPr>
              <w:t>31</w:t>
            </w:r>
            <w:r>
              <w:rPr>
                <w:rFonts w:hint="default" w:ascii="Times New Roman" w:hAnsi="Times New Roman" w:eastAsia="宋体" w:cs="Times New Roman"/>
                <w:color w:val="auto"/>
                <w:sz w:val="24"/>
                <w:lang w:val="en-US" w:eastAsia="zh-CN"/>
              </w:rPr>
              <w:t>日公布的《202</w:t>
            </w:r>
            <w:r>
              <w:rPr>
                <w:rFonts w:hint="eastAsia" w:ascii="Times New Roman" w:hAnsi="Times New Roman" w:cs="Times New Roman"/>
                <w:color w:val="auto"/>
                <w:sz w:val="24"/>
                <w:lang w:val="en-US" w:eastAsia="zh-CN"/>
              </w:rPr>
              <w:t>2</w:t>
            </w:r>
            <w:r>
              <w:rPr>
                <w:rFonts w:hint="default" w:ascii="Times New Roman" w:hAnsi="Times New Roman" w:eastAsia="宋体" w:cs="Times New Roman"/>
                <w:color w:val="auto"/>
                <w:sz w:val="24"/>
                <w:lang w:val="en-US" w:eastAsia="zh-CN"/>
              </w:rPr>
              <w:t>年元谋县环境质量状况》，2022年，元谋县共设1个空气自动监测站点，为省控监测点位（元谋县环保局）。监测项目均包含可吸入颗粒物(PM</w:t>
            </w:r>
            <w:r>
              <w:rPr>
                <w:rFonts w:hint="default" w:ascii="Times New Roman" w:hAnsi="Times New Roman" w:eastAsia="宋体" w:cs="Times New Roman"/>
                <w:color w:val="auto"/>
                <w:sz w:val="24"/>
                <w:vertAlign w:val="subscript"/>
                <w:lang w:val="en-US" w:eastAsia="zh-CN"/>
              </w:rPr>
              <w:t>10</w:t>
            </w:r>
            <w:r>
              <w:rPr>
                <w:rFonts w:hint="default" w:ascii="Times New Roman" w:hAnsi="Times New Roman" w:eastAsia="宋体" w:cs="Times New Roman"/>
                <w:color w:val="auto"/>
                <w:sz w:val="24"/>
                <w:lang w:val="en-US" w:eastAsia="zh-CN"/>
              </w:rPr>
              <w:t>）、细颗粒物（PM</w:t>
            </w:r>
            <w:r>
              <w:rPr>
                <w:rFonts w:hint="default" w:ascii="Times New Roman" w:hAnsi="Times New Roman" w:eastAsia="宋体" w:cs="Times New Roman"/>
                <w:color w:val="auto"/>
                <w:sz w:val="24"/>
                <w:vertAlign w:val="subscript"/>
                <w:lang w:val="en-US" w:eastAsia="zh-CN"/>
              </w:rPr>
              <w:t>2.5</w:t>
            </w:r>
            <w:r>
              <w:rPr>
                <w:rFonts w:hint="default" w:ascii="Times New Roman" w:hAnsi="Times New Roman" w:eastAsia="宋体" w:cs="Times New Roman"/>
                <w:color w:val="auto"/>
                <w:sz w:val="24"/>
                <w:lang w:val="en-US" w:eastAsia="zh-CN"/>
              </w:rPr>
              <w:t>）、二氧化硫（S</w:t>
            </w:r>
            <w:r>
              <w:rPr>
                <w:rFonts w:hint="eastAsia" w:ascii="Times New Roman" w:hAnsi="Times New Roman" w:cs="Times New Roman"/>
                <w:color w:val="auto"/>
                <w:sz w:val="24"/>
                <w:lang w:val="en-US" w:eastAsia="zh-CN"/>
              </w:rPr>
              <w:t>O</w:t>
            </w:r>
            <w:r>
              <w:rPr>
                <w:rFonts w:hint="default" w:ascii="Times New Roman" w:hAnsi="Times New Roman" w:eastAsia="宋体" w:cs="Times New Roman"/>
                <w:color w:val="auto"/>
                <w:sz w:val="24"/>
                <w:vertAlign w:val="subscript"/>
                <w:lang w:val="en-US" w:eastAsia="zh-CN"/>
              </w:rPr>
              <w:t>2</w:t>
            </w:r>
            <w:r>
              <w:rPr>
                <w:rFonts w:hint="default" w:ascii="Times New Roman" w:hAnsi="Times New Roman" w:eastAsia="宋体" w:cs="Times New Roman"/>
                <w:color w:val="auto"/>
                <w:sz w:val="24"/>
                <w:lang w:val="en-US" w:eastAsia="zh-CN"/>
              </w:rPr>
              <w:t>）、二氧化氮（N</w:t>
            </w:r>
            <w:r>
              <w:rPr>
                <w:rFonts w:hint="eastAsia" w:ascii="Times New Roman" w:hAnsi="Times New Roman" w:cs="Times New Roman"/>
                <w:color w:val="auto"/>
                <w:sz w:val="24"/>
                <w:lang w:val="en-US" w:eastAsia="zh-CN"/>
              </w:rPr>
              <w:t>O</w:t>
            </w:r>
            <w:r>
              <w:rPr>
                <w:rFonts w:hint="default" w:ascii="Times New Roman" w:hAnsi="Times New Roman" w:eastAsia="宋体" w:cs="Times New Roman"/>
                <w:color w:val="auto"/>
                <w:sz w:val="24"/>
                <w:vertAlign w:val="subscript"/>
                <w:lang w:val="en-US" w:eastAsia="zh-CN"/>
              </w:rPr>
              <w:t>2</w:t>
            </w:r>
            <w:r>
              <w:rPr>
                <w:rFonts w:hint="default" w:ascii="Times New Roman" w:hAnsi="Times New Roman" w:eastAsia="宋体" w:cs="Times New Roman"/>
                <w:color w:val="auto"/>
                <w:sz w:val="24"/>
                <w:lang w:val="en-US" w:eastAsia="zh-CN"/>
              </w:rPr>
              <w:t>）、一氧化碳（CO）、臭氧（</w:t>
            </w:r>
            <w:r>
              <w:rPr>
                <w:rFonts w:hint="eastAsia" w:ascii="Times New Roman" w:hAnsi="Times New Roman" w:cs="Times New Roman"/>
                <w:color w:val="auto"/>
                <w:sz w:val="24"/>
                <w:lang w:val="en-US" w:eastAsia="zh-CN"/>
              </w:rPr>
              <w:t>O</w:t>
            </w:r>
            <w:r>
              <w:rPr>
                <w:rFonts w:hint="default" w:ascii="Times New Roman" w:hAnsi="Times New Roman" w:eastAsia="宋体" w:cs="Times New Roman"/>
                <w:color w:val="auto"/>
                <w:sz w:val="24"/>
                <w:vertAlign w:val="subscript"/>
                <w:lang w:val="en-US" w:eastAsia="zh-CN"/>
              </w:rPr>
              <w:t>3</w:t>
            </w:r>
            <w:r>
              <w:rPr>
                <w:rFonts w:hint="default" w:ascii="Times New Roman" w:hAnsi="Times New Roman" w:eastAsia="宋体" w:cs="Times New Roman"/>
                <w:color w:val="auto"/>
                <w:sz w:val="24"/>
                <w:lang w:val="en-US" w:eastAsia="zh-CN"/>
              </w:rPr>
              <w:t>）等常规6项、气象五参数（温度、湿度、气压、风向、风速）、能见度，监测频次为24小时连续自动监测，并实时上传和发布数据。从空气质量综合指数来看，元谋县2022年空气质量综 合指数为1.99，较2021年的2.37下降16%，空气质量有所提升。从各监测指标评价结果来看，2022年元谋县可吸入颗粒物(PM</w:t>
            </w:r>
            <w:r>
              <w:rPr>
                <w:rFonts w:hint="default" w:ascii="Times New Roman" w:hAnsi="Times New Roman" w:eastAsia="宋体" w:cs="Times New Roman"/>
                <w:color w:val="auto"/>
                <w:sz w:val="24"/>
                <w:vertAlign w:val="subscript"/>
                <w:lang w:val="en-US" w:eastAsia="zh-CN"/>
              </w:rPr>
              <w:t>10</w:t>
            </w:r>
            <w:r>
              <w:rPr>
                <w:rFonts w:hint="default" w:ascii="Times New Roman" w:hAnsi="Times New Roman" w:eastAsia="宋体" w:cs="Times New Roman"/>
                <w:color w:val="auto"/>
                <w:sz w:val="24"/>
                <w:lang w:val="en-US" w:eastAsia="zh-CN"/>
              </w:rPr>
              <w:t>）、细颗粒物（PM</w:t>
            </w:r>
            <w:r>
              <w:rPr>
                <w:rFonts w:hint="default" w:ascii="Times New Roman" w:hAnsi="Times New Roman" w:eastAsia="宋体" w:cs="Times New Roman"/>
                <w:color w:val="auto"/>
                <w:sz w:val="24"/>
                <w:vertAlign w:val="subscript"/>
                <w:lang w:val="en-US" w:eastAsia="zh-CN"/>
              </w:rPr>
              <w:t>2.5</w:t>
            </w:r>
            <w:r>
              <w:rPr>
                <w:rFonts w:hint="default" w:ascii="Times New Roman" w:hAnsi="Times New Roman" w:eastAsia="宋体" w:cs="Times New Roman"/>
                <w:color w:val="auto"/>
                <w:sz w:val="24"/>
                <w:lang w:val="en-US" w:eastAsia="zh-CN"/>
              </w:rPr>
              <w:t>）、二氧化硫（S0</w:t>
            </w:r>
            <w:r>
              <w:rPr>
                <w:rFonts w:hint="default" w:ascii="Times New Roman" w:hAnsi="Times New Roman" w:eastAsia="宋体" w:cs="Times New Roman"/>
                <w:color w:val="auto"/>
                <w:sz w:val="24"/>
                <w:vertAlign w:val="subscript"/>
                <w:lang w:val="en-US" w:eastAsia="zh-CN"/>
              </w:rPr>
              <w:t>2</w:t>
            </w:r>
            <w:r>
              <w:rPr>
                <w:rFonts w:hint="default" w:ascii="Times New Roman" w:hAnsi="Times New Roman" w:eastAsia="宋体" w:cs="Times New Roman"/>
                <w:color w:val="auto"/>
                <w:sz w:val="24"/>
                <w:lang w:val="en-US" w:eastAsia="zh-CN"/>
              </w:rPr>
              <w:t>）、二氧化氮（N</w:t>
            </w:r>
            <w:r>
              <w:rPr>
                <w:rFonts w:hint="eastAsia" w:ascii="Times New Roman" w:hAnsi="Times New Roman" w:cs="Times New Roman"/>
                <w:color w:val="auto"/>
                <w:sz w:val="24"/>
                <w:lang w:val="en-US" w:eastAsia="zh-CN"/>
              </w:rPr>
              <w:t>O</w:t>
            </w:r>
            <w:r>
              <w:rPr>
                <w:rFonts w:hint="default" w:ascii="Times New Roman" w:hAnsi="Times New Roman" w:eastAsia="宋体" w:cs="Times New Roman"/>
                <w:color w:val="auto"/>
                <w:sz w:val="24"/>
                <w:vertAlign w:val="subscript"/>
                <w:lang w:val="en-US" w:eastAsia="zh-CN"/>
              </w:rPr>
              <w:t>2</w:t>
            </w:r>
            <w:r>
              <w:rPr>
                <w:rFonts w:hint="default" w:ascii="Times New Roman" w:hAnsi="Times New Roman" w:eastAsia="宋体" w:cs="Times New Roman"/>
                <w:color w:val="auto"/>
                <w:sz w:val="24"/>
                <w:lang w:val="en-US" w:eastAsia="zh-CN"/>
              </w:rPr>
              <w:t>)4个监测指标年均值及一氧化碳（CO) 95百分位数监测结果均为一级，臭氧（</w:t>
            </w:r>
            <w:r>
              <w:rPr>
                <w:rFonts w:hint="eastAsia" w:cs="Times New Roman"/>
                <w:color w:val="auto"/>
                <w:sz w:val="24"/>
                <w:lang w:val="en-US" w:eastAsia="zh-CN"/>
              </w:rPr>
              <w:t>O</w:t>
            </w:r>
            <w:r>
              <w:rPr>
                <w:rFonts w:hint="eastAsia" w:cs="Times New Roman"/>
                <w:color w:val="auto"/>
                <w:sz w:val="24"/>
                <w:vertAlign w:val="subscript"/>
                <w:lang w:val="en-US" w:eastAsia="zh-CN"/>
              </w:rPr>
              <w:t>3</w:t>
            </w:r>
            <w:r>
              <w:rPr>
                <w:rFonts w:hint="default" w:ascii="Times New Roman" w:hAnsi="Times New Roman" w:eastAsia="宋体" w:cs="Times New Roman"/>
                <w:color w:val="auto"/>
                <w:sz w:val="24"/>
                <w:lang w:val="en-US" w:eastAsia="zh-CN"/>
              </w:rPr>
              <w:t>-8h)90百分位数监测结果为二级，其中，细颗粒物（PM2.5）年均值为11微克每立方米，满足省、州下达的20微克每立方米的考核目标要求。元谋县各监测指标评价均为二级及以上，空气质量均达标。2022年元谋县城区环境空气质量监测指标年均值及O</w:t>
            </w:r>
            <w:r>
              <w:rPr>
                <w:rFonts w:hint="default" w:ascii="Times New Roman" w:hAnsi="Times New Roman" w:eastAsia="宋体" w:cs="Times New Roman"/>
                <w:color w:val="auto"/>
                <w:sz w:val="24"/>
                <w:vertAlign w:val="subscript"/>
                <w:lang w:val="en-US" w:eastAsia="zh-CN"/>
              </w:rPr>
              <w:t>3</w:t>
            </w:r>
            <w:r>
              <w:rPr>
                <w:rFonts w:hint="eastAsia" w:ascii="Times New Roman" w:hAnsi="Times New Roman" w:cs="Times New Roman"/>
                <w:color w:val="auto"/>
                <w:sz w:val="24"/>
                <w:lang w:val="en-US" w:eastAsia="zh-CN"/>
              </w:rPr>
              <w:t xml:space="preserve"> </w:t>
            </w:r>
            <w:r>
              <w:rPr>
                <w:rFonts w:hint="default" w:ascii="Times New Roman" w:hAnsi="Times New Roman" w:eastAsia="宋体" w:cs="Times New Roman"/>
                <w:color w:val="auto"/>
                <w:sz w:val="24"/>
                <w:lang w:val="en-US" w:eastAsia="zh-CN"/>
              </w:rPr>
              <w:t>8h 90百分位数、CO  95百分位数数据如下：</w:t>
            </w:r>
          </w:p>
          <w:p>
            <w:pPr>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表3.5-1  元谋县202</w:t>
            </w:r>
            <w:r>
              <w:rPr>
                <w:rFonts w:hint="eastAsia" w:ascii="Times New Roman" w:hAnsi="Times New Roman" w:eastAsia="宋体" w:cs="Times New Roman"/>
                <w:b/>
                <w:bCs/>
                <w:color w:val="auto"/>
                <w:kern w:val="0"/>
                <w:sz w:val="21"/>
                <w:szCs w:val="21"/>
                <w:lang w:val="en-US" w:eastAsia="zh-CN" w:bidi="ar-SA"/>
              </w:rPr>
              <w:t>2</w:t>
            </w:r>
            <w:r>
              <w:rPr>
                <w:rFonts w:hint="default" w:ascii="Times New Roman" w:hAnsi="Times New Roman" w:eastAsia="宋体" w:cs="Times New Roman"/>
                <w:b/>
                <w:bCs/>
                <w:color w:val="auto"/>
                <w:kern w:val="0"/>
                <w:sz w:val="21"/>
                <w:szCs w:val="21"/>
                <w:lang w:val="en-US" w:eastAsia="zh-CN" w:bidi="ar-SA"/>
              </w:rPr>
              <w:t>年环境空气质量监测结果一览表</w:t>
            </w:r>
          </w:p>
          <w:tbl>
            <w:tblPr>
              <w:tblStyle w:val="18"/>
              <w:tblW w:w="5000"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2984"/>
              <w:gridCol w:w="1249"/>
              <w:gridCol w:w="1251"/>
              <w:gridCol w:w="692"/>
              <w:gridCol w:w="697"/>
              <w:gridCol w:w="70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b/>
                      <w:color w:val="auto"/>
                      <w:kern w:val="0"/>
                      <w:sz w:val="21"/>
                    </w:rPr>
                  </w:pPr>
                  <w:r>
                    <w:rPr>
                      <w:rFonts w:ascii="Times New Roman" w:hAnsi="Times New Roman" w:eastAsia="宋体"/>
                      <w:b/>
                      <w:color w:val="auto"/>
                      <w:kern w:val="0"/>
                      <w:sz w:val="21"/>
                    </w:rPr>
                    <w:t>污染物</w:t>
                  </w:r>
                </w:p>
              </w:tc>
              <w:tc>
                <w:tcPr>
                  <w:tcW w:w="1784"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b/>
                      <w:color w:val="auto"/>
                      <w:kern w:val="0"/>
                      <w:sz w:val="21"/>
                    </w:rPr>
                  </w:pPr>
                  <w:r>
                    <w:rPr>
                      <w:rFonts w:ascii="Times New Roman" w:hAnsi="Times New Roman" w:eastAsia="宋体"/>
                      <w:b/>
                      <w:color w:val="auto"/>
                      <w:kern w:val="0"/>
                      <w:sz w:val="21"/>
                    </w:rPr>
                    <w:t>年评价指标</w:t>
                  </w:r>
                </w:p>
              </w:tc>
              <w:tc>
                <w:tcPr>
                  <w:tcW w:w="747"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b/>
                      <w:color w:val="auto"/>
                      <w:kern w:val="0"/>
                      <w:sz w:val="21"/>
                    </w:rPr>
                  </w:pPr>
                  <w:r>
                    <w:rPr>
                      <w:rFonts w:ascii="Times New Roman" w:hAnsi="Times New Roman" w:eastAsia="宋体"/>
                      <w:b/>
                      <w:color w:val="auto"/>
                      <w:kern w:val="0"/>
                      <w:sz w:val="21"/>
                    </w:rPr>
                    <w:t>现状浓度（μg/m</w:t>
                  </w:r>
                  <w:r>
                    <w:rPr>
                      <w:rFonts w:ascii="Times New Roman" w:hAnsi="Times New Roman" w:eastAsia="宋体"/>
                      <w:b/>
                      <w:color w:val="auto"/>
                      <w:kern w:val="0"/>
                      <w:sz w:val="21"/>
                      <w:vertAlign w:val="superscript"/>
                    </w:rPr>
                    <w:t>3</w:t>
                  </w:r>
                  <w:r>
                    <w:rPr>
                      <w:rFonts w:ascii="Times New Roman" w:hAnsi="Times New Roman" w:eastAsia="宋体"/>
                      <w:b/>
                      <w:color w:val="auto"/>
                      <w:kern w:val="0"/>
                      <w:sz w:val="21"/>
                    </w:rPr>
                    <w:t>）</w:t>
                  </w:r>
                </w:p>
              </w:tc>
              <w:tc>
                <w:tcPr>
                  <w:tcW w:w="748"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b/>
                      <w:color w:val="auto"/>
                      <w:kern w:val="0"/>
                      <w:sz w:val="21"/>
                    </w:rPr>
                  </w:pPr>
                  <w:r>
                    <w:rPr>
                      <w:rFonts w:ascii="Times New Roman" w:hAnsi="Times New Roman" w:eastAsia="宋体"/>
                      <w:b/>
                      <w:color w:val="auto"/>
                      <w:kern w:val="0"/>
                      <w:sz w:val="21"/>
                    </w:rPr>
                    <w:t>标准值（μg/m</w:t>
                  </w:r>
                  <w:r>
                    <w:rPr>
                      <w:rFonts w:ascii="Times New Roman" w:hAnsi="Times New Roman" w:eastAsia="宋体"/>
                      <w:b/>
                      <w:color w:val="auto"/>
                      <w:kern w:val="0"/>
                      <w:sz w:val="21"/>
                      <w:vertAlign w:val="superscript"/>
                    </w:rPr>
                    <w:t>3</w:t>
                  </w:r>
                  <w:r>
                    <w:rPr>
                      <w:rFonts w:ascii="Times New Roman" w:hAnsi="Times New Roman" w:eastAsia="宋体"/>
                      <w:b/>
                      <w:color w:val="auto"/>
                      <w:kern w:val="0"/>
                      <w:sz w:val="21"/>
                    </w:rPr>
                    <w:t>）</w:t>
                  </w:r>
                </w:p>
              </w:tc>
              <w:tc>
                <w:tcPr>
                  <w:tcW w:w="414"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b/>
                      <w:color w:val="auto"/>
                      <w:kern w:val="0"/>
                      <w:sz w:val="21"/>
                    </w:rPr>
                  </w:pPr>
                  <w:r>
                    <w:rPr>
                      <w:rFonts w:ascii="Times New Roman" w:hAnsi="Times New Roman" w:eastAsia="宋体"/>
                      <w:b/>
                      <w:color w:val="auto"/>
                      <w:kern w:val="0"/>
                      <w:sz w:val="21"/>
                    </w:rPr>
                    <w:t>占标率</w:t>
                  </w:r>
                  <w:r>
                    <w:rPr>
                      <w:rFonts w:hint="eastAsia" w:ascii="Times New Roman" w:hAnsi="Times New Roman" w:eastAsia="宋体"/>
                      <w:b/>
                      <w:color w:val="auto"/>
                      <w:kern w:val="0"/>
                      <w:sz w:val="21"/>
                    </w:rPr>
                    <w:t>%</w:t>
                  </w:r>
                </w:p>
              </w:tc>
              <w:tc>
                <w:tcPr>
                  <w:tcW w:w="417"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b/>
                      <w:color w:val="auto"/>
                      <w:kern w:val="0"/>
                      <w:sz w:val="21"/>
                    </w:rPr>
                  </w:pPr>
                  <w:r>
                    <w:rPr>
                      <w:rFonts w:hint="eastAsia" w:ascii="Times New Roman" w:hAnsi="Times New Roman" w:eastAsia="宋体"/>
                      <w:b/>
                      <w:color w:val="auto"/>
                      <w:kern w:val="0"/>
                      <w:sz w:val="21"/>
                    </w:rPr>
                    <w:t>超标率%</w:t>
                  </w:r>
                </w:p>
              </w:tc>
              <w:tc>
                <w:tcPr>
                  <w:tcW w:w="424"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b/>
                      <w:color w:val="auto"/>
                      <w:kern w:val="0"/>
                      <w:sz w:val="21"/>
                    </w:rPr>
                  </w:pPr>
                  <w:r>
                    <w:rPr>
                      <w:rFonts w:ascii="Times New Roman" w:hAnsi="Times New Roman" w:eastAsia="宋体"/>
                      <w:b/>
                      <w:color w:val="auto"/>
                      <w:kern w:val="0"/>
                      <w:sz w:val="21"/>
                    </w:rPr>
                    <w:t>达标情况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r>
                    <w:rPr>
                      <w:rFonts w:hint="eastAsia" w:ascii="Times New Roman" w:hAnsi="Times New Roman" w:eastAsia="宋体"/>
                      <w:color w:val="auto"/>
                      <w:kern w:val="0"/>
                      <w:sz w:val="21"/>
                    </w:rPr>
                    <w:t>SO</w:t>
                  </w:r>
                  <w:r>
                    <w:rPr>
                      <w:rFonts w:hint="eastAsia" w:ascii="Times New Roman" w:hAnsi="Times New Roman" w:eastAsia="宋体"/>
                      <w:color w:val="auto"/>
                      <w:kern w:val="0"/>
                      <w:sz w:val="21"/>
                      <w:vertAlign w:val="subscript"/>
                    </w:rPr>
                    <w:t>2</w:t>
                  </w:r>
                </w:p>
              </w:tc>
              <w:tc>
                <w:tcPr>
                  <w:tcW w:w="1784" w:type="pct"/>
                  <w:vMerge w:val="restart"/>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r>
                    <w:rPr>
                      <w:rFonts w:hint="eastAsia" w:ascii="Times New Roman" w:hAnsi="Times New Roman" w:eastAsia="宋体"/>
                      <w:color w:val="auto"/>
                      <w:kern w:val="0"/>
                      <w:sz w:val="21"/>
                    </w:rPr>
                    <w:t>年平均质量浓度</w:t>
                  </w:r>
                </w:p>
              </w:tc>
              <w:tc>
                <w:tcPr>
                  <w:tcW w:w="747" w:type="pct"/>
                  <w:tcBorders>
                    <w:tl2br w:val="nil"/>
                    <w:tr2bl w:val="nil"/>
                  </w:tcBorders>
                  <w:noWrap w:val="0"/>
                  <w:vAlign w:val="center"/>
                </w:tcPr>
                <w:p>
                  <w:pPr>
                    <w:widowControl/>
                    <w:ind w:left="0" w:leftChars="0" w:right="0" w:rightChars="0" w:firstLine="0" w:firstLineChars="0"/>
                    <w:jc w:val="center"/>
                    <w:rPr>
                      <w:rFonts w:hint="eastAsia" w:ascii="Times New Roman" w:hAnsi="Times New Roman" w:eastAsia="宋体"/>
                      <w:color w:val="auto"/>
                      <w:kern w:val="0"/>
                      <w:sz w:val="21"/>
                      <w:lang w:eastAsia="zh-CN"/>
                    </w:rPr>
                  </w:pPr>
                  <w:r>
                    <w:rPr>
                      <w:rFonts w:hint="eastAsia" w:ascii="Times New Roman" w:hAnsi="Times New Roman" w:eastAsia="宋体"/>
                      <w:color w:val="auto"/>
                      <w:kern w:val="0"/>
                      <w:sz w:val="21"/>
                      <w:lang w:val="en-US" w:eastAsia="zh-CN"/>
                    </w:rPr>
                    <w:t>9</w:t>
                  </w:r>
                </w:p>
              </w:tc>
              <w:tc>
                <w:tcPr>
                  <w:tcW w:w="748"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r>
                    <w:rPr>
                      <w:rFonts w:hint="eastAsia" w:ascii="Times New Roman" w:hAnsi="Times New Roman" w:eastAsia="宋体"/>
                      <w:color w:val="auto"/>
                      <w:kern w:val="0"/>
                      <w:sz w:val="21"/>
                    </w:rPr>
                    <w:t>60</w:t>
                  </w:r>
                </w:p>
              </w:tc>
              <w:tc>
                <w:tcPr>
                  <w:tcW w:w="671" w:type="dxa"/>
                  <w:tcBorders>
                    <w:tl2br w:val="nil"/>
                    <w:tr2bl w:val="nil"/>
                  </w:tcBorders>
                  <w:noWrap w:val="0"/>
                  <w:vAlign w:val="center"/>
                </w:tcPr>
                <w:p>
                  <w:pPr>
                    <w:widowControl/>
                    <w:ind w:left="0" w:leftChars="0" w:right="0" w:rightChars="0" w:firstLine="0" w:firstLineChars="0"/>
                    <w:jc w:val="center"/>
                    <w:rPr>
                      <w:rFonts w:hint="eastAsia" w:ascii="Times New Roman" w:hAnsi="Times New Roman" w:eastAsia="宋体" w:cs="Times New Roman"/>
                      <w:color w:val="auto"/>
                      <w:kern w:val="0"/>
                      <w:sz w:val="21"/>
                      <w:lang w:val="en-US" w:eastAsia="zh-CN"/>
                    </w:rPr>
                  </w:pPr>
                  <w:r>
                    <w:rPr>
                      <w:rFonts w:hint="eastAsia" w:ascii="Times New Roman" w:hAnsi="Times New Roman" w:eastAsia="宋体" w:cs="Times New Roman"/>
                      <w:color w:val="auto"/>
                      <w:kern w:val="0"/>
                      <w:sz w:val="21"/>
                      <w:lang w:val="en-US" w:eastAsia="zh-CN"/>
                    </w:rPr>
                    <w:t>15.00</w:t>
                  </w:r>
                </w:p>
              </w:tc>
              <w:tc>
                <w:tcPr>
                  <w:tcW w:w="417"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r>
                    <w:rPr>
                      <w:rFonts w:hint="eastAsia" w:ascii="Times New Roman" w:hAnsi="Times New Roman" w:eastAsia="宋体"/>
                      <w:color w:val="auto"/>
                      <w:kern w:val="0"/>
                      <w:sz w:val="21"/>
                    </w:rPr>
                    <w:t>0</w:t>
                  </w:r>
                </w:p>
              </w:tc>
              <w:tc>
                <w:tcPr>
                  <w:tcW w:w="424"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r>
                    <w:rPr>
                      <w:rFonts w:hint="eastAsia" w:ascii="Times New Roman" w:hAnsi="Times New Roman" w:eastAsia="宋体"/>
                      <w:color w:val="auto"/>
                      <w:kern w:val="0"/>
                      <w:sz w:val="21"/>
                    </w:rPr>
                    <w:t>达标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r>
                    <w:rPr>
                      <w:rFonts w:hint="eastAsia" w:ascii="Times New Roman" w:hAnsi="Times New Roman" w:eastAsia="宋体"/>
                      <w:color w:val="auto"/>
                      <w:kern w:val="0"/>
                      <w:sz w:val="21"/>
                    </w:rPr>
                    <w:t>NO</w:t>
                  </w:r>
                  <w:r>
                    <w:rPr>
                      <w:rFonts w:hint="eastAsia" w:ascii="Times New Roman" w:hAnsi="Times New Roman" w:eastAsia="宋体"/>
                      <w:color w:val="auto"/>
                      <w:kern w:val="0"/>
                      <w:sz w:val="21"/>
                      <w:vertAlign w:val="subscript"/>
                    </w:rPr>
                    <w:t>2</w:t>
                  </w:r>
                </w:p>
              </w:tc>
              <w:tc>
                <w:tcPr>
                  <w:tcW w:w="1784" w:type="pct"/>
                  <w:vMerge w:val="continue"/>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p>
              </w:tc>
              <w:tc>
                <w:tcPr>
                  <w:tcW w:w="747" w:type="pct"/>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olor w:val="auto"/>
                      <w:kern w:val="0"/>
                      <w:sz w:val="21"/>
                      <w:lang w:val="en-US" w:eastAsia="zh-CN"/>
                    </w:rPr>
                  </w:pPr>
                  <w:r>
                    <w:rPr>
                      <w:rFonts w:hint="eastAsia" w:ascii="Times New Roman" w:hAnsi="Times New Roman" w:eastAsia="宋体"/>
                      <w:color w:val="auto"/>
                      <w:kern w:val="0"/>
                      <w:sz w:val="21"/>
                      <w:lang w:val="en-US" w:eastAsia="zh-CN"/>
                    </w:rPr>
                    <w:t>10</w:t>
                  </w:r>
                </w:p>
              </w:tc>
              <w:tc>
                <w:tcPr>
                  <w:tcW w:w="748"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r>
                    <w:rPr>
                      <w:rFonts w:hint="eastAsia" w:ascii="Times New Roman" w:hAnsi="Times New Roman" w:eastAsia="宋体"/>
                      <w:color w:val="auto"/>
                      <w:kern w:val="0"/>
                      <w:sz w:val="21"/>
                    </w:rPr>
                    <w:t>40</w:t>
                  </w:r>
                </w:p>
              </w:tc>
              <w:tc>
                <w:tcPr>
                  <w:tcW w:w="671" w:type="dxa"/>
                  <w:tcBorders>
                    <w:tl2br w:val="nil"/>
                    <w:tr2bl w:val="nil"/>
                  </w:tcBorders>
                  <w:noWrap w:val="0"/>
                  <w:vAlign w:val="center"/>
                </w:tcPr>
                <w:p>
                  <w:pPr>
                    <w:widowControl/>
                    <w:ind w:left="0" w:leftChars="0" w:right="0" w:rightChars="0" w:firstLine="0" w:firstLineChars="0"/>
                    <w:jc w:val="center"/>
                    <w:rPr>
                      <w:rFonts w:hint="eastAsia" w:ascii="Times New Roman" w:hAnsi="Times New Roman" w:eastAsia="宋体" w:cs="Times New Roman"/>
                      <w:color w:val="auto"/>
                      <w:kern w:val="0"/>
                      <w:sz w:val="21"/>
                      <w:lang w:val="en-US" w:eastAsia="zh-CN"/>
                    </w:rPr>
                  </w:pPr>
                  <w:r>
                    <w:rPr>
                      <w:rFonts w:hint="eastAsia" w:ascii="Times New Roman" w:hAnsi="Times New Roman" w:eastAsia="宋体" w:cs="Times New Roman"/>
                      <w:color w:val="auto"/>
                      <w:kern w:val="0"/>
                      <w:sz w:val="21"/>
                      <w:lang w:val="en-US" w:eastAsia="zh-CN"/>
                    </w:rPr>
                    <w:t>25.00</w:t>
                  </w:r>
                </w:p>
              </w:tc>
              <w:tc>
                <w:tcPr>
                  <w:tcW w:w="417"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r>
                    <w:rPr>
                      <w:rFonts w:hint="eastAsia" w:ascii="Times New Roman" w:hAnsi="Times New Roman" w:eastAsia="宋体"/>
                      <w:color w:val="auto"/>
                      <w:kern w:val="0"/>
                      <w:sz w:val="21"/>
                    </w:rPr>
                    <w:t>0</w:t>
                  </w:r>
                </w:p>
              </w:tc>
              <w:tc>
                <w:tcPr>
                  <w:tcW w:w="424"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r>
                    <w:rPr>
                      <w:rFonts w:hint="eastAsia" w:ascii="Times New Roman" w:hAnsi="Times New Roman" w:eastAsia="宋体"/>
                      <w:color w:val="auto"/>
                      <w:kern w:val="0"/>
                      <w:sz w:val="21"/>
                    </w:rPr>
                    <w:t>达标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r>
                    <w:rPr>
                      <w:rFonts w:hint="eastAsia" w:ascii="Times New Roman" w:hAnsi="Times New Roman" w:eastAsia="宋体"/>
                      <w:color w:val="auto"/>
                      <w:kern w:val="0"/>
                      <w:sz w:val="21"/>
                    </w:rPr>
                    <w:t>PM</w:t>
                  </w:r>
                  <w:r>
                    <w:rPr>
                      <w:rFonts w:hint="eastAsia" w:ascii="Times New Roman" w:hAnsi="Times New Roman" w:eastAsia="宋体"/>
                      <w:color w:val="auto"/>
                      <w:kern w:val="0"/>
                      <w:sz w:val="21"/>
                      <w:vertAlign w:val="subscript"/>
                    </w:rPr>
                    <w:t>10</w:t>
                  </w:r>
                </w:p>
              </w:tc>
              <w:tc>
                <w:tcPr>
                  <w:tcW w:w="1784" w:type="pct"/>
                  <w:vMerge w:val="continue"/>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p>
              </w:tc>
              <w:tc>
                <w:tcPr>
                  <w:tcW w:w="747" w:type="pct"/>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olor w:val="auto"/>
                      <w:kern w:val="0"/>
                      <w:sz w:val="21"/>
                      <w:lang w:val="en-US" w:eastAsia="zh-CN"/>
                    </w:rPr>
                  </w:pPr>
                  <w:r>
                    <w:rPr>
                      <w:rFonts w:hint="eastAsia" w:ascii="Times New Roman" w:hAnsi="Times New Roman" w:eastAsia="宋体"/>
                      <w:color w:val="auto"/>
                      <w:kern w:val="0"/>
                      <w:sz w:val="21"/>
                      <w:lang w:val="en-US" w:eastAsia="zh-CN"/>
                    </w:rPr>
                    <w:t>22</w:t>
                  </w:r>
                </w:p>
              </w:tc>
              <w:tc>
                <w:tcPr>
                  <w:tcW w:w="748"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r>
                    <w:rPr>
                      <w:rFonts w:hint="eastAsia" w:ascii="Times New Roman" w:hAnsi="Times New Roman" w:eastAsia="宋体"/>
                      <w:color w:val="auto"/>
                      <w:kern w:val="0"/>
                      <w:sz w:val="21"/>
                    </w:rPr>
                    <w:t>70</w:t>
                  </w:r>
                </w:p>
              </w:tc>
              <w:tc>
                <w:tcPr>
                  <w:tcW w:w="689" w:type="dxa"/>
                  <w:tcBorders>
                    <w:tl2br w:val="nil"/>
                    <w:tr2bl w:val="nil"/>
                  </w:tcBorders>
                  <w:noWrap w:val="0"/>
                  <w:vAlign w:val="center"/>
                </w:tcPr>
                <w:p>
                  <w:pPr>
                    <w:widowControl/>
                    <w:ind w:left="0" w:leftChars="0" w:right="0" w:rightChars="0" w:firstLine="0" w:firstLineChars="0"/>
                    <w:jc w:val="center"/>
                    <w:rPr>
                      <w:rFonts w:hint="eastAsia" w:ascii="Times New Roman" w:hAnsi="Times New Roman" w:eastAsia="宋体" w:cs="Times New Roman"/>
                      <w:color w:val="auto"/>
                      <w:kern w:val="0"/>
                      <w:sz w:val="21"/>
                      <w:lang w:val="en-US" w:eastAsia="zh-CN"/>
                    </w:rPr>
                  </w:pPr>
                  <w:r>
                    <w:rPr>
                      <w:rFonts w:hint="eastAsia" w:ascii="Times New Roman" w:hAnsi="Times New Roman" w:eastAsia="宋体" w:cs="Times New Roman"/>
                      <w:color w:val="auto"/>
                      <w:kern w:val="0"/>
                      <w:sz w:val="21"/>
                      <w:lang w:val="en-US" w:eastAsia="zh-CN"/>
                    </w:rPr>
                    <w:t>31.43</w:t>
                  </w:r>
                </w:p>
              </w:tc>
              <w:tc>
                <w:tcPr>
                  <w:tcW w:w="417"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r>
                    <w:rPr>
                      <w:rFonts w:hint="eastAsia" w:ascii="Times New Roman" w:hAnsi="Times New Roman" w:eastAsia="宋体"/>
                      <w:color w:val="auto"/>
                      <w:kern w:val="0"/>
                      <w:sz w:val="21"/>
                    </w:rPr>
                    <w:t>0</w:t>
                  </w:r>
                </w:p>
              </w:tc>
              <w:tc>
                <w:tcPr>
                  <w:tcW w:w="424"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r>
                    <w:rPr>
                      <w:rFonts w:hint="eastAsia" w:ascii="Times New Roman" w:hAnsi="Times New Roman" w:eastAsia="宋体"/>
                      <w:color w:val="auto"/>
                      <w:kern w:val="0"/>
                      <w:sz w:val="21"/>
                    </w:rPr>
                    <w:t>达标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r>
                    <w:rPr>
                      <w:rFonts w:hint="eastAsia" w:ascii="Times New Roman" w:hAnsi="Times New Roman" w:eastAsia="宋体"/>
                      <w:color w:val="auto"/>
                      <w:kern w:val="0"/>
                      <w:sz w:val="21"/>
                    </w:rPr>
                    <w:t>PM</w:t>
                  </w:r>
                  <w:r>
                    <w:rPr>
                      <w:rFonts w:hint="eastAsia" w:ascii="Times New Roman" w:hAnsi="Times New Roman" w:eastAsia="宋体"/>
                      <w:color w:val="auto"/>
                      <w:kern w:val="0"/>
                      <w:sz w:val="21"/>
                      <w:vertAlign w:val="subscript"/>
                    </w:rPr>
                    <w:t>2.5</w:t>
                  </w:r>
                </w:p>
              </w:tc>
              <w:tc>
                <w:tcPr>
                  <w:tcW w:w="1784" w:type="pct"/>
                  <w:vMerge w:val="continue"/>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p>
              </w:tc>
              <w:tc>
                <w:tcPr>
                  <w:tcW w:w="747" w:type="pct"/>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olor w:val="auto"/>
                      <w:kern w:val="0"/>
                      <w:sz w:val="21"/>
                      <w:lang w:val="en-US" w:eastAsia="zh-CN"/>
                    </w:rPr>
                  </w:pPr>
                  <w:r>
                    <w:rPr>
                      <w:rFonts w:hint="eastAsia" w:ascii="Times New Roman" w:hAnsi="Times New Roman" w:eastAsia="宋体"/>
                      <w:color w:val="auto"/>
                      <w:kern w:val="0"/>
                      <w:sz w:val="21"/>
                      <w:lang w:val="en-US" w:eastAsia="zh-CN"/>
                    </w:rPr>
                    <w:t>11</w:t>
                  </w:r>
                </w:p>
              </w:tc>
              <w:tc>
                <w:tcPr>
                  <w:tcW w:w="748"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r>
                    <w:rPr>
                      <w:rFonts w:hint="eastAsia" w:ascii="Times New Roman" w:hAnsi="Times New Roman" w:eastAsia="宋体"/>
                      <w:color w:val="auto"/>
                      <w:kern w:val="0"/>
                      <w:sz w:val="21"/>
                    </w:rPr>
                    <w:t>35</w:t>
                  </w:r>
                </w:p>
              </w:tc>
              <w:tc>
                <w:tcPr>
                  <w:tcW w:w="689" w:type="dxa"/>
                  <w:tcBorders>
                    <w:tl2br w:val="nil"/>
                    <w:tr2bl w:val="nil"/>
                  </w:tcBorders>
                  <w:noWrap w:val="0"/>
                  <w:vAlign w:val="center"/>
                </w:tcPr>
                <w:p>
                  <w:pPr>
                    <w:widowControl/>
                    <w:ind w:left="0" w:leftChars="0" w:right="0" w:rightChars="0" w:firstLine="0" w:firstLineChars="0"/>
                    <w:jc w:val="center"/>
                    <w:rPr>
                      <w:rFonts w:hint="eastAsia" w:ascii="Times New Roman" w:hAnsi="Times New Roman" w:eastAsia="宋体" w:cs="Times New Roman"/>
                      <w:color w:val="auto"/>
                      <w:kern w:val="0"/>
                      <w:sz w:val="21"/>
                      <w:lang w:val="en-US" w:eastAsia="zh-CN"/>
                    </w:rPr>
                  </w:pPr>
                  <w:r>
                    <w:rPr>
                      <w:rFonts w:hint="eastAsia" w:ascii="Times New Roman" w:hAnsi="Times New Roman" w:eastAsia="宋体" w:cs="Times New Roman"/>
                      <w:color w:val="auto"/>
                      <w:kern w:val="0"/>
                      <w:sz w:val="21"/>
                      <w:lang w:val="en-US" w:eastAsia="zh-CN"/>
                    </w:rPr>
                    <w:t>31.43</w:t>
                  </w:r>
                </w:p>
              </w:tc>
              <w:tc>
                <w:tcPr>
                  <w:tcW w:w="417"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r>
                    <w:rPr>
                      <w:rFonts w:hint="eastAsia" w:ascii="Times New Roman" w:hAnsi="Times New Roman" w:eastAsia="宋体"/>
                      <w:color w:val="auto"/>
                      <w:kern w:val="0"/>
                      <w:sz w:val="21"/>
                    </w:rPr>
                    <w:t>0</w:t>
                  </w:r>
                </w:p>
              </w:tc>
              <w:tc>
                <w:tcPr>
                  <w:tcW w:w="424"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r>
                    <w:rPr>
                      <w:rFonts w:hint="eastAsia" w:ascii="Times New Roman" w:hAnsi="Times New Roman" w:eastAsia="宋体"/>
                      <w:color w:val="auto"/>
                      <w:kern w:val="0"/>
                      <w:sz w:val="21"/>
                    </w:rPr>
                    <w:t>达标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r>
                    <w:rPr>
                      <w:rFonts w:hint="eastAsia" w:ascii="Times New Roman" w:hAnsi="Times New Roman" w:eastAsia="宋体"/>
                      <w:color w:val="auto"/>
                      <w:kern w:val="0"/>
                      <w:sz w:val="21"/>
                    </w:rPr>
                    <w:t>O</w:t>
                  </w:r>
                  <w:r>
                    <w:rPr>
                      <w:rFonts w:hint="eastAsia" w:ascii="Times New Roman" w:hAnsi="Times New Roman" w:eastAsia="宋体"/>
                      <w:color w:val="auto"/>
                      <w:kern w:val="0"/>
                      <w:sz w:val="21"/>
                      <w:vertAlign w:val="subscript"/>
                    </w:rPr>
                    <w:t>3</w:t>
                  </w:r>
                </w:p>
              </w:tc>
              <w:tc>
                <w:tcPr>
                  <w:tcW w:w="1784"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r>
                    <w:rPr>
                      <w:rFonts w:hint="eastAsia" w:ascii="Times New Roman" w:hAnsi="Times New Roman" w:eastAsia="宋体"/>
                      <w:color w:val="auto"/>
                      <w:kern w:val="0"/>
                      <w:sz w:val="21"/>
                    </w:rPr>
                    <w:t>最大8小时平均第90百分位数</w:t>
                  </w:r>
                </w:p>
              </w:tc>
              <w:tc>
                <w:tcPr>
                  <w:tcW w:w="747" w:type="pct"/>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olor w:val="auto"/>
                      <w:kern w:val="0"/>
                      <w:sz w:val="21"/>
                      <w:lang w:val="en-US" w:eastAsia="zh-CN"/>
                    </w:rPr>
                  </w:pPr>
                  <w:r>
                    <w:rPr>
                      <w:rFonts w:hint="eastAsia" w:ascii="Times New Roman" w:hAnsi="Times New Roman" w:eastAsia="宋体"/>
                      <w:color w:val="auto"/>
                      <w:kern w:val="0"/>
                      <w:sz w:val="21"/>
                      <w:lang w:val="en-US" w:eastAsia="zh-CN"/>
                    </w:rPr>
                    <w:t>107</w:t>
                  </w:r>
                </w:p>
              </w:tc>
              <w:tc>
                <w:tcPr>
                  <w:tcW w:w="748"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r>
                    <w:rPr>
                      <w:rFonts w:hint="eastAsia" w:ascii="Times New Roman" w:hAnsi="Times New Roman" w:eastAsia="宋体"/>
                      <w:color w:val="auto"/>
                      <w:kern w:val="0"/>
                      <w:sz w:val="21"/>
                    </w:rPr>
                    <w:t>160</w:t>
                  </w:r>
                </w:p>
              </w:tc>
              <w:tc>
                <w:tcPr>
                  <w:tcW w:w="689" w:type="dxa"/>
                  <w:tcBorders>
                    <w:tl2br w:val="nil"/>
                    <w:tr2bl w:val="nil"/>
                  </w:tcBorders>
                  <w:noWrap w:val="0"/>
                  <w:vAlign w:val="center"/>
                </w:tcPr>
                <w:p>
                  <w:pPr>
                    <w:widowControl/>
                    <w:ind w:left="0" w:leftChars="0" w:right="0" w:rightChars="0" w:firstLine="0" w:firstLineChars="0"/>
                    <w:jc w:val="center"/>
                    <w:rPr>
                      <w:rFonts w:hint="eastAsia" w:ascii="Times New Roman" w:hAnsi="Times New Roman" w:eastAsia="宋体" w:cs="Times New Roman"/>
                      <w:color w:val="auto"/>
                      <w:kern w:val="0"/>
                      <w:sz w:val="21"/>
                      <w:lang w:val="en-US" w:eastAsia="zh-CN"/>
                    </w:rPr>
                  </w:pPr>
                  <w:r>
                    <w:rPr>
                      <w:rFonts w:hint="eastAsia" w:ascii="Times New Roman" w:hAnsi="Times New Roman" w:eastAsia="宋体" w:cs="Times New Roman"/>
                      <w:color w:val="auto"/>
                      <w:kern w:val="0"/>
                      <w:sz w:val="21"/>
                      <w:lang w:val="en-US" w:eastAsia="zh-CN"/>
                    </w:rPr>
                    <w:t>66.88</w:t>
                  </w:r>
                </w:p>
              </w:tc>
              <w:tc>
                <w:tcPr>
                  <w:tcW w:w="417"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r>
                    <w:rPr>
                      <w:rFonts w:hint="eastAsia" w:ascii="Times New Roman" w:hAnsi="Times New Roman" w:eastAsia="宋体"/>
                      <w:color w:val="auto"/>
                      <w:kern w:val="0"/>
                      <w:sz w:val="21"/>
                    </w:rPr>
                    <w:t>0</w:t>
                  </w:r>
                </w:p>
              </w:tc>
              <w:tc>
                <w:tcPr>
                  <w:tcW w:w="424"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r>
                    <w:rPr>
                      <w:rFonts w:hint="eastAsia" w:ascii="Times New Roman" w:hAnsi="Times New Roman" w:eastAsia="宋体"/>
                      <w:color w:val="auto"/>
                      <w:kern w:val="0"/>
                      <w:sz w:val="21"/>
                    </w:rPr>
                    <w:t>达标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r>
                    <w:rPr>
                      <w:rFonts w:hint="eastAsia" w:ascii="Times New Roman" w:hAnsi="Times New Roman" w:eastAsia="宋体"/>
                      <w:color w:val="auto"/>
                      <w:kern w:val="0"/>
                      <w:sz w:val="21"/>
                    </w:rPr>
                    <w:t>CO</w:t>
                  </w:r>
                </w:p>
              </w:tc>
              <w:tc>
                <w:tcPr>
                  <w:tcW w:w="1784" w:type="pct"/>
                  <w:tcBorders>
                    <w:tl2br w:val="nil"/>
                    <w:tr2bl w:val="nil"/>
                  </w:tcBorders>
                  <w:noWrap w:val="0"/>
                  <w:vAlign w:val="center"/>
                </w:tcPr>
                <w:p>
                  <w:pPr>
                    <w:widowControl/>
                    <w:ind w:left="0" w:leftChars="0" w:right="0" w:rightChars="0" w:firstLine="0" w:firstLineChars="0"/>
                    <w:jc w:val="center"/>
                    <w:rPr>
                      <w:rFonts w:hint="eastAsia" w:ascii="Times New Roman" w:hAnsi="Times New Roman" w:eastAsia="宋体"/>
                      <w:color w:val="auto"/>
                      <w:kern w:val="0"/>
                      <w:sz w:val="21"/>
                      <w:lang w:eastAsia="zh-CN"/>
                    </w:rPr>
                  </w:pPr>
                  <w:r>
                    <w:rPr>
                      <w:rFonts w:hint="eastAsia" w:ascii="Times New Roman" w:hAnsi="Times New Roman" w:eastAsia="宋体"/>
                      <w:color w:val="auto"/>
                      <w:kern w:val="0"/>
                      <w:sz w:val="21"/>
                    </w:rPr>
                    <w:t>95百分位数</w:t>
                  </w:r>
                  <w:r>
                    <w:rPr>
                      <w:rFonts w:hint="eastAsia" w:ascii="Times New Roman" w:hAnsi="Times New Roman" w:eastAsia="宋体"/>
                      <w:color w:val="auto"/>
                      <w:kern w:val="0"/>
                      <w:sz w:val="21"/>
                      <w:lang w:eastAsia="zh-CN"/>
                    </w:rPr>
                    <w:t>（</w:t>
                  </w:r>
                  <w:r>
                    <w:rPr>
                      <w:rFonts w:hint="eastAsia" w:ascii="Times New Roman" w:hAnsi="Times New Roman" w:eastAsia="宋体"/>
                      <w:color w:val="auto"/>
                      <w:kern w:val="0"/>
                      <w:sz w:val="21"/>
                      <w:lang w:val="en-US" w:eastAsia="zh-CN"/>
                    </w:rPr>
                    <w:t>mg/m</w:t>
                  </w:r>
                  <w:r>
                    <w:rPr>
                      <w:rFonts w:hint="eastAsia" w:ascii="Times New Roman" w:hAnsi="Times New Roman" w:eastAsia="宋体"/>
                      <w:color w:val="auto"/>
                      <w:kern w:val="0"/>
                      <w:sz w:val="21"/>
                      <w:vertAlign w:val="superscript"/>
                      <w:lang w:val="en-US" w:eastAsia="zh-CN"/>
                    </w:rPr>
                    <w:t>3</w:t>
                  </w:r>
                  <w:r>
                    <w:rPr>
                      <w:rFonts w:hint="eastAsia" w:ascii="Times New Roman" w:hAnsi="Times New Roman" w:eastAsia="宋体"/>
                      <w:color w:val="auto"/>
                      <w:kern w:val="0"/>
                      <w:sz w:val="21"/>
                      <w:lang w:eastAsia="zh-CN"/>
                    </w:rPr>
                    <w:t>）</w:t>
                  </w:r>
                </w:p>
              </w:tc>
              <w:tc>
                <w:tcPr>
                  <w:tcW w:w="747" w:type="pct"/>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olor w:val="auto"/>
                      <w:kern w:val="0"/>
                      <w:sz w:val="21"/>
                      <w:lang w:val="en-US" w:eastAsia="zh-CN"/>
                    </w:rPr>
                  </w:pPr>
                  <w:r>
                    <w:rPr>
                      <w:rFonts w:hint="eastAsia" w:ascii="Times New Roman" w:hAnsi="Times New Roman" w:eastAsia="宋体"/>
                      <w:color w:val="auto"/>
                      <w:kern w:val="0"/>
                      <w:sz w:val="21"/>
                      <w:lang w:val="en-US" w:eastAsia="zh-CN"/>
                    </w:rPr>
                    <w:t>1.1</w:t>
                  </w:r>
                </w:p>
              </w:tc>
              <w:tc>
                <w:tcPr>
                  <w:tcW w:w="748"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r>
                    <w:rPr>
                      <w:rFonts w:ascii="Times New Roman" w:hAnsi="Times New Roman" w:eastAsia="宋体"/>
                      <w:color w:val="auto"/>
                      <w:kern w:val="0"/>
                      <w:sz w:val="21"/>
                    </w:rPr>
                    <w:t>4</w:t>
                  </w:r>
                </w:p>
              </w:tc>
              <w:tc>
                <w:tcPr>
                  <w:tcW w:w="689" w:type="dxa"/>
                  <w:tcBorders>
                    <w:tl2br w:val="nil"/>
                    <w:tr2bl w:val="nil"/>
                  </w:tcBorders>
                  <w:noWrap w:val="0"/>
                  <w:vAlign w:val="center"/>
                </w:tcPr>
                <w:p>
                  <w:pPr>
                    <w:widowControl/>
                    <w:ind w:left="0" w:leftChars="0" w:right="0" w:rightChars="0" w:firstLine="0" w:firstLineChars="0"/>
                    <w:jc w:val="center"/>
                    <w:rPr>
                      <w:rFonts w:hint="eastAsia" w:ascii="Times New Roman" w:hAnsi="Times New Roman" w:eastAsia="宋体" w:cs="Times New Roman"/>
                      <w:color w:val="auto"/>
                      <w:kern w:val="0"/>
                      <w:sz w:val="21"/>
                      <w:lang w:val="en-US" w:eastAsia="zh-CN"/>
                    </w:rPr>
                  </w:pPr>
                  <w:r>
                    <w:rPr>
                      <w:rFonts w:hint="eastAsia" w:ascii="Times New Roman" w:hAnsi="Times New Roman" w:eastAsia="宋体" w:cs="Times New Roman"/>
                      <w:color w:val="auto"/>
                      <w:kern w:val="0"/>
                      <w:sz w:val="21"/>
                      <w:lang w:val="en-US" w:eastAsia="zh-CN"/>
                    </w:rPr>
                    <w:t>27.50</w:t>
                  </w:r>
                </w:p>
              </w:tc>
              <w:tc>
                <w:tcPr>
                  <w:tcW w:w="417"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r>
                    <w:rPr>
                      <w:rFonts w:hint="eastAsia" w:ascii="Times New Roman" w:hAnsi="Times New Roman" w:eastAsia="宋体"/>
                      <w:color w:val="auto"/>
                      <w:kern w:val="0"/>
                      <w:sz w:val="21"/>
                    </w:rPr>
                    <w:t>0</w:t>
                  </w:r>
                </w:p>
              </w:tc>
              <w:tc>
                <w:tcPr>
                  <w:tcW w:w="424"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olor w:val="auto"/>
                      <w:kern w:val="0"/>
                      <w:sz w:val="21"/>
                    </w:rPr>
                  </w:pPr>
                  <w:r>
                    <w:rPr>
                      <w:rFonts w:hint="eastAsia" w:ascii="Times New Roman" w:hAnsi="Times New Roman" w:eastAsia="宋体"/>
                      <w:color w:val="auto"/>
                      <w:kern w:val="0"/>
                      <w:sz w:val="21"/>
                    </w:rPr>
                    <w:t>达标</w:t>
                  </w:r>
                </w:p>
              </w:tc>
            </w:tr>
          </w:tbl>
          <w:p>
            <w:pPr>
              <w:pStyle w:val="10"/>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根据上述监测数据及全县空气质量优良率，元谋县202</w:t>
            </w:r>
            <w:r>
              <w:rPr>
                <w:rFonts w:hint="eastAsia" w:ascii="Times New Roman" w:hAnsi="Times New Roman" w:cs="Times New Roman"/>
                <w:color w:val="auto"/>
                <w:sz w:val="24"/>
                <w:lang w:val="en-US" w:eastAsia="zh-CN"/>
              </w:rPr>
              <w:t>2</w:t>
            </w:r>
            <w:r>
              <w:rPr>
                <w:rFonts w:hint="default" w:ascii="Times New Roman" w:hAnsi="Times New Roman" w:eastAsia="宋体" w:cs="Times New Roman"/>
                <w:color w:val="auto"/>
                <w:sz w:val="24"/>
                <w:lang w:val="en-US" w:eastAsia="zh-CN"/>
              </w:rPr>
              <w:t>年6项基本污染物年均浓度及相应百分位数日均浓度值均可达到《环境空气质量标准》（GB3095-2012）二级标准要求，判定元谋县属环境空气质量达标区。</w:t>
            </w:r>
          </w:p>
          <w:p>
            <w:pPr>
              <w:pStyle w:val="10"/>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经现场调查，本项目所在区域属元谋县中部山区，项目周边无大的工业企业或其他重污染源分布，人类活动不强烈，现状环境空气质量良好，且应优于元谋县环境监测站所在的县城，满足功能区要求。</w:t>
            </w:r>
          </w:p>
          <w:p>
            <w:pPr>
              <w:keepNext w:val="0"/>
              <w:keepLines w:val="0"/>
              <w:pageBreakBefore w:val="0"/>
              <w:widowControl w:val="0"/>
              <w:kinsoku/>
              <w:wordWrap/>
              <w:overflowPunct/>
              <w:topLinePunct w:val="0"/>
              <w:autoSpaceDE/>
              <w:autoSpaceDN/>
              <w:bidi w:val="0"/>
              <w:spacing w:line="360" w:lineRule="auto"/>
              <w:ind w:right="0" w:rightChars="0"/>
              <w:jc w:val="both"/>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3.6地表水环境质量现状</w:t>
            </w:r>
          </w:p>
          <w:p>
            <w:pPr>
              <w:adjustRightInd w:val="0"/>
              <w:snapToGrid w:val="0"/>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元谋县境内河流57条，分属金沙江水系（其中常流河17条，季节河40条），年过境水量16.02亿m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，水能理论蕴藏量达89485kw，可利用量11715kw，占13.1%。境内年降水量15.22亿m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，地表水年径流量2.67亿m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。盆地富水块地下水储量丰富，年地下平均径流量0.36亿m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，可开发利用地下水200万m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w:t>
            </w:r>
          </w:p>
          <w:p>
            <w:pPr>
              <w:widowControl w:val="0"/>
              <w:adjustRightInd w:val="0"/>
              <w:spacing w:line="360" w:lineRule="auto"/>
              <w:ind w:firstLine="480" w:firstLineChars="200"/>
              <w:jc w:val="both"/>
              <w:rPr>
                <w:rFonts w:ascii="Times New Roman" w:hAnsi="Times New Roman" w:eastAsia="宋体" w:cs="Times New Roman"/>
                <w:color w:val="auto"/>
                <w:kern w:val="144"/>
                <w:sz w:val="24"/>
                <w:szCs w:val="24"/>
                <w:lang w:val="en-US" w:eastAsia="zh-CN" w:bidi="ar-SA"/>
              </w:rPr>
            </w:pPr>
            <w:r>
              <w:rPr>
                <w:rFonts w:hint="eastAsia" w:ascii="Times New Roman" w:hAnsi="Times New Roman" w:eastAsia="宋体" w:cs="Times New Roman"/>
                <w:color w:val="auto"/>
                <w:kern w:val="144"/>
                <w:sz w:val="24"/>
                <w:szCs w:val="24"/>
                <w:lang w:val="en-US" w:eastAsia="zh-CN" w:bidi="ar-SA"/>
              </w:rPr>
              <w:t>本项目</w:t>
            </w:r>
            <w:r>
              <w:rPr>
                <w:rFonts w:hint="eastAsia" w:cs="Times New Roman"/>
                <w:color w:val="auto"/>
                <w:kern w:val="144"/>
                <w:sz w:val="24"/>
                <w:szCs w:val="24"/>
                <w:lang w:val="en-US" w:eastAsia="zh-CN" w:bidi="ar-SA"/>
              </w:rPr>
              <w:t>3</w:t>
            </w:r>
            <w:r>
              <w:rPr>
                <w:rFonts w:hint="eastAsia" w:ascii="Times New Roman" w:hAnsi="Times New Roman" w:eastAsia="宋体" w:cs="Times New Roman"/>
                <w:color w:val="auto"/>
                <w:kern w:val="144"/>
                <w:sz w:val="24"/>
                <w:szCs w:val="24"/>
                <w:lang w:val="en-US" w:eastAsia="zh-CN" w:bidi="ar-SA"/>
              </w:rPr>
              <w:t>个片区均位于金沙江流域，项目区周边主要水体有金沙江、</w:t>
            </w:r>
            <w:r>
              <w:rPr>
                <w:rFonts w:hint="eastAsia" w:ascii="Times New Roman" w:hAnsi="Times New Roman" w:eastAsia="宋体" w:cs="Times New Roman"/>
                <w:color w:val="auto"/>
                <w:kern w:val="2"/>
                <w:sz w:val="24"/>
                <w:szCs w:val="24"/>
                <w:lang w:val="en-US" w:eastAsia="zh-CN" w:bidi="ar-SA"/>
              </w:rPr>
              <w:t>龙川江、老城河、黑山大箐、海子哨河、老猫箐河、丙巷河、丙间箐（丙间河）、丙间水库、麻柳水库、勐连水库、丙巷河水库等。</w:t>
            </w:r>
            <w:r>
              <w:rPr>
                <w:rFonts w:hint="eastAsia" w:ascii="Times New Roman" w:hAnsi="Times New Roman" w:eastAsia="宋体" w:cs="Times New Roman"/>
                <w:color w:val="auto"/>
                <w:kern w:val="144"/>
                <w:sz w:val="24"/>
                <w:szCs w:val="24"/>
                <w:lang w:val="en-US" w:eastAsia="zh-CN" w:bidi="ar-SA"/>
              </w:rPr>
              <w:t>其中龙川江属于金沙江支流；老城河、</w:t>
            </w:r>
            <w:r>
              <w:rPr>
                <w:rFonts w:hint="eastAsia" w:ascii="Times New Roman" w:hAnsi="Times New Roman" w:eastAsia="宋体" w:cs="Times New Roman"/>
                <w:color w:val="auto"/>
                <w:kern w:val="2"/>
                <w:sz w:val="24"/>
                <w:szCs w:val="24"/>
                <w:lang w:val="en-US" w:eastAsia="zh-CN" w:bidi="ar-SA"/>
              </w:rPr>
              <w:t>黑山大箐、海子哨河、大沙箐、老猫箐河、丙巷河、丙间箐（丙间河）</w:t>
            </w:r>
            <w:r>
              <w:rPr>
                <w:rFonts w:hint="eastAsia" w:ascii="Times New Roman" w:hAnsi="Times New Roman" w:eastAsia="宋体" w:cs="Times New Roman"/>
                <w:color w:val="auto"/>
                <w:kern w:val="144"/>
                <w:sz w:val="24"/>
                <w:szCs w:val="24"/>
                <w:lang w:val="en-US" w:eastAsia="zh-CN" w:bidi="ar-SA"/>
              </w:rPr>
              <w:t>为龙川江支流，属于季节性沟渠。</w:t>
            </w:r>
          </w:p>
          <w:p>
            <w:pPr>
              <w:spacing w:before="79" w:line="358" w:lineRule="auto"/>
              <w:ind w:left="8" w:firstLine="481"/>
              <w:rPr>
                <w:rFonts w:ascii="Times New Roman" w:hAnsi="Times New Roman" w:eastAsia="宋体" w:cs="Times New Roman"/>
                <w:color w:val="auto"/>
                <w:sz w:val="24"/>
              </w:rPr>
            </w:pPr>
            <w:r>
              <w:rPr>
                <w:rFonts w:ascii="Times New Roman" w:hAnsi="Times New Roman" w:eastAsia="宋体" w:cs="Times New Roman"/>
                <w:color w:val="auto"/>
                <w:sz w:val="24"/>
              </w:rPr>
              <w:t>1）金沙江：为长江上游，发源于青海省，自我省德钦县入境由西北，西至东北，横跨我省北部，多数江段为滇川天然界河，在云南境内河长1560km。行政区划涉及迪庆、丽江、大理、楚雄、昆明、曲靖、昭通等七地州市47个县市区，流域面积10.85万km</w:t>
            </w:r>
            <w:r>
              <w:rPr>
                <w:rFonts w:ascii="Times New Roman" w:hAnsi="Times New Roman" w:eastAsia="宋体" w:cs="Times New Roman"/>
                <w:color w:val="auto"/>
                <w:sz w:val="24"/>
                <w:vertAlign w:val="superscript"/>
              </w:rPr>
              <w:t>2</w:t>
            </w:r>
            <w:r>
              <w:rPr>
                <w:rFonts w:ascii="Times New Roman" w:hAnsi="Times New Roman" w:eastAsia="宋体" w:cs="Times New Roman"/>
                <w:color w:val="auto"/>
                <w:sz w:val="24"/>
              </w:rPr>
              <w:t>，占全省面积的27.7%。金沙江水系以山地为主，占总面积的86%，丘陵占9%，坝子占5%。在云南境内流域面积在1000km</w:t>
            </w:r>
            <w:r>
              <w:rPr>
                <w:rFonts w:ascii="Times New Roman" w:hAnsi="Times New Roman" w:eastAsia="宋体" w:cs="Times New Roman"/>
                <w:color w:val="auto"/>
                <w:sz w:val="24"/>
                <w:vertAlign w:val="superscript"/>
              </w:rPr>
              <w:t>2</w:t>
            </w:r>
            <w:r>
              <w:rPr>
                <w:rFonts w:ascii="Times New Roman" w:hAnsi="Times New Roman" w:eastAsia="宋体" w:cs="Times New Roman"/>
                <w:color w:val="auto"/>
                <w:sz w:val="24"/>
              </w:rPr>
              <w:t>以上的支流有19条。左岸流域面积在1000～5000km</w:t>
            </w:r>
            <w:r>
              <w:rPr>
                <w:rFonts w:ascii="Times New Roman" w:hAnsi="Times New Roman" w:eastAsia="宋体" w:cs="Times New Roman"/>
                <w:color w:val="auto"/>
                <w:sz w:val="24"/>
                <w:vertAlign w:val="superscript"/>
              </w:rPr>
              <w:t>2</w:t>
            </w:r>
            <w:r>
              <w:rPr>
                <w:rFonts w:ascii="Times New Roman" w:hAnsi="Times New Roman" w:eastAsia="宋体" w:cs="Times New Roman"/>
                <w:color w:val="auto"/>
                <w:sz w:val="24"/>
              </w:rPr>
              <w:t>的支流有：交界河、硕多岗河、五朗河、马过河、新庄河等。右岸流域面积在5000km</w:t>
            </w:r>
            <w:r>
              <w:rPr>
                <w:rFonts w:ascii="Times New Roman" w:hAnsi="Times New Roman" w:eastAsia="宋体" w:cs="Times New Roman"/>
                <w:color w:val="auto"/>
                <w:sz w:val="24"/>
                <w:vertAlign w:val="superscript"/>
              </w:rPr>
              <w:t>2</w:t>
            </w:r>
            <w:r>
              <w:rPr>
                <w:rFonts w:ascii="Times New Roman" w:hAnsi="Times New Roman" w:eastAsia="宋体" w:cs="Times New Roman"/>
                <w:color w:val="auto"/>
                <w:sz w:val="24"/>
              </w:rPr>
              <w:t>以上的支流有：龙川江、普渡河、牛栏江、横江；流域面积在1000～5000km</w:t>
            </w:r>
            <w:r>
              <w:rPr>
                <w:rFonts w:ascii="Times New Roman" w:hAnsi="Times New Roman" w:eastAsia="宋体" w:cs="Times New Roman"/>
                <w:color w:val="auto"/>
                <w:sz w:val="24"/>
                <w:vertAlign w:val="superscript"/>
              </w:rPr>
              <w:t>2</w:t>
            </w:r>
            <w:r>
              <w:rPr>
                <w:rFonts w:ascii="Times New Roman" w:hAnsi="Times New Roman" w:eastAsia="宋体" w:cs="Times New Roman"/>
                <w:color w:val="auto"/>
                <w:sz w:val="24"/>
              </w:rPr>
              <w:t>的有支巴洛河、冲江河、漾弓江、桑园河、渔泡江、万马河、猛果河、小江，以礼河等。</w:t>
            </w:r>
            <w:r>
              <w:rPr>
                <w:rFonts w:hint="eastAsia" w:ascii="Times New Roman" w:hAnsi="Times New Roman" w:eastAsia="宋体" w:cs="Times New Roman"/>
                <w:color w:val="auto"/>
                <w:sz w:val="24"/>
              </w:rPr>
              <w:t>根据《云南省地表水水环境功能区划（2010-2020）》，项目区位于川滇入境—水富出境河段，最近距离位于</w:t>
            </w:r>
            <w:r>
              <w:rPr>
                <w:rFonts w:hint="eastAsia" w:ascii="Times New Roman" w:hAnsi="Times New Roman" w:eastAsia="宋体" w:cs="Times New Roman"/>
                <w:color w:val="auto"/>
                <w:sz w:val="24"/>
                <w:lang w:eastAsia="zh-CN"/>
              </w:rPr>
              <w:t>阿</w:t>
            </w:r>
            <w:r>
              <w:rPr>
                <w:rFonts w:hint="eastAsia" w:ascii="Times New Roman" w:hAnsi="Times New Roman" w:eastAsia="宋体" w:cs="Times New Roman"/>
                <w:color w:val="auto"/>
                <w:sz w:val="24"/>
                <w:lang w:val="en-US" w:eastAsia="zh-CN"/>
              </w:rPr>
              <w:t>郎</w:t>
            </w:r>
            <w:r>
              <w:rPr>
                <w:rFonts w:hint="eastAsia" w:ascii="Times New Roman" w:hAnsi="Times New Roman" w:eastAsia="宋体" w:cs="Times New Roman"/>
                <w:color w:val="auto"/>
                <w:sz w:val="24"/>
              </w:rPr>
              <w:t>片区北侧约3</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km，属于大湾子监测断面，其水体功能区划为一般鱼类保护、工业用水、农业用水，执行《地表水环境质量标准》（GB3838-2002）Ⅲ类标准。根据云南省生态环境厅驻楚雄州生态环境监测站办公室2021年7月21日公布的《楚雄环境监测信息 第三十三期》，2021年上半年楚雄州国控、省控断面监测结果中，大湾子监测断面水质类别为Ⅰ类，水质状况较好。</w:t>
            </w:r>
          </w:p>
          <w:p>
            <w:pPr>
              <w:widowControl w:val="0"/>
              <w:adjustRightInd w:val="0"/>
              <w:spacing w:line="360" w:lineRule="auto"/>
              <w:ind w:firstLine="480" w:firstLineChars="200"/>
              <w:jc w:val="both"/>
              <w:rPr>
                <w:rFonts w:hint="eastAsia" w:ascii="Times New Roman" w:hAnsi="Times New Roman" w:eastAsia="宋体" w:cs="Times New Roman"/>
                <w:color w:val="auto"/>
                <w:kern w:val="144"/>
                <w:sz w:val="24"/>
                <w:szCs w:val="24"/>
                <w:lang w:val="en-US" w:eastAsia="zh-CN" w:bidi="ar-SA"/>
              </w:rPr>
            </w:pPr>
            <w:r>
              <w:rPr>
                <w:rFonts w:hint="eastAsia" w:ascii="Times New Roman" w:hAnsi="Times New Roman" w:eastAsia="宋体" w:cs="Times New Roman"/>
                <w:color w:val="auto"/>
                <w:kern w:val="144"/>
                <w:sz w:val="24"/>
                <w:szCs w:val="24"/>
                <w:lang w:val="en-US" w:eastAsia="zh-CN" w:bidi="ar-SA"/>
              </w:rPr>
              <w:t>2）龙川江：龙川江为金沙江南岸一级支流，水源丰富，发源于楚雄彝族自治州的南华县天子庙坡东侧鱼肚拉的蒲藻塘，由西向东流经南华县、楚雄市，又折向北进禄丰县和元谋县，横穿元谋坝区，最终在元谋北部的江边乡汇入金沙江。流域面积9240.7km</w:t>
            </w:r>
            <w:r>
              <w:rPr>
                <w:rFonts w:hint="eastAsia" w:ascii="Times New Roman" w:hAnsi="Times New Roman" w:eastAsia="宋体" w:cs="Times New Roman"/>
                <w:color w:val="auto"/>
                <w:kern w:val="144"/>
                <w:sz w:val="24"/>
                <w:szCs w:val="24"/>
                <w:vertAlign w:val="superscript"/>
                <w:lang w:val="en-US" w:eastAsia="zh-CN" w:bidi="ar-SA"/>
              </w:rPr>
              <w:t>2</w:t>
            </w:r>
            <w:r>
              <w:rPr>
                <w:rFonts w:hint="eastAsia" w:ascii="Times New Roman" w:hAnsi="Times New Roman" w:eastAsia="宋体" w:cs="Times New Roman"/>
                <w:color w:val="auto"/>
                <w:kern w:val="144"/>
                <w:sz w:val="24"/>
                <w:szCs w:val="24"/>
                <w:lang w:val="en-US" w:eastAsia="zh-CN" w:bidi="ar-SA"/>
              </w:rPr>
              <w:t>，全长约246km。发源处与入江口相对落差1600多米，河床平均坡降为4.8‰，流域平均海拔1992m。流域以山区和丘陵为主，占95%，河谷盆地和浅丘约占流域面积的5%。项目所在地涉及龙川江的龙川江（毛板桥水库—黄瓜园）段，最近距离位于</w:t>
            </w:r>
            <w:r>
              <w:rPr>
                <w:rFonts w:hint="eastAsia" w:cs="Times New Roman"/>
                <w:color w:val="auto"/>
                <w:kern w:val="144"/>
                <w:sz w:val="24"/>
                <w:szCs w:val="24"/>
                <w:lang w:val="en-US" w:eastAsia="zh-CN" w:bidi="ar-SA"/>
              </w:rPr>
              <w:t>松树湾</w:t>
            </w:r>
            <w:r>
              <w:rPr>
                <w:rFonts w:hint="eastAsia" w:ascii="Times New Roman" w:hAnsi="Times New Roman" w:eastAsia="宋体" w:cs="Times New Roman"/>
                <w:color w:val="auto"/>
                <w:kern w:val="144"/>
                <w:sz w:val="24"/>
                <w:szCs w:val="24"/>
                <w:lang w:val="en-US" w:eastAsia="zh-CN" w:bidi="ar-SA"/>
              </w:rPr>
              <w:t>片区西侧</w:t>
            </w:r>
            <w:r>
              <w:rPr>
                <w:rFonts w:hint="eastAsia" w:ascii="Times New Roman" w:hAnsi="Times New Roman" w:eastAsia="宋体" w:cs="Times New Roman"/>
                <w:b w:val="0"/>
                <w:bCs w:val="0"/>
                <w:color w:val="auto"/>
                <w:kern w:val="144"/>
                <w:sz w:val="24"/>
                <w:szCs w:val="24"/>
                <w:lang w:val="en-US" w:eastAsia="zh-CN" w:bidi="ar-SA"/>
              </w:rPr>
              <w:t>250</w:t>
            </w:r>
            <w:r>
              <w:rPr>
                <w:rFonts w:hint="eastAsia" w:ascii="Times New Roman" w:hAnsi="Times New Roman" w:eastAsia="宋体" w:cs="Times New Roman"/>
                <w:color w:val="auto"/>
                <w:kern w:val="144"/>
                <w:sz w:val="24"/>
                <w:szCs w:val="24"/>
                <w:lang w:val="en-US" w:eastAsia="zh-CN" w:bidi="ar-SA"/>
              </w:rPr>
              <w:t>m。根据《云南省地表水水环境功能区划（2010-2020）》，龙川江毛板桥-黄瓜园断面水体功能区划为农业用水、工业用水，执行《地表水环境质量标准》（GB3838-2002）IV类标准。根据云南省生态环境厅驻楚雄州生态环境监测站办公室2021年7月21日公布的</w:t>
            </w:r>
            <w:r>
              <w:rPr>
                <w:rFonts w:hint="eastAsia" w:cs="Times New Roman"/>
                <w:color w:val="auto"/>
                <w:kern w:val="144"/>
                <w:sz w:val="24"/>
                <w:szCs w:val="24"/>
                <w:lang w:val="en-US" w:eastAsia="zh-CN" w:bidi="ar-SA"/>
              </w:rPr>
              <w:t xml:space="preserve"> </w:t>
            </w:r>
            <w:r>
              <w:rPr>
                <w:rFonts w:hint="eastAsia" w:ascii="Times New Roman" w:hAnsi="Times New Roman" w:eastAsia="宋体" w:cs="Times New Roman"/>
                <w:color w:val="auto"/>
                <w:kern w:val="144"/>
                <w:sz w:val="24"/>
                <w:szCs w:val="24"/>
                <w:lang w:val="en-US" w:eastAsia="zh-CN" w:bidi="ar-SA"/>
              </w:rPr>
              <w:t>《楚雄环境监测信息 第三十三期》，2021年上半年楚雄州国控、省控断面监测结果中，黄瓜园监测断面水质类别为Ⅱ类，水质状况良好。根据“支流不低于干流”的执行标准要求，故项目区龙川江、</w:t>
            </w:r>
            <w:r>
              <w:rPr>
                <w:rFonts w:hint="eastAsia" w:ascii="Times New Roman" w:hAnsi="Times New Roman" w:eastAsia="宋体" w:cs="Times New Roman"/>
                <w:color w:val="auto"/>
                <w:kern w:val="2"/>
                <w:sz w:val="24"/>
                <w:szCs w:val="24"/>
                <w:lang w:val="en-US" w:eastAsia="zh-CN" w:bidi="ar-SA"/>
              </w:rPr>
              <w:t>大沙箐、</w:t>
            </w:r>
            <w:r>
              <w:rPr>
                <w:rFonts w:hint="eastAsia" w:ascii="Times New Roman" w:hAnsi="Times New Roman" w:eastAsia="宋体" w:cs="Times New Roman"/>
                <w:color w:val="auto"/>
                <w:kern w:val="144"/>
                <w:sz w:val="24"/>
                <w:szCs w:val="24"/>
                <w:lang w:val="en-US" w:eastAsia="zh-CN" w:bidi="ar-SA"/>
              </w:rPr>
              <w:t>老城河、</w:t>
            </w:r>
            <w:r>
              <w:rPr>
                <w:rFonts w:hint="eastAsia" w:ascii="Times New Roman" w:hAnsi="Times New Roman" w:eastAsia="宋体" w:cs="Times New Roman"/>
                <w:color w:val="auto"/>
                <w:kern w:val="2"/>
                <w:sz w:val="24"/>
                <w:szCs w:val="24"/>
                <w:lang w:val="en-US" w:eastAsia="zh-CN" w:bidi="ar-SA"/>
              </w:rPr>
              <w:t>黑山大箐、海子哨河、老猫箐河、丙巷河、丙间箐（丙间河）</w:t>
            </w:r>
            <w:r>
              <w:rPr>
                <w:rFonts w:hint="eastAsia" w:ascii="Times New Roman" w:hAnsi="Times New Roman" w:eastAsia="宋体" w:cs="Times New Roman"/>
                <w:color w:val="auto"/>
                <w:kern w:val="144"/>
                <w:sz w:val="24"/>
                <w:szCs w:val="24"/>
                <w:lang w:val="en-US" w:eastAsia="zh-CN" w:bidi="ar-SA"/>
              </w:rPr>
              <w:t>等水体功能为一般鱼类保护、工业用水、农业用水，执行《地表水环境质量标准》（GB3838-2002）Ⅳ类标准。</w:t>
            </w:r>
          </w:p>
          <w:p>
            <w:pPr>
              <w:widowControl w:val="0"/>
              <w:adjustRightInd w:val="0"/>
              <w:spacing w:line="360" w:lineRule="auto"/>
              <w:ind w:firstLine="480" w:firstLineChars="200"/>
              <w:jc w:val="both"/>
              <w:rPr>
                <w:rFonts w:ascii="Times New Roman" w:hAnsi="Times New Roman" w:eastAsia="宋体" w:cs="Times New Roman"/>
                <w:color w:val="auto"/>
                <w:kern w:val="144"/>
                <w:sz w:val="24"/>
                <w:szCs w:val="24"/>
                <w:lang w:val="en-US" w:eastAsia="zh-CN" w:bidi="ar-SA"/>
              </w:rPr>
            </w:pPr>
            <w:r>
              <w:rPr>
                <w:rFonts w:hint="eastAsia" w:ascii="Times New Roman" w:hAnsi="Times New Roman" w:eastAsia="宋体" w:cs="Times New Roman"/>
                <w:color w:val="auto"/>
                <w:kern w:val="144"/>
                <w:sz w:val="24"/>
                <w:szCs w:val="24"/>
                <w:lang w:val="en-US" w:eastAsia="zh-CN" w:bidi="ar-SA"/>
              </w:rPr>
              <w:t>3）丙间水库</w:t>
            </w:r>
          </w:p>
          <w:p>
            <w:pPr>
              <w:widowControl w:val="0"/>
              <w:adjustRightInd w:val="0"/>
              <w:spacing w:line="360" w:lineRule="auto"/>
              <w:ind w:firstLine="480" w:firstLineChars="200"/>
              <w:jc w:val="both"/>
              <w:rPr>
                <w:rFonts w:hint="eastAsia" w:ascii="Times New Roman" w:hAnsi="Times New Roman" w:eastAsia="宋体" w:cs="Times New Roman"/>
                <w:color w:val="auto"/>
                <w:kern w:val="144"/>
                <w:sz w:val="24"/>
                <w:szCs w:val="24"/>
                <w:lang w:val="en-US" w:eastAsia="zh-CN" w:bidi="ar-SA"/>
              </w:rPr>
            </w:pPr>
            <w:r>
              <w:rPr>
                <w:rFonts w:hint="eastAsia" w:ascii="Times New Roman" w:hAnsi="Times New Roman" w:eastAsia="宋体" w:cs="Times New Roman"/>
                <w:color w:val="auto"/>
                <w:kern w:val="144"/>
                <w:sz w:val="24"/>
                <w:szCs w:val="24"/>
                <w:lang w:val="en-US" w:eastAsia="zh-CN" w:bidi="ar-SA"/>
              </w:rPr>
              <w:t>丙间水库位于元谋县城西南部老城乡小扒弯村，距离元谋县城17公里，兴建于1977年9月，1982年6月竣工投入运行，工程控制径流面积15.8平方公里，多年平均径流量237万m</w:t>
            </w:r>
            <w:r>
              <w:rPr>
                <w:rFonts w:hint="eastAsia" w:ascii="Times New Roman" w:hAnsi="Times New Roman" w:eastAsia="宋体" w:cs="Times New Roman"/>
                <w:color w:val="auto"/>
                <w:kern w:val="144"/>
                <w:sz w:val="24"/>
                <w:szCs w:val="24"/>
                <w:vertAlign w:val="superscript"/>
                <w:lang w:val="en-US" w:eastAsia="zh-CN" w:bidi="ar-SA"/>
              </w:rPr>
              <w:t>3</w:t>
            </w:r>
            <w:r>
              <w:rPr>
                <w:rFonts w:hint="eastAsia" w:ascii="Times New Roman" w:hAnsi="Times New Roman" w:eastAsia="宋体" w:cs="Times New Roman"/>
                <w:color w:val="auto"/>
                <w:kern w:val="144"/>
                <w:sz w:val="24"/>
                <w:szCs w:val="24"/>
                <w:lang w:val="en-US" w:eastAsia="zh-CN" w:bidi="ar-SA"/>
              </w:rPr>
              <w:t>，总库客1589万m</w:t>
            </w:r>
            <w:r>
              <w:rPr>
                <w:rFonts w:hint="eastAsia" w:ascii="Times New Roman" w:hAnsi="Times New Roman" w:eastAsia="宋体" w:cs="Times New Roman"/>
                <w:color w:val="auto"/>
                <w:kern w:val="144"/>
                <w:sz w:val="24"/>
                <w:szCs w:val="24"/>
                <w:vertAlign w:val="superscript"/>
                <w:lang w:val="en-US" w:eastAsia="zh-CN" w:bidi="ar-SA"/>
              </w:rPr>
              <w:t>3</w:t>
            </w:r>
            <w:r>
              <w:rPr>
                <w:rFonts w:hint="eastAsia" w:ascii="Times New Roman" w:hAnsi="Times New Roman" w:eastAsia="宋体" w:cs="Times New Roman"/>
                <w:color w:val="auto"/>
                <w:kern w:val="144"/>
                <w:sz w:val="24"/>
                <w:szCs w:val="24"/>
                <w:lang w:val="en-US" w:eastAsia="zh-CN" w:bidi="ar-SA"/>
              </w:rPr>
              <w:t>，兴利库容1463万m</w:t>
            </w:r>
            <w:r>
              <w:rPr>
                <w:rFonts w:hint="eastAsia" w:ascii="Times New Roman" w:hAnsi="Times New Roman" w:eastAsia="宋体" w:cs="Times New Roman"/>
                <w:color w:val="auto"/>
                <w:kern w:val="144"/>
                <w:sz w:val="24"/>
                <w:szCs w:val="24"/>
                <w:vertAlign w:val="superscript"/>
                <w:lang w:val="en-US" w:eastAsia="zh-CN" w:bidi="ar-SA"/>
              </w:rPr>
              <w:t>3</w:t>
            </w:r>
            <w:r>
              <w:rPr>
                <w:rFonts w:hint="eastAsia" w:ascii="Times New Roman" w:hAnsi="Times New Roman" w:eastAsia="宋体" w:cs="Times New Roman"/>
                <w:color w:val="auto"/>
                <w:kern w:val="144"/>
                <w:sz w:val="24"/>
                <w:szCs w:val="24"/>
                <w:lang w:val="en-US" w:eastAsia="zh-CN" w:bidi="ar-SA"/>
              </w:rPr>
              <w:t>，死库容126万m</w:t>
            </w:r>
            <w:r>
              <w:rPr>
                <w:rFonts w:hint="eastAsia" w:ascii="Times New Roman" w:hAnsi="Times New Roman" w:eastAsia="宋体" w:cs="Times New Roman"/>
                <w:color w:val="auto"/>
                <w:kern w:val="144"/>
                <w:sz w:val="24"/>
                <w:szCs w:val="24"/>
                <w:vertAlign w:val="superscript"/>
                <w:lang w:val="en-US" w:eastAsia="zh-CN" w:bidi="ar-SA"/>
              </w:rPr>
              <w:t>3</w:t>
            </w:r>
            <w:r>
              <w:rPr>
                <w:rFonts w:hint="eastAsia" w:ascii="Times New Roman" w:hAnsi="Times New Roman" w:eastAsia="宋体" w:cs="Times New Roman"/>
                <w:color w:val="auto"/>
                <w:kern w:val="144"/>
                <w:sz w:val="24"/>
                <w:szCs w:val="24"/>
                <w:lang w:val="en-US" w:eastAsia="zh-CN" w:bidi="ar-SA"/>
              </w:rPr>
              <w:t>。</w:t>
            </w:r>
          </w:p>
          <w:p>
            <w:pPr>
              <w:widowControl w:val="0"/>
              <w:adjustRightInd w:val="0"/>
              <w:spacing w:line="360" w:lineRule="auto"/>
              <w:ind w:firstLine="480" w:firstLineChars="200"/>
              <w:jc w:val="both"/>
              <w:rPr>
                <w:rFonts w:hint="eastAsia" w:ascii="Times New Roman" w:hAnsi="Times New Roman" w:eastAsia="宋体" w:cs="Times New Roman"/>
                <w:color w:val="auto"/>
                <w:kern w:val="144"/>
                <w:sz w:val="24"/>
                <w:szCs w:val="24"/>
                <w:lang w:val="en-US" w:eastAsia="zh-CN" w:bidi="ar-SA"/>
              </w:rPr>
            </w:pPr>
            <w:r>
              <w:rPr>
                <w:rFonts w:hint="eastAsia" w:ascii="Times New Roman" w:hAnsi="Times New Roman" w:eastAsia="宋体" w:cs="Times New Roman"/>
                <w:color w:val="auto"/>
                <w:kern w:val="144"/>
                <w:sz w:val="24"/>
                <w:szCs w:val="24"/>
                <w:lang w:val="en-US" w:eastAsia="zh-CN" w:bidi="ar-SA"/>
              </w:rPr>
              <w:t>2012年10月，州人民政府以《楚雄州人民政府关于县城重点集中式饮用水水源保护区划分方案的批复》（楚政复</w:t>
            </w:r>
            <w:r>
              <w:rPr>
                <w:rFonts w:hint="eastAsia" w:ascii="宋体" w:hAnsi="宋体" w:eastAsia="宋体" w:cs="宋体"/>
                <w:color w:val="auto"/>
                <w:kern w:val="144"/>
                <w:sz w:val="24"/>
                <w:szCs w:val="24"/>
                <w:lang w:val="en-US" w:eastAsia="zh-CN" w:bidi="ar-SA"/>
              </w:rPr>
              <w:t>〔</w:t>
            </w:r>
            <w:r>
              <w:rPr>
                <w:rFonts w:hint="eastAsia" w:ascii="Times New Roman" w:hAnsi="Times New Roman" w:eastAsia="宋体" w:cs="Times New Roman"/>
                <w:color w:val="auto"/>
                <w:kern w:val="144"/>
                <w:sz w:val="24"/>
                <w:szCs w:val="24"/>
                <w:lang w:val="en-US" w:eastAsia="zh-CN" w:bidi="ar-SA"/>
              </w:rPr>
              <w:t>2012</w:t>
            </w:r>
            <w:r>
              <w:rPr>
                <w:rFonts w:hint="eastAsia" w:ascii="宋体" w:hAnsi="宋体" w:eastAsia="宋体" w:cs="宋体"/>
                <w:color w:val="auto"/>
                <w:kern w:val="144"/>
                <w:sz w:val="24"/>
                <w:szCs w:val="24"/>
                <w:lang w:val="en-US" w:eastAsia="zh-CN" w:bidi="ar-SA"/>
              </w:rPr>
              <w:t>〕</w:t>
            </w:r>
            <w:r>
              <w:rPr>
                <w:rFonts w:hint="eastAsia" w:ascii="Times New Roman" w:hAnsi="Times New Roman" w:eastAsia="宋体" w:cs="Times New Roman"/>
                <w:color w:val="auto"/>
                <w:kern w:val="144"/>
                <w:sz w:val="24"/>
                <w:szCs w:val="24"/>
                <w:lang w:val="en-US" w:eastAsia="zh-CN" w:bidi="ar-SA"/>
              </w:rPr>
              <w:t>53号）文件批复了丙间水库城镇集中供水式饮用水水源地保护区划分报告，保护区划分为一级保护区、二级保护区及准保护区，其中一级保护区水域范围为水库正常水位以下的全部水域面积，陆域范围为正常水位线以上1000m范围内的区域，一级保护区总面积0.8km</w:t>
            </w:r>
            <w:r>
              <w:rPr>
                <w:rFonts w:hint="eastAsia" w:ascii="Times New Roman" w:hAnsi="Times New Roman" w:eastAsia="宋体" w:cs="Times New Roman"/>
                <w:color w:val="auto"/>
                <w:kern w:val="144"/>
                <w:sz w:val="24"/>
                <w:szCs w:val="24"/>
                <w:vertAlign w:val="superscript"/>
                <w:lang w:val="en-US" w:eastAsia="zh-CN" w:bidi="ar-SA"/>
              </w:rPr>
              <w:t>2</w:t>
            </w:r>
            <w:r>
              <w:rPr>
                <w:rFonts w:hint="eastAsia" w:ascii="Times New Roman" w:hAnsi="Times New Roman" w:eastAsia="宋体" w:cs="Times New Roman"/>
                <w:color w:val="auto"/>
                <w:kern w:val="144"/>
                <w:sz w:val="24"/>
                <w:szCs w:val="24"/>
                <w:lang w:val="en-US" w:eastAsia="zh-CN" w:bidi="ar-SA"/>
              </w:rPr>
              <w:t>；二级保护区水域范围为一级保护区东上游3000m的所有水域，陆域范围为一级保护区外延1000m以内的所有区域，二级保护区总面积16.2km</w:t>
            </w:r>
            <w:r>
              <w:rPr>
                <w:rFonts w:hint="eastAsia" w:ascii="Times New Roman" w:hAnsi="Times New Roman" w:eastAsia="宋体" w:cs="Times New Roman"/>
                <w:color w:val="auto"/>
                <w:kern w:val="144"/>
                <w:sz w:val="24"/>
                <w:szCs w:val="24"/>
                <w:vertAlign w:val="superscript"/>
                <w:lang w:val="en-US" w:eastAsia="zh-CN" w:bidi="ar-SA"/>
              </w:rPr>
              <w:t>2</w:t>
            </w:r>
            <w:r>
              <w:rPr>
                <w:rFonts w:hint="eastAsia" w:ascii="Times New Roman" w:hAnsi="Times New Roman" w:eastAsia="宋体" w:cs="Times New Roman"/>
                <w:color w:val="auto"/>
                <w:kern w:val="144"/>
                <w:sz w:val="24"/>
                <w:szCs w:val="24"/>
                <w:lang w:val="en-US" w:eastAsia="zh-CN" w:bidi="ar-SA"/>
              </w:rPr>
              <w:t>；准保护区范围为水库径流区内除一级保护区和二级保护区以外的流域内所有区域，总面积15.8km</w:t>
            </w:r>
            <w:r>
              <w:rPr>
                <w:rFonts w:hint="eastAsia" w:ascii="Times New Roman" w:hAnsi="Times New Roman" w:eastAsia="宋体" w:cs="Times New Roman"/>
                <w:color w:val="auto"/>
                <w:kern w:val="144"/>
                <w:sz w:val="24"/>
                <w:szCs w:val="24"/>
                <w:vertAlign w:val="superscript"/>
                <w:lang w:val="en-US" w:eastAsia="zh-CN" w:bidi="ar-SA"/>
              </w:rPr>
              <w:t>2</w:t>
            </w:r>
            <w:r>
              <w:rPr>
                <w:rFonts w:hint="eastAsia" w:ascii="Times New Roman" w:hAnsi="Times New Roman" w:eastAsia="宋体" w:cs="Times New Roman"/>
                <w:color w:val="auto"/>
                <w:kern w:val="144"/>
                <w:sz w:val="24"/>
                <w:szCs w:val="24"/>
                <w:lang w:val="en-US" w:eastAsia="zh-CN" w:bidi="ar-SA"/>
              </w:rPr>
              <w:t>。水库除担负着元谋城镇6万人的生活饮用水供水及下游6万亩农田港溉任务，还承担县城、成昆铁路、牟元公路的防洪任务。是一座集城镇居民生活用水、衣田灌溉、下游防洪为一体的综合利用中型水库。年平均供水量为1700万m</w:t>
            </w:r>
            <w:r>
              <w:rPr>
                <w:rFonts w:hint="eastAsia" w:ascii="Times New Roman" w:hAnsi="Times New Roman" w:eastAsia="宋体" w:cs="Times New Roman"/>
                <w:color w:val="auto"/>
                <w:kern w:val="144"/>
                <w:sz w:val="24"/>
                <w:szCs w:val="24"/>
                <w:vertAlign w:val="superscript"/>
                <w:lang w:val="en-US" w:eastAsia="zh-CN" w:bidi="ar-SA"/>
              </w:rPr>
              <w:t>3</w:t>
            </w:r>
            <w:r>
              <w:rPr>
                <w:rFonts w:hint="eastAsia" w:ascii="Times New Roman" w:hAnsi="Times New Roman" w:eastAsia="宋体" w:cs="Times New Roman"/>
                <w:color w:val="auto"/>
                <w:kern w:val="144"/>
                <w:sz w:val="24"/>
                <w:szCs w:val="24"/>
                <w:lang w:val="en-US" w:eastAsia="zh-CN" w:bidi="ar-SA"/>
              </w:rPr>
              <w:t>，其中年平均农田灌溉水量1400万m</w:t>
            </w:r>
            <w:r>
              <w:rPr>
                <w:rFonts w:hint="eastAsia" w:ascii="Times New Roman" w:hAnsi="Times New Roman" w:eastAsia="宋体" w:cs="Times New Roman"/>
                <w:color w:val="auto"/>
                <w:kern w:val="144"/>
                <w:sz w:val="24"/>
                <w:szCs w:val="24"/>
                <w:vertAlign w:val="superscript"/>
                <w:lang w:val="en-US" w:eastAsia="zh-CN" w:bidi="ar-SA"/>
              </w:rPr>
              <w:t>3</w:t>
            </w:r>
            <w:r>
              <w:rPr>
                <w:rFonts w:hint="eastAsia" w:ascii="Times New Roman" w:hAnsi="Times New Roman" w:eastAsia="宋体" w:cs="Times New Roman"/>
                <w:color w:val="auto"/>
                <w:kern w:val="144"/>
                <w:sz w:val="24"/>
                <w:szCs w:val="24"/>
                <w:lang w:val="en-US" w:eastAsia="zh-CN" w:bidi="ar-SA"/>
              </w:rPr>
              <w:t>，年平均城市生活供水量250万m</w:t>
            </w:r>
            <w:r>
              <w:rPr>
                <w:rFonts w:hint="eastAsia" w:ascii="Times New Roman" w:hAnsi="Times New Roman" w:eastAsia="宋体" w:cs="Times New Roman"/>
                <w:color w:val="auto"/>
                <w:kern w:val="144"/>
                <w:sz w:val="24"/>
                <w:szCs w:val="24"/>
                <w:vertAlign w:val="superscript"/>
                <w:lang w:val="en-US" w:eastAsia="zh-CN" w:bidi="ar-SA"/>
              </w:rPr>
              <w:t>3</w:t>
            </w:r>
            <w:r>
              <w:rPr>
                <w:rFonts w:hint="eastAsia" w:ascii="Times New Roman" w:hAnsi="Times New Roman" w:eastAsia="宋体" w:cs="Times New Roman"/>
                <w:color w:val="auto"/>
                <w:kern w:val="144"/>
                <w:sz w:val="24"/>
                <w:szCs w:val="24"/>
                <w:lang w:val="en-US" w:eastAsia="zh-CN" w:bidi="ar-SA"/>
              </w:rPr>
              <w:t>。</w:t>
            </w:r>
          </w:p>
          <w:p>
            <w:pPr>
              <w:widowControl w:val="0"/>
              <w:adjustRightInd w:val="0"/>
              <w:spacing w:line="360" w:lineRule="auto"/>
              <w:ind w:firstLine="480" w:firstLineChars="200"/>
              <w:jc w:val="both"/>
              <w:rPr>
                <w:rFonts w:hint="eastAsia" w:ascii="Times New Roman" w:hAnsi="Times New Roman" w:eastAsia="宋体" w:cs="Times New Roman"/>
                <w:color w:val="auto"/>
                <w:kern w:val="144"/>
                <w:sz w:val="24"/>
                <w:szCs w:val="24"/>
                <w:lang w:val="en-US" w:eastAsia="zh-CN" w:bidi="ar-SA"/>
              </w:rPr>
            </w:pPr>
            <w:r>
              <w:rPr>
                <w:rFonts w:hint="eastAsia" w:ascii="Times New Roman" w:hAnsi="Times New Roman" w:eastAsia="宋体" w:cs="Times New Roman"/>
                <w:color w:val="auto"/>
                <w:kern w:val="144"/>
                <w:sz w:val="24"/>
                <w:szCs w:val="24"/>
                <w:lang w:val="en-US" w:eastAsia="zh-CN" w:bidi="ar-SA"/>
              </w:rPr>
              <w:t>拟建项目松树湾片区位于丙间水库下游约1690m处，距离丙间水库饮用水水源保护区约1540m</w:t>
            </w:r>
            <w:r>
              <w:rPr>
                <w:rFonts w:hint="eastAsia" w:cs="Times New Roman"/>
                <w:color w:val="auto"/>
                <w:kern w:val="144"/>
                <w:sz w:val="24"/>
                <w:szCs w:val="24"/>
                <w:lang w:val="en-US" w:eastAsia="zh-CN" w:bidi="ar-SA"/>
              </w:rPr>
              <w:t>，其余片区与</w:t>
            </w:r>
            <w:r>
              <w:rPr>
                <w:rFonts w:hint="eastAsia" w:ascii="Times New Roman" w:hAnsi="Times New Roman" w:eastAsia="宋体" w:cs="Times New Roman"/>
                <w:color w:val="auto"/>
                <w:kern w:val="144"/>
                <w:sz w:val="24"/>
                <w:szCs w:val="24"/>
                <w:lang w:val="en-US" w:eastAsia="zh-CN" w:bidi="ar-SA"/>
              </w:rPr>
              <w:t>丙间水库饮用水水源保护区距离均超过1540m。根据《云南省地表水水环境功能区划（2010-2020）》，丙间水库水体功能区划为饮用二级、农业用水，执行《地表水环境质量标准》（GB3838-2002）Ⅲ类标准。根据云南省生态环境厅驻楚雄州生态环境监测站办公室2021年7月21日公布的《楚雄环境监测信息 第三十三期》，2021年上半年楚雄州集中式饮用水水源地监测结果，丙间水库水质类别为Ⅲ类，水质状况良好。满足</w:t>
            </w:r>
            <w:r>
              <w:rPr>
                <w:rFonts w:ascii="Times New Roman" w:hAnsi="Times New Roman" w:eastAsia="宋体" w:cs="Times New Roman"/>
                <w:color w:val="auto"/>
                <w:kern w:val="144"/>
                <w:sz w:val="24"/>
                <w:szCs w:val="24"/>
                <w:lang w:val="en-US" w:eastAsia="zh-CN" w:bidi="ar-SA"/>
              </w:rPr>
              <w:t>《地表水环境质量标准》（GB3838-2002）Ⅲ类标准。</w:t>
            </w:r>
          </w:p>
          <w:p>
            <w:pPr>
              <w:widowControl w:val="0"/>
              <w:adjustRightInd w:val="0"/>
              <w:spacing w:line="360" w:lineRule="auto"/>
              <w:ind w:firstLine="480" w:firstLineChars="200"/>
              <w:jc w:val="both"/>
              <w:rPr>
                <w:rFonts w:hint="default" w:ascii="Times New Roman" w:hAnsi="Times New Roman" w:eastAsia="宋体" w:cs="Times New Roman"/>
                <w:color w:val="auto"/>
                <w:kern w:val="144"/>
                <w:sz w:val="24"/>
                <w:szCs w:val="24"/>
                <w:lang w:val="en-US" w:eastAsia="zh-CN" w:bidi="ar-SA"/>
              </w:rPr>
            </w:pPr>
            <w:r>
              <w:rPr>
                <w:rFonts w:hint="default" w:ascii="Times New Roman" w:hAnsi="Times New Roman" w:eastAsia="宋体" w:cs="Times New Roman"/>
                <w:color w:val="auto"/>
                <w:kern w:val="144"/>
                <w:sz w:val="24"/>
                <w:szCs w:val="24"/>
                <w:lang w:val="en-US" w:eastAsia="zh-CN" w:bidi="ar-SA"/>
              </w:rPr>
              <w:t>4）麻柳水库</w:t>
            </w:r>
          </w:p>
          <w:p>
            <w:pPr>
              <w:autoSpaceDE w:val="0"/>
              <w:autoSpaceDN w:val="0"/>
              <w:adjustRightIn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元谋县麻柳水库于1986年3月开工兴建，1990年12月竣工建成蓄水，水库位于长江流域金沙江水系、龙川江支流的麻柳河上，</w:t>
            </w:r>
            <w:r>
              <w:rPr>
                <w:rFonts w:hint="default" w:ascii="Times New Roman" w:hAnsi="Times New Roman" w:eastAsia="宋体" w:cs="Times New Roman"/>
                <w:color w:val="auto"/>
                <w:kern w:val="0"/>
                <w:sz w:val="24"/>
              </w:rPr>
              <w:t>水库距元谋县城21km，控制径流面积21.3km</w:t>
            </w:r>
            <w:r>
              <w:rPr>
                <w:rFonts w:hint="default" w:ascii="Times New Roman" w:hAnsi="Times New Roman" w:eastAsia="宋体" w:cs="Times New Roman"/>
                <w:color w:val="auto"/>
                <w:kern w:val="0"/>
                <w:sz w:val="24"/>
                <w:vertAlign w:val="superscript"/>
              </w:rPr>
              <w:t>2</w:t>
            </w:r>
            <w:r>
              <w:rPr>
                <w:rFonts w:hint="default" w:ascii="Times New Roman" w:hAnsi="Times New Roman" w:eastAsia="宋体" w:cs="Times New Roman"/>
                <w:color w:val="auto"/>
                <w:kern w:val="0"/>
                <w:sz w:val="24"/>
              </w:rPr>
              <w:t>，水库主要靠东山大沟引龙川江水蓄水，与丙间水库联合调度运行，是元谋灌区的骨干蓄水工程</w:t>
            </w:r>
            <w:r>
              <w:rPr>
                <w:rFonts w:hint="default" w:ascii="Times New Roman" w:hAnsi="Times New Roman" w:eastAsia="宋体" w:cs="Times New Roman"/>
                <w:color w:val="auto"/>
                <w:sz w:val="24"/>
              </w:rPr>
              <w:t>。麻柳水库为中型水库，工程等别为Ⅲ等，枢纽工程由大坝、泄洪输水隧洞、输水隧洞组成。目前大坝经加固后为混凝土防渗心墙土坝，最大坝高49.5m；泄洪输水隧洞位于顺流右岸山梁，距大坝100m左右，是集发电、灌溉、排洪三种功能的有压隧洞；沙沟输水隧洞位于大坝右岸水库管理所西侧120m的单薄脊梁，主要用于解决水库搬迁户和沙沟村灌溉、人畜饮水及提高水库运行安全保障。</w:t>
            </w:r>
          </w:p>
          <w:p>
            <w:pPr>
              <w:widowControl w:val="0"/>
              <w:adjustRightInd w:val="0"/>
              <w:spacing w:line="360" w:lineRule="auto"/>
              <w:ind w:firstLine="480" w:firstLineChars="200"/>
              <w:jc w:val="both"/>
              <w:rPr>
                <w:rFonts w:hint="default" w:ascii="Times New Roman" w:hAnsi="Times New Roman" w:eastAsia="宋体" w:cs="Times New Roman"/>
                <w:color w:val="auto"/>
                <w:kern w:val="144"/>
                <w:sz w:val="24"/>
                <w:szCs w:val="24"/>
                <w:lang w:val="en-US" w:eastAsia="zh-CN" w:bidi="ar-SA"/>
              </w:rPr>
            </w:pPr>
            <w:r>
              <w:rPr>
                <w:rFonts w:hint="default" w:ascii="Times New Roman" w:hAnsi="Times New Roman" w:eastAsia="宋体" w:cs="Times New Roman"/>
                <w:color w:val="auto"/>
                <w:kern w:val="144"/>
                <w:sz w:val="24"/>
                <w:szCs w:val="24"/>
                <w:lang w:val="en-US" w:eastAsia="zh-CN" w:bidi="ar-SA"/>
              </w:rPr>
              <w:t>麻柳水库</w:t>
            </w:r>
            <w:r>
              <w:rPr>
                <w:rFonts w:hint="default" w:ascii="Times New Roman" w:hAnsi="Times New Roman" w:eastAsia="宋体" w:cs="Times New Roman"/>
                <w:color w:val="auto"/>
                <w:kern w:val="0"/>
                <w:sz w:val="24"/>
                <w:szCs w:val="24"/>
                <w:lang w:val="en-US" w:eastAsia="zh-CN" w:bidi="ar-SA"/>
              </w:rPr>
              <w:t>正常蓄水位1309.2m，正常库容1778.9万m³，死水位1280.7m，死库容103.5万m³，总库容1982.0万m³，是一座以灌溉为主，兼顾发电、防洪的综合型水库。</w:t>
            </w:r>
            <w:r>
              <w:rPr>
                <w:rFonts w:hint="default" w:ascii="Times New Roman" w:hAnsi="Times New Roman" w:eastAsia="宋体" w:cs="Times New Roman"/>
                <w:color w:val="auto"/>
                <w:kern w:val="144"/>
                <w:sz w:val="24"/>
                <w:szCs w:val="24"/>
                <w:lang w:val="en-US" w:eastAsia="zh-CN" w:bidi="ar-SA"/>
              </w:rPr>
              <w:t>水库主要靠东山大沟引龙川江水蓄水，与丙间水库联合调度运用。灌溉面积2.3万亩。2012年10月，州人民政府以《楚雄州人民政府关于县城重点集中式饮用水水源保护区划分方案的批复》（楚政复［2012]53号）文件批复了丙间水库城镇集中供水式饮用水水源地保护区划分报告，保护区划分为一级保护区、二级保护区及准保护区其中一级保护区水域范围为水库正常水位以下的全部水域面积，陆域范围为正常水位线以上1000m范围内的区域，一级保护区总面积0.78km</w:t>
            </w:r>
            <w:r>
              <w:rPr>
                <w:rFonts w:hint="default" w:ascii="Times New Roman" w:hAnsi="Times New Roman" w:eastAsia="宋体" w:cs="Times New Roman"/>
                <w:color w:val="auto"/>
                <w:kern w:val="144"/>
                <w:sz w:val="24"/>
                <w:szCs w:val="24"/>
                <w:vertAlign w:val="superscript"/>
                <w:lang w:val="en-US" w:eastAsia="zh-CN" w:bidi="ar-SA"/>
              </w:rPr>
              <w:t>2</w:t>
            </w:r>
            <w:r>
              <w:rPr>
                <w:rFonts w:hint="default" w:ascii="Times New Roman" w:hAnsi="Times New Roman" w:eastAsia="宋体" w:cs="Times New Roman"/>
                <w:color w:val="auto"/>
                <w:kern w:val="144"/>
                <w:sz w:val="24"/>
                <w:szCs w:val="24"/>
                <w:lang w:val="en-US" w:eastAsia="zh-CN" w:bidi="ar-SA"/>
              </w:rPr>
              <w:t>；二级保护区水域范围为一级保护区东上游3000m的所有水域，陆域范围为一级保护区外延1000m以内的所有区域，二级保护区总面积11.92km</w:t>
            </w:r>
            <w:r>
              <w:rPr>
                <w:rFonts w:hint="default" w:ascii="Times New Roman" w:hAnsi="Times New Roman" w:eastAsia="宋体" w:cs="Times New Roman"/>
                <w:color w:val="auto"/>
                <w:kern w:val="144"/>
                <w:sz w:val="24"/>
                <w:szCs w:val="24"/>
                <w:vertAlign w:val="superscript"/>
                <w:lang w:val="en-US" w:eastAsia="zh-CN" w:bidi="ar-SA"/>
              </w:rPr>
              <w:t>2</w:t>
            </w:r>
            <w:r>
              <w:rPr>
                <w:rFonts w:hint="default" w:ascii="Times New Roman" w:hAnsi="Times New Roman" w:eastAsia="宋体" w:cs="Times New Roman"/>
                <w:color w:val="auto"/>
                <w:kern w:val="144"/>
                <w:sz w:val="24"/>
                <w:szCs w:val="24"/>
                <w:lang w:val="en-US" w:eastAsia="zh-CN" w:bidi="ar-SA"/>
              </w:rPr>
              <w:t>；准保护区范围为水库径流区内除一级保护区和二级保护区以外的流域内所有区域，总面积21.1km</w:t>
            </w:r>
            <w:r>
              <w:rPr>
                <w:rFonts w:hint="default" w:ascii="Times New Roman" w:hAnsi="Times New Roman" w:eastAsia="宋体" w:cs="Times New Roman"/>
                <w:color w:val="auto"/>
                <w:kern w:val="144"/>
                <w:sz w:val="24"/>
                <w:szCs w:val="24"/>
                <w:vertAlign w:val="superscript"/>
                <w:lang w:val="en-US" w:eastAsia="zh-CN" w:bidi="ar-SA"/>
              </w:rPr>
              <w:t>2</w:t>
            </w:r>
          </w:p>
          <w:p>
            <w:pPr>
              <w:widowControl w:val="0"/>
              <w:adjustRightInd w:val="0"/>
              <w:spacing w:line="360" w:lineRule="auto"/>
              <w:ind w:firstLine="480" w:firstLineChars="200"/>
              <w:jc w:val="both"/>
              <w:rPr>
                <w:rFonts w:hint="eastAsia" w:ascii="Times New Roman" w:hAnsi="Times New Roman" w:eastAsia="宋体" w:cs="Times New Roman"/>
                <w:color w:val="auto"/>
                <w:kern w:val="144"/>
                <w:sz w:val="24"/>
                <w:szCs w:val="24"/>
                <w:lang w:val="en-US" w:eastAsia="zh-CN" w:bidi="ar-SA"/>
              </w:rPr>
            </w:pPr>
            <w:r>
              <w:rPr>
                <w:rFonts w:hint="eastAsia" w:ascii="Times New Roman" w:hAnsi="Times New Roman" w:eastAsia="宋体" w:cs="Times New Roman"/>
                <w:color w:val="auto"/>
                <w:kern w:val="144"/>
                <w:sz w:val="24"/>
                <w:szCs w:val="24"/>
                <w:lang w:val="en-US" w:eastAsia="zh-CN" w:bidi="ar-SA"/>
              </w:rPr>
              <w:t>拟建项目松树湾片区位于麻柳水库下游约1840m处，距离麻柳水库饮用水水源保护区约1410m</w:t>
            </w:r>
            <w:r>
              <w:rPr>
                <w:rFonts w:hint="eastAsia" w:cs="Times New Roman"/>
                <w:color w:val="auto"/>
                <w:kern w:val="144"/>
                <w:sz w:val="24"/>
                <w:szCs w:val="24"/>
                <w:lang w:val="en-US" w:eastAsia="zh-CN" w:bidi="ar-SA"/>
              </w:rPr>
              <w:t>，其余片区与</w:t>
            </w:r>
            <w:r>
              <w:rPr>
                <w:rFonts w:hint="eastAsia" w:ascii="Times New Roman" w:hAnsi="Times New Roman" w:eastAsia="宋体" w:cs="Times New Roman"/>
                <w:color w:val="auto"/>
                <w:kern w:val="144"/>
                <w:sz w:val="24"/>
                <w:szCs w:val="24"/>
                <w:lang w:val="en-US" w:eastAsia="zh-CN" w:bidi="ar-SA"/>
              </w:rPr>
              <w:t>麻柳水库饮用水水源保护区距离均超过1410m</w:t>
            </w:r>
            <w:r>
              <w:rPr>
                <w:rFonts w:hint="eastAsia" w:cs="Times New Roman"/>
                <w:color w:val="auto"/>
                <w:kern w:val="144"/>
                <w:sz w:val="24"/>
                <w:szCs w:val="24"/>
                <w:lang w:val="en-US" w:eastAsia="zh-CN" w:bidi="ar-SA"/>
              </w:rPr>
              <w:t>。</w:t>
            </w:r>
            <w:r>
              <w:rPr>
                <w:rFonts w:hint="eastAsia" w:ascii="Times New Roman" w:hAnsi="Times New Roman" w:eastAsia="宋体" w:cs="Times New Roman"/>
                <w:color w:val="auto"/>
                <w:kern w:val="144"/>
                <w:sz w:val="24"/>
                <w:szCs w:val="24"/>
                <w:lang w:val="en-US" w:eastAsia="zh-CN" w:bidi="ar-SA"/>
              </w:rPr>
              <w:t>根据《云南省地表水水环境功能区划（2010-2020）》，麻柳水库水体功能区划为饮用二级、农业用水，执行《地表水环境质量标准》（GB3838-2002）Ⅲ类标准。根据云南省生态环境厅驻楚雄州生态环境监测站办公室2021年7月21日公布的《楚雄环境监测信息 第三十三期》，2021年上半年楚雄州集中式饮用水水源地监测结果，麻柳水库水质类别为Ⅲ类，水质状况良好。满足</w:t>
            </w:r>
            <w:r>
              <w:rPr>
                <w:rFonts w:ascii="Times New Roman" w:hAnsi="Times New Roman" w:eastAsia="宋体" w:cs="Times New Roman"/>
                <w:color w:val="auto"/>
                <w:kern w:val="144"/>
                <w:sz w:val="24"/>
                <w:szCs w:val="24"/>
                <w:lang w:val="en-US" w:eastAsia="zh-CN" w:bidi="ar-SA"/>
              </w:rPr>
              <w:t>《地表水环境质量标准》（GB3838-2002）Ⅲ类标准。</w:t>
            </w:r>
          </w:p>
          <w:p>
            <w:pPr>
              <w:widowControl w:val="0"/>
              <w:adjustRightInd w:val="0"/>
              <w:spacing w:line="360" w:lineRule="auto"/>
              <w:ind w:firstLine="480" w:firstLineChars="200"/>
              <w:jc w:val="both"/>
              <w:rPr>
                <w:rFonts w:ascii="Times New Roman" w:hAnsi="Times New Roman" w:eastAsia="宋体" w:cs="Times New Roman"/>
                <w:color w:val="auto"/>
                <w:kern w:val="144"/>
                <w:sz w:val="24"/>
                <w:szCs w:val="24"/>
                <w:lang w:val="en-US" w:eastAsia="zh-CN" w:bidi="ar-SA"/>
              </w:rPr>
            </w:pPr>
            <w:r>
              <w:rPr>
                <w:rFonts w:hint="eastAsia" w:cs="Times New Roman"/>
                <w:color w:val="auto"/>
                <w:kern w:val="144"/>
                <w:sz w:val="24"/>
                <w:szCs w:val="24"/>
                <w:lang w:val="en-US" w:eastAsia="zh-CN" w:bidi="ar-SA"/>
              </w:rPr>
              <w:t>5</w:t>
            </w:r>
            <w:r>
              <w:rPr>
                <w:rFonts w:hint="eastAsia" w:ascii="Times New Roman" w:hAnsi="Times New Roman" w:eastAsia="宋体" w:cs="Times New Roman"/>
                <w:color w:val="auto"/>
                <w:kern w:val="144"/>
                <w:sz w:val="24"/>
                <w:szCs w:val="24"/>
                <w:lang w:val="en-US" w:eastAsia="zh-CN" w:bidi="ar-SA"/>
              </w:rPr>
              <w:t>）丙巷河水库</w:t>
            </w:r>
          </w:p>
          <w:p>
            <w:pPr>
              <w:widowControl w:val="0"/>
              <w:adjustRightInd w:val="0"/>
              <w:spacing w:line="360" w:lineRule="auto"/>
              <w:ind w:firstLine="480" w:firstLineChars="200"/>
              <w:jc w:val="both"/>
              <w:rPr>
                <w:rFonts w:hint="eastAsia" w:ascii="宋体" w:hAnsi="宋体" w:eastAsia="宋体" w:cs="宋体"/>
                <w:color w:val="auto"/>
                <w:kern w:val="0"/>
                <w:sz w:val="24"/>
                <w:szCs w:val="24"/>
                <w:lang w:val="en-US" w:eastAsia="zh-CN" w:bidi="ar-SA"/>
              </w:rPr>
            </w:pPr>
            <w:r>
              <w:rPr>
                <w:rFonts w:hint="eastAsia" w:ascii="Times New Roman" w:hAnsi="Times New Roman" w:eastAsia="宋体" w:cs="Times New Roman"/>
                <w:color w:val="auto"/>
                <w:kern w:val="144"/>
                <w:sz w:val="24"/>
                <w:szCs w:val="24"/>
                <w:lang w:val="en-US" w:eastAsia="zh-CN" w:bidi="ar-SA"/>
              </w:rPr>
              <w:t>丙巷河水库位于元谋县城东南，龙川江一级支流丙巷河下游主干流上，距县城30公里，坝址以上径流面积152平方公里，主要灌溉元马镇、老城乡、新华乡、姜驿乡、黄瓜园镇、江边乡等六个乡镇，灌溉面积1.64万亩。</w:t>
            </w:r>
            <w:r>
              <w:rPr>
                <w:rFonts w:ascii="Times New Roman" w:hAnsi="Times New Roman" w:eastAsia="宋体" w:cs="Times New Roman"/>
                <w:color w:val="auto"/>
                <w:kern w:val="144"/>
                <w:sz w:val="24"/>
                <w:szCs w:val="24"/>
                <w:lang w:val="en-US" w:eastAsia="zh-CN" w:bidi="ar-SA"/>
              </w:rPr>
              <w:t>大坝</w:t>
            </w:r>
            <w:r>
              <w:rPr>
                <w:rFonts w:hint="eastAsia" w:ascii="Times New Roman" w:hAnsi="Times New Roman" w:eastAsia="宋体" w:cs="Times New Roman"/>
                <w:color w:val="auto"/>
                <w:kern w:val="144"/>
                <w:sz w:val="24"/>
                <w:szCs w:val="24"/>
                <w:lang w:val="en-US" w:eastAsia="zh-CN" w:bidi="ar-SA"/>
              </w:rPr>
              <w:t>为</w:t>
            </w:r>
            <w:r>
              <w:rPr>
                <w:rFonts w:ascii="Times New Roman" w:hAnsi="Times New Roman" w:eastAsia="宋体" w:cs="Times New Roman"/>
                <w:color w:val="auto"/>
                <w:kern w:val="144"/>
                <w:sz w:val="24"/>
                <w:szCs w:val="24"/>
                <w:lang w:val="en-US" w:eastAsia="zh-CN" w:bidi="ar-SA"/>
              </w:rPr>
              <w:t>粘土心墙风化料</w:t>
            </w:r>
            <w:r>
              <w:rPr>
                <w:rFonts w:hint="eastAsia" w:ascii="Times New Roman" w:hAnsi="Times New Roman" w:eastAsia="宋体" w:cs="Times New Roman"/>
                <w:color w:val="auto"/>
                <w:kern w:val="144"/>
                <w:sz w:val="24"/>
                <w:szCs w:val="24"/>
                <w:lang w:val="en-US" w:eastAsia="zh-CN" w:bidi="ar-SA"/>
              </w:rPr>
              <w:t>壳坝，坝高84.7</w:t>
            </w:r>
            <w:r>
              <w:rPr>
                <w:rFonts w:ascii="Times New Roman" w:hAnsi="Times New Roman" w:eastAsia="宋体" w:cs="Times New Roman"/>
                <w:color w:val="auto"/>
                <w:kern w:val="144"/>
                <w:sz w:val="24"/>
                <w:szCs w:val="24"/>
                <w:lang w:val="en-US" w:eastAsia="zh-CN" w:bidi="ar-SA"/>
              </w:rPr>
              <w:t>米</w:t>
            </w:r>
            <w:r>
              <w:rPr>
                <w:rFonts w:hint="eastAsia" w:ascii="Times New Roman" w:hAnsi="Times New Roman" w:eastAsia="宋体" w:cs="Times New Roman"/>
                <w:color w:val="auto"/>
                <w:kern w:val="144"/>
                <w:sz w:val="24"/>
                <w:szCs w:val="24"/>
                <w:lang w:val="en-US" w:eastAsia="zh-CN" w:bidi="ar-SA"/>
              </w:rPr>
              <w:t>，</w:t>
            </w:r>
            <w:r>
              <w:rPr>
                <w:rFonts w:ascii="Times New Roman" w:hAnsi="Times New Roman" w:eastAsia="宋体" w:cs="Times New Roman"/>
                <w:color w:val="auto"/>
                <w:kern w:val="144"/>
                <w:sz w:val="24"/>
                <w:szCs w:val="24"/>
                <w:lang w:val="en-US" w:eastAsia="zh-CN" w:bidi="ar-SA"/>
              </w:rPr>
              <w:t>坝顶长16</w:t>
            </w:r>
            <w:r>
              <w:rPr>
                <w:rFonts w:hint="eastAsia" w:ascii="Times New Roman" w:hAnsi="Times New Roman" w:eastAsia="宋体" w:cs="Times New Roman"/>
                <w:color w:val="auto"/>
                <w:kern w:val="144"/>
                <w:sz w:val="24"/>
                <w:szCs w:val="24"/>
                <w:lang w:val="en-US" w:eastAsia="zh-CN" w:bidi="ar-SA"/>
              </w:rPr>
              <w:t>0.3</w:t>
            </w:r>
            <w:r>
              <w:rPr>
                <w:rFonts w:ascii="Times New Roman" w:hAnsi="Times New Roman" w:eastAsia="宋体" w:cs="Times New Roman"/>
                <w:color w:val="auto"/>
                <w:kern w:val="144"/>
                <w:sz w:val="24"/>
                <w:szCs w:val="24"/>
                <w:lang w:val="en-US" w:eastAsia="zh-CN" w:bidi="ar-SA"/>
              </w:rPr>
              <w:t>米，坝顶宽</w:t>
            </w:r>
            <w:r>
              <w:rPr>
                <w:rFonts w:hint="eastAsia" w:ascii="Times New Roman" w:hAnsi="Times New Roman" w:eastAsia="宋体" w:cs="Times New Roman"/>
                <w:color w:val="auto"/>
                <w:kern w:val="144"/>
                <w:sz w:val="24"/>
                <w:szCs w:val="24"/>
                <w:lang w:val="en-US" w:eastAsia="zh-CN" w:bidi="ar-SA"/>
              </w:rPr>
              <w:t>8</w:t>
            </w:r>
            <w:r>
              <w:rPr>
                <w:rFonts w:ascii="Times New Roman" w:hAnsi="Times New Roman" w:eastAsia="宋体" w:cs="Times New Roman"/>
                <w:color w:val="auto"/>
                <w:kern w:val="144"/>
                <w:sz w:val="24"/>
                <w:szCs w:val="24"/>
                <w:lang w:val="en-US" w:eastAsia="zh-CN" w:bidi="ar-SA"/>
              </w:rPr>
              <w:t>米。</w:t>
            </w:r>
            <w:r>
              <w:rPr>
                <w:rFonts w:hint="eastAsia" w:ascii="Times New Roman" w:hAnsi="Times New Roman" w:eastAsia="宋体" w:cs="Times New Roman"/>
                <w:color w:val="auto"/>
                <w:kern w:val="144"/>
                <w:sz w:val="24"/>
                <w:szCs w:val="24"/>
                <w:lang w:val="en-US" w:eastAsia="zh-CN" w:bidi="ar-SA"/>
              </w:rPr>
              <w:t>总库容1041万万</w:t>
            </w:r>
            <w:r>
              <w:rPr>
                <w:rFonts w:ascii="Times New Roman" w:hAnsi="Times New Roman" w:eastAsia="宋体" w:cs="Times New Roman"/>
                <w:color w:val="auto"/>
                <w:kern w:val="144"/>
                <w:sz w:val="24"/>
                <w:szCs w:val="24"/>
                <w:lang w:val="en-US" w:eastAsia="zh-CN" w:bidi="ar-SA"/>
              </w:rPr>
              <w:t>立方米</w:t>
            </w:r>
            <w:r>
              <w:rPr>
                <w:rFonts w:hint="eastAsia" w:ascii="Times New Roman" w:hAnsi="Times New Roman" w:eastAsia="宋体" w:cs="Times New Roman"/>
                <w:color w:val="auto"/>
                <w:kern w:val="144"/>
                <w:sz w:val="24"/>
                <w:szCs w:val="24"/>
                <w:lang w:val="en-US" w:eastAsia="zh-CN" w:bidi="ar-SA"/>
              </w:rPr>
              <w:t>，</w:t>
            </w:r>
            <w:r>
              <w:rPr>
                <w:rFonts w:hint="eastAsia" w:ascii="宋体" w:hAnsi="宋体" w:eastAsia="宋体" w:cs="宋体"/>
                <w:color w:val="auto"/>
                <w:kern w:val="0"/>
                <w:sz w:val="24"/>
                <w:szCs w:val="24"/>
                <w:lang w:val="en-US" w:eastAsia="zh-CN" w:bidi="ar-SA"/>
              </w:rPr>
              <w:t>是一座以灌溉为主，兼顾防洪的综合型中型水库。</w:t>
            </w:r>
            <w:r>
              <w:rPr>
                <w:rFonts w:hint="eastAsia" w:ascii="Times New Roman" w:hAnsi="Times New Roman" w:eastAsia="宋体" w:cs="Times New Roman"/>
                <w:color w:val="auto"/>
                <w:kern w:val="144"/>
                <w:sz w:val="24"/>
                <w:szCs w:val="24"/>
                <w:lang w:val="en-US" w:eastAsia="zh-CN" w:bidi="ar-SA"/>
              </w:rPr>
              <w:t>根据《云南省地表水水环境功能区划（2010-2020）》，龙川江毛板桥-黄瓜园断面水体功能区划为农业用水、工业用水，执行《地表水环境质量标准》（GB3838-2002）IV类标准。</w:t>
            </w:r>
          </w:p>
          <w:p>
            <w:pPr>
              <w:widowControl w:val="0"/>
              <w:adjustRightInd w:val="0"/>
              <w:spacing w:line="360" w:lineRule="auto"/>
              <w:ind w:firstLine="480" w:firstLineChars="200"/>
              <w:jc w:val="both"/>
              <w:rPr>
                <w:rFonts w:hint="eastAsia" w:ascii="Times New Roman" w:hAnsi="Times New Roman" w:eastAsia="宋体" w:cs="Times New Roman"/>
                <w:color w:val="auto"/>
                <w:kern w:val="144"/>
                <w:sz w:val="24"/>
                <w:szCs w:val="24"/>
                <w:lang w:val="en-US" w:eastAsia="zh-CN" w:bidi="ar-SA"/>
              </w:rPr>
            </w:pPr>
            <w:r>
              <w:rPr>
                <w:rFonts w:hint="eastAsia" w:ascii="Times New Roman" w:hAnsi="Times New Roman" w:eastAsia="宋体" w:cs="Times New Roman"/>
                <w:color w:val="auto"/>
                <w:kern w:val="144"/>
                <w:sz w:val="24"/>
                <w:szCs w:val="24"/>
                <w:lang w:val="en-US" w:eastAsia="zh-CN" w:bidi="ar-SA"/>
              </w:rPr>
              <w:t>拟建项目</w:t>
            </w:r>
            <w:r>
              <w:rPr>
                <w:rFonts w:hint="eastAsia" w:cs="Times New Roman"/>
                <w:color w:val="auto"/>
                <w:kern w:val="144"/>
                <w:sz w:val="24"/>
                <w:szCs w:val="24"/>
                <w:lang w:val="en-US" w:eastAsia="zh-CN" w:bidi="ar-SA"/>
              </w:rPr>
              <w:t>松树湾</w:t>
            </w:r>
            <w:r>
              <w:rPr>
                <w:rFonts w:hint="eastAsia" w:ascii="Times New Roman" w:hAnsi="Times New Roman" w:eastAsia="宋体" w:cs="Times New Roman"/>
                <w:color w:val="auto"/>
                <w:kern w:val="144"/>
                <w:sz w:val="24"/>
                <w:szCs w:val="24"/>
                <w:lang w:val="en-US" w:eastAsia="zh-CN" w:bidi="ar-SA"/>
              </w:rPr>
              <w:t>片区位于丙巷河水库下游北侧，距离该水库最近约</w:t>
            </w:r>
            <w:r>
              <w:rPr>
                <w:rFonts w:hint="eastAsia" w:cs="Times New Roman"/>
                <w:color w:val="auto"/>
                <w:kern w:val="144"/>
                <w:sz w:val="24"/>
                <w:szCs w:val="24"/>
                <w:lang w:val="en-US" w:eastAsia="zh-CN" w:bidi="ar-SA"/>
              </w:rPr>
              <w:t>4254</w:t>
            </w:r>
            <w:r>
              <w:rPr>
                <w:rFonts w:hint="eastAsia" w:ascii="Times New Roman" w:hAnsi="Times New Roman" w:eastAsia="宋体" w:cs="Times New Roman"/>
                <w:color w:val="auto"/>
                <w:kern w:val="144"/>
                <w:sz w:val="24"/>
                <w:szCs w:val="24"/>
                <w:lang w:val="en-US" w:eastAsia="zh-CN" w:bidi="ar-SA"/>
              </w:rPr>
              <w:t>m，不在其汇水范围内。</w:t>
            </w:r>
          </w:p>
          <w:p>
            <w:pPr>
              <w:pStyle w:val="10"/>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kern w:val="144"/>
                <w:sz w:val="24"/>
                <w:szCs w:val="24"/>
                <w:lang w:val="en-US" w:eastAsia="zh-CN" w:bidi="ar-SA"/>
              </w:rPr>
              <w:t>根据元谋县水务局2023年11月15日《关于楚雄州元谋县华能元谋马头地光伏电站项目选址意见的复函》（见附件7），拟建项目马头地光伏电站不位于重要江河、湖泊水功能一级区，不会对饮用水水源区水质产生影响；项目建设区不属于“禁止开发区域”和水资源严重短缺地区，不位于崩塌滑坡危险区、泥石流易发区；项目区未涉及饮用水水源保护区、水功能一级区的保护区和保留区、自然保护区、世界文化和自然遗产地、风景名胜区、地质公园、森林公园和重要湿地。原则同意项目按照所示图纸建设。</w:t>
            </w:r>
          </w:p>
          <w:p>
            <w:pPr>
              <w:keepNext w:val="0"/>
              <w:keepLines w:val="0"/>
              <w:pageBreakBefore w:val="0"/>
              <w:widowControl w:val="0"/>
              <w:kinsoku/>
              <w:wordWrap/>
              <w:overflowPunct/>
              <w:topLinePunct w:val="0"/>
              <w:autoSpaceDE/>
              <w:autoSpaceDN/>
              <w:bidi w:val="0"/>
              <w:spacing w:line="360" w:lineRule="auto"/>
              <w:ind w:right="0" w:rightChars="0"/>
              <w:jc w:val="both"/>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3.7声环境质量现状</w:t>
            </w:r>
          </w:p>
          <w:p>
            <w:pPr>
              <w:pStyle w:val="10"/>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color w:val="auto"/>
                <w:sz w:val="24"/>
              </w:rPr>
              <w:t>本工程评价区域处于农村地区，</w:t>
            </w:r>
            <w:r>
              <w:rPr>
                <w:rFonts w:ascii="宋体" w:hAnsi="宋体" w:cs="宋体"/>
                <w:bCs/>
                <w:color w:val="auto"/>
                <w:kern w:val="0"/>
                <w:sz w:val="24"/>
              </w:rPr>
              <w:t>拟建马头地光伏电站</w:t>
            </w:r>
            <w:r>
              <w:rPr>
                <w:rFonts w:hint="eastAsia" w:ascii="宋体" w:hAnsi="宋体" w:cs="宋体"/>
                <w:bCs/>
                <w:color w:val="auto"/>
                <w:kern w:val="0"/>
                <w:sz w:val="24"/>
              </w:rPr>
              <w:t>升压站属于2类功能区</w:t>
            </w:r>
            <w:r>
              <w:rPr>
                <w:color w:val="auto"/>
                <w:sz w:val="24"/>
              </w:rPr>
              <w:t>。根据现场踏勘，项目区周围无其他较大的噪声污染源存在，噪声背景值低，本次在评价区域居民点</w:t>
            </w:r>
            <w:r>
              <w:rPr>
                <w:rFonts w:hint="eastAsia"/>
                <w:color w:val="auto"/>
                <w:sz w:val="24"/>
              </w:rPr>
              <w:t>及升压站站址处</w:t>
            </w:r>
            <w:r>
              <w:rPr>
                <w:color w:val="auto"/>
                <w:sz w:val="24"/>
              </w:rPr>
              <w:t>进行了背景噪声监测。</w:t>
            </w:r>
          </w:p>
          <w:p>
            <w:pPr>
              <w:spacing w:before="79" w:line="358" w:lineRule="auto"/>
              <w:ind w:left="8" w:firstLine="481"/>
              <w:rPr>
                <w:rFonts w:ascii="Times New Roman" w:hAnsi="Times New Roman" w:eastAsia="宋体" w:cs="Times New Roman"/>
                <w:color w:val="auto"/>
                <w:sz w:val="24"/>
              </w:rPr>
            </w:pPr>
            <w:r>
              <w:rPr>
                <w:rFonts w:ascii="Times New Roman" w:hAnsi="Times New Roman" w:eastAsia="宋体" w:cs="Times New Roman"/>
                <w:color w:val="auto"/>
                <w:sz w:val="24"/>
              </w:rPr>
              <w:t>（1）监测点位：共布设</w:t>
            </w:r>
            <w:r>
              <w:rPr>
                <w:rFonts w:hint="eastAsia" w:cs="Times New Roman"/>
                <w:color w:val="auto"/>
                <w:sz w:val="24"/>
                <w:lang w:val="en-US" w:eastAsia="zh-CN"/>
              </w:rPr>
              <w:t>6</w:t>
            </w:r>
            <w:r>
              <w:rPr>
                <w:rFonts w:ascii="Times New Roman" w:hAnsi="Times New Roman" w:eastAsia="宋体" w:cs="Times New Roman"/>
                <w:color w:val="auto"/>
                <w:sz w:val="24"/>
              </w:rPr>
              <w:t>个点位。</w:t>
            </w:r>
          </w:p>
          <w:p>
            <w:pPr>
              <w:spacing w:before="79" w:line="358" w:lineRule="auto"/>
              <w:ind w:left="8" w:firstLine="481"/>
              <w:rPr>
                <w:rFonts w:ascii="Times New Roman" w:hAnsi="Times New Roman" w:eastAsia="宋体" w:cs="Times New Roman"/>
                <w:color w:val="auto"/>
                <w:sz w:val="24"/>
              </w:rPr>
            </w:pPr>
            <w:r>
              <w:rPr>
                <w:rFonts w:ascii="Times New Roman" w:hAnsi="Times New Roman" w:eastAsia="宋体" w:cs="Times New Roman"/>
                <w:color w:val="auto"/>
                <w:sz w:val="24"/>
              </w:rPr>
              <w:t>（2）监测项目：等效连续A声级Leq。</w:t>
            </w:r>
          </w:p>
          <w:p>
            <w:pPr>
              <w:spacing w:before="79" w:line="358" w:lineRule="auto"/>
              <w:ind w:left="8" w:firstLine="481"/>
              <w:rPr>
                <w:rFonts w:ascii="Times New Roman" w:hAnsi="Times New Roman" w:eastAsia="宋体" w:cs="Times New Roman"/>
                <w:color w:val="auto"/>
                <w:sz w:val="24"/>
              </w:rPr>
            </w:pPr>
            <w:r>
              <w:rPr>
                <w:rFonts w:ascii="Times New Roman" w:hAnsi="Times New Roman" w:eastAsia="宋体" w:cs="Times New Roman"/>
                <w:color w:val="auto"/>
                <w:sz w:val="24"/>
              </w:rPr>
              <w:t>（3）监测频率：连续检测2天，每天昼间一次，夜间一次。</w:t>
            </w:r>
          </w:p>
          <w:p>
            <w:pPr>
              <w:spacing w:before="79" w:line="358" w:lineRule="auto"/>
              <w:ind w:left="8" w:firstLine="481"/>
              <w:rPr>
                <w:rFonts w:ascii="Times New Roman" w:hAnsi="Times New Roman" w:eastAsia="宋体" w:cs="Times New Roman"/>
                <w:color w:val="auto"/>
                <w:sz w:val="24"/>
              </w:rPr>
            </w:pPr>
            <w:r>
              <w:rPr>
                <w:rFonts w:ascii="Times New Roman" w:hAnsi="Times New Roman" w:eastAsia="宋体" w:cs="Times New Roman"/>
                <w:color w:val="auto"/>
                <w:sz w:val="24"/>
              </w:rPr>
              <w:t>（4）监测方法：按照《声环境质量标准》（GB 3096-2008）的要求进行。</w:t>
            </w:r>
          </w:p>
          <w:p>
            <w:pPr>
              <w:spacing w:before="79" w:line="358" w:lineRule="auto"/>
              <w:ind w:left="8" w:firstLine="481"/>
              <w:rPr>
                <w:rFonts w:hint="eastAsia" w:ascii="Times New Roman" w:hAnsi="Times New Roman" w:eastAsia="宋体" w:cs="Times New Roman"/>
                <w:color w:val="auto"/>
                <w:sz w:val="24"/>
                <w:lang w:eastAsia="zh-CN"/>
              </w:rPr>
            </w:pPr>
            <w:r>
              <w:rPr>
                <w:rFonts w:ascii="Times New Roman" w:hAnsi="Times New Roman" w:eastAsia="宋体" w:cs="Times New Roman"/>
                <w:color w:val="auto"/>
                <w:sz w:val="24"/>
              </w:rPr>
              <w:t>（5）监测结果</w:t>
            </w:r>
            <w:r>
              <w:rPr>
                <w:rFonts w:hint="eastAsia" w:cs="Times New Roman"/>
                <w:color w:val="auto"/>
                <w:sz w:val="24"/>
                <w:lang w:eastAsia="zh-CN"/>
              </w:rPr>
              <w:t>：</w:t>
            </w:r>
          </w:p>
          <w:p>
            <w:pPr>
              <w:spacing w:before="79" w:line="358" w:lineRule="auto"/>
              <w:ind w:left="8" w:firstLine="481"/>
              <w:rPr>
                <w:rFonts w:ascii="Times New Roman" w:hAnsi="Times New Roman" w:eastAsia="宋体" w:cs="Times New Roman"/>
                <w:color w:val="auto"/>
                <w:sz w:val="24"/>
              </w:rPr>
            </w:pPr>
            <w:r>
              <w:rPr>
                <w:rFonts w:ascii="Times New Roman" w:hAnsi="Times New Roman" w:eastAsia="宋体" w:cs="Times New Roman"/>
                <w:color w:val="auto"/>
                <w:sz w:val="24"/>
              </w:rPr>
              <w:t>项目所在区域声环境质量现状监测结果见表</w:t>
            </w:r>
            <w:r>
              <w:rPr>
                <w:rFonts w:hint="eastAsia" w:ascii="Times New Roman" w:hAnsi="Times New Roman" w:eastAsia="宋体" w:cs="Times New Roman"/>
                <w:color w:val="auto"/>
                <w:kern w:val="0"/>
                <w:szCs w:val="21"/>
              </w:rPr>
              <w:t>3.3-7</w:t>
            </w:r>
            <w:r>
              <w:rPr>
                <w:rFonts w:hint="eastAsia" w:ascii="Times New Roman" w:hAnsi="Times New Roman" w:eastAsia="宋体" w:cs="Times New Roman"/>
                <w:color w:val="auto"/>
                <w:sz w:val="24"/>
              </w:rPr>
              <w:t>。</w:t>
            </w:r>
          </w:p>
          <w:p>
            <w:pPr>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表</w:t>
            </w:r>
            <w:r>
              <w:rPr>
                <w:rFonts w:hint="eastAsia" w:ascii="Times New Roman" w:hAnsi="Times New Roman" w:eastAsia="宋体" w:cs="Times New Roman"/>
                <w:b/>
                <w:bCs/>
                <w:color w:val="auto"/>
                <w:kern w:val="0"/>
                <w:sz w:val="21"/>
                <w:szCs w:val="21"/>
                <w:lang w:val="en-US" w:eastAsia="zh-CN" w:bidi="ar-SA"/>
              </w:rPr>
              <w:t>3.7-1  项目评价区域</w:t>
            </w:r>
            <w:r>
              <w:rPr>
                <w:rFonts w:hint="default" w:ascii="Times New Roman" w:hAnsi="Times New Roman" w:eastAsia="宋体" w:cs="Times New Roman"/>
                <w:b/>
                <w:bCs/>
                <w:color w:val="auto"/>
                <w:kern w:val="0"/>
                <w:sz w:val="21"/>
                <w:szCs w:val="21"/>
                <w:lang w:val="en-US" w:eastAsia="zh-CN" w:bidi="ar-SA"/>
              </w:rPr>
              <w:t>噪声环境质量监测值单位：dB(A)</w:t>
            </w:r>
          </w:p>
          <w:tbl>
            <w:tblPr>
              <w:tblStyle w:val="18"/>
              <w:tblW w:w="4998" w:type="pct"/>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58"/>
              <w:gridCol w:w="2319"/>
              <w:gridCol w:w="851"/>
              <w:gridCol w:w="818"/>
              <w:gridCol w:w="1371"/>
              <w:gridCol w:w="1040"/>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200" w:type="pct"/>
                  <w:tcBorders>
                    <w:tl2br w:val="nil"/>
                    <w:tr2bl w:val="nil"/>
                  </w:tcBorders>
                  <w:noWrap w:val="0"/>
                  <w:vAlign w:val="center"/>
                </w:tcPr>
                <w:p>
                  <w:pPr>
                    <w:pStyle w:val="27"/>
                    <w:spacing w:beforeLines="0" w:afterLines="0" w:line="240" w:lineRule="auto"/>
                    <w:textAlignment w:val="center"/>
                    <w:rPr>
                      <w:rFonts w:hint="eastAsia" w:hAnsi="宋体" w:cs="宋体"/>
                      <w:b/>
                      <w:bCs w:val="0"/>
                      <w:color w:val="auto"/>
                      <w:sz w:val="21"/>
                    </w:rPr>
                  </w:pPr>
                  <w:r>
                    <w:rPr>
                      <w:rFonts w:hint="eastAsia" w:hAnsi="宋体" w:cs="宋体"/>
                      <w:b/>
                      <w:bCs w:val="0"/>
                      <w:color w:val="auto"/>
                      <w:sz w:val="21"/>
                    </w:rPr>
                    <w:t>监测点位</w:t>
                  </w:r>
                </w:p>
              </w:tc>
              <w:tc>
                <w:tcPr>
                  <w:tcW w:w="1416" w:type="pct"/>
                  <w:tcBorders>
                    <w:tl2br w:val="nil"/>
                    <w:tr2bl w:val="nil"/>
                  </w:tcBorders>
                  <w:noWrap w:val="0"/>
                  <w:vAlign w:val="center"/>
                </w:tcPr>
                <w:p>
                  <w:pPr>
                    <w:pStyle w:val="27"/>
                    <w:spacing w:beforeLines="0" w:afterLines="0" w:line="240" w:lineRule="auto"/>
                    <w:textAlignment w:val="center"/>
                    <w:rPr>
                      <w:rFonts w:ascii="Times New Roman"/>
                      <w:b/>
                      <w:bCs w:val="0"/>
                      <w:color w:val="auto"/>
                      <w:sz w:val="21"/>
                    </w:rPr>
                  </w:pPr>
                  <w:r>
                    <w:rPr>
                      <w:rFonts w:ascii="Times New Roman"/>
                      <w:b/>
                      <w:bCs w:val="0"/>
                      <w:color w:val="auto"/>
                      <w:sz w:val="21"/>
                    </w:rPr>
                    <w:t>检</w:t>
                  </w:r>
                  <w:r>
                    <w:rPr>
                      <w:rFonts w:ascii="Times New Roman"/>
                      <w:b/>
                      <w:bCs w:val="0"/>
                      <w:color w:val="auto"/>
                      <w:sz w:val="21"/>
                    </w:rPr>
                    <w:cr/>
                  </w:r>
                  <w:r>
                    <w:rPr>
                      <w:rFonts w:ascii="Times New Roman"/>
                      <w:b/>
                      <w:bCs w:val="0"/>
                      <w:color w:val="auto"/>
                      <w:sz w:val="21"/>
                    </w:rPr>
                    <w:t>时间</w:t>
                  </w:r>
                </w:p>
              </w:tc>
              <w:tc>
                <w:tcPr>
                  <w:tcW w:w="538" w:type="pct"/>
                  <w:tcBorders>
                    <w:tl2br w:val="nil"/>
                    <w:tr2bl w:val="nil"/>
                  </w:tcBorders>
                  <w:noWrap w:val="0"/>
                  <w:vAlign w:val="center"/>
                </w:tcPr>
                <w:p>
                  <w:pPr>
                    <w:pStyle w:val="27"/>
                    <w:spacing w:beforeLines="0" w:afterLines="0" w:line="240" w:lineRule="auto"/>
                    <w:textAlignment w:val="center"/>
                    <w:rPr>
                      <w:rFonts w:ascii="Times New Roman"/>
                      <w:b/>
                      <w:bCs w:val="0"/>
                      <w:color w:val="auto"/>
                      <w:sz w:val="21"/>
                    </w:rPr>
                  </w:pPr>
                  <w:r>
                    <w:rPr>
                      <w:rFonts w:ascii="Times New Roman"/>
                      <w:b/>
                      <w:bCs w:val="0"/>
                      <w:color w:val="auto"/>
                      <w:sz w:val="21"/>
                    </w:rPr>
                    <w:t>昼间</w:t>
                  </w:r>
                </w:p>
              </w:tc>
              <w:tc>
                <w:tcPr>
                  <w:tcW w:w="518" w:type="pct"/>
                  <w:tcBorders>
                    <w:tl2br w:val="nil"/>
                    <w:tr2bl w:val="nil"/>
                  </w:tcBorders>
                  <w:noWrap w:val="0"/>
                  <w:vAlign w:val="center"/>
                </w:tcPr>
                <w:p>
                  <w:pPr>
                    <w:pStyle w:val="27"/>
                    <w:spacing w:beforeLines="0" w:afterLines="0" w:line="240" w:lineRule="auto"/>
                    <w:textAlignment w:val="center"/>
                    <w:rPr>
                      <w:rFonts w:ascii="Times New Roman"/>
                      <w:b/>
                      <w:bCs w:val="0"/>
                      <w:color w:val="auto"/>
                      <w:sz w:val="21"/>
                    </w:rPr>
                  </w:pPr>
                  <w:r>
                    <w:rPr>
                      <w:rFonts w:ascii="Times New Roman"/>
                      <w:b/>
                      <w:bCs w:val="0"/>
                      <w:color w:val="auto"/>
                      <w:sz w:val="21"/>
                    </w:rPr>
                    <w:t>夜间</w:t>
                  </w:r>
                </w:p>
              </w:tc>
              <w:tc>
                <w:tcPr>
                  <w:tcW w:w="677" w:type="pct"/>
                  <w:tcBorders>
                    <w:tl2br w:val="nil"/>
                    <w:tr2bl w:val="nil"/>
                  </w:tcBorders>
                  <w:noWrap w:val="0"/>
                  <w:vAlign w:val="center"/>
                </w:tcPr>
                <w:p>
                  <w:pPr>
                    <w:pStyle w:val="27"/>
                    <w:spacing w:beforeLines="0" w:afterLines="0" w:line="240" w:lineRule="auto"/>
                    <w:textAlignment w:val="center"/>
                    <w:rPr>
                      <w:rFonts w:hint="default" w:ascii="Times New Roman" w:eastAsia="宋体"/>
                      <w:b/>
                      <w:bCs w:val="0"/>
                      <w:color w:val="auto"/>
                      <w:sz w:val="21"/>
                      <w:lang w:val="en-US" w:eastAsia="zh-CN"/>
                    </w:rPr>
                  </w:pPr>
                  <w:r>
                    <w:rPr>
                      <w:rFonts w:hint="eastAsia" w:ascii="Times New Roman"/>
                      <w:b/>
                      <w:bCs w:val="0"/>
                      <w:color w:val="auto"/>
                      <w:sz w:val="21"/>
                      <w:lang w:val="en-US" w:eastAsia="zh-CN"/>
                    </w:rPr>
                    <w:t>标准</w:t>
                  </w:r>
                </w:p>
              </w:tc>
              <w:tc>
                <w:tcPr>
                  <w:tcW w:w="650" w:type="pct"/>
                  <w:tcBorders>
                    <w:tl2br w:val="nil"/>
                    <w:tr2bl w:val="nil"/>
                  </w:tcBorders>
                  <w:noWrap w:val="0"/>
                  <w:vAlign w:val="center"/>
                </w:tcPr>
                <w:p>
                  <w:pPr>
                    <w:pStyle w:val="27"/>
                    <w:spacing w:beforeLines="0" w:afterLines="0" w:line="240" w:lineRule="auto"/>
                    <w:textAlignment w:val="center"/>
                    <w:rPr>
                      <w:rFonts w:ascii="Times New Roman"/>
                      <w:b/>
                      <w:bCs w:val="0"/>
                      <w:color w:val="auto"/>
                      <w:sz w:val="21"/>
                    </w:rPr>
                  </w:pPr>
                  <w:r>
                    <w:rPr>
                      <w:rFonts w:ascii="Times New Roman"/>
                      <w:b/>
                      <w:bCs w:val="0"/>
                      <w:color w:val="auto"/>
                      <w:sz w:val="21"/>
                    </w:rPr>
                    <w:t>达标情况</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200" w:type="pct"/>
                  <w:vMerge w:val="restart"/>
                  <w:tcBorders>
                    <w:tl2br w:val="nil"/>
                    <w:tr2bl w:val="nil"/>
                  </w:tcBorders>
                  <w:noWrap w:val="0"/>
                  <w:vAlign w:val="center"/>
                </w:tcPr>
                <w:p>
                  <w:pPr>
                    <w:widowControl/>
                    <w:spacing w:line="240" w:lineRule="auto"/>
                    <w:jc w:val="center"/>
                    <w:rPr>
                      <w:rFonts w:hint="default" w:ascii="宋体" w:hAnsi="宋体" w:eastAsia="宋体" w:cs="宋体"/>
                      <w:bCs/>
                      <w:color w:val="auto"/>
                      <w:kern w:val="0"/>
                      <w:szCs w:val="21"/>
                      <w:lang w:val="en-US" w:eastAsia="zh-CN"/>
                    </w:rPr>
                  </w:pPr>
                  <w:r>
                    <w:rPr>
                      <w:rFonts w:hint="eastAsia" w:ascii="宋体" w:hAnsi="宋体" w:cs="宋体"/>
                      <w:bCs/>
                      <w:color w:val="auto"/>
                      <w:kern w:val="0"/>
                      <w:szCs w:val="21"/>
                      <w:lang w:val="en-US" w:eastAsia="zh-CN"/>
                    </w:rPr>
                    <w:t>N1丙令哨村</w:t>
                  </w:r>
                </w:p>
              </w:tc>
              <w:tc>
                <w:tcPr>
                  <w:tcW w:w="1416" w:type="pct"/>
                  <w:tcBorders>
                    <w:tl2br w:val="nil"/>
                    <w:tr2bl w:val="nil"/>
                  </w:tcBorders>
                  <w:noWrap w:val="0"/>
                  <w:vAlign w:val="center"/>
                </w:tcPr>
                <w:p>
                  <w:pPr>
                    <w:pStyle w:val="27"/>
                    <w:spacing w:beforeLines="0" w:afterLines="0" w:line="240" w:lineRule="auto"/>
                    <w:textAlignment w:val="center"/>
                    <w:rPr>
                      <w:rFonts w:hint="default" w:ascii="Times New Roman" w:eastAsia="宋体"/>
                      <w:b w:val="0"/>
                      <w:bCs/>
                      <w:color w:val="auto"/>
                      <w:sz w:val="21"/>
                      <w:lang w:val="en-US" w:eastAsia="zh-CN"/>
                    </w:rPr>
                  </w:pPr>
                  <w:r>
                    <w:rPr>
                      <w:rFonts w:hint="eastAsia" w:ascii="Times New Roman"/>
                      <w:b w:val="0"/>
                      <w:bCs/>
                      <w:color w:val="auto"/>
                      <w:sz w:val="21"/>
                      <w:lang w:val="en-US" w:eastAsia="zh-CN"/>
                    </w:rPr>
                    <w:t>2023.10.28-2023.10.29</w:t>
                  </w:r>
                </w:p>
              </w:tc>
              <w:tc>
                <w:tcPr>
                  <w:tcW w:w="538" w:type="pct"/>
                  <w:tcBorders>
                    <w:tl2br w:val="nil"/>
                    <w:tr2bl w:val="nil"/>
                  </w:tcBorders>
                  <w:noWrap w:val="0"/>
                  <w:vAlign w:val="center"/>
                </w:tcPr>
                <w:p>
                  <w:pPr>
                    <w:pStyle w:val="6"/>
                    <w:adjustRightInd w:val="0"/>
                    <w:spacing w:before="0" w:after="0" w:line="240" w:lineRule="auto"/>
                    <w:ind w:right="0"/>
                    <w:jc w:val="center"/>
                    <w:rPr>
                      <w:rFonts w:hint="default" w:eastAsia="宋体"/>
                      <w:bCs/>
                      <w:color w:val="auto"/>
                      <w:sz w:val="21"/>
                      <w:szCs w:val="21"/>
                      <w:lang w:val="en-US" w:eastAsia="zh-CN"/>
                    </w:rPr>
                  </w:pPr>
                  <w:r>
                    <w:rPr>
                      <w:rFonts w:hint="eastAsia"/>
                      <w:bCs/>
                      <w:color w:val="auto"/>
                      <w:sz w:val="21"/>
                      <w:szCs w:val="21"/>
                      <w:lang w:val="en-US" w:eastAsia="zh-CN"/>
                    </w:rPr>
                    <w:t>41</w:t>
                  </w:r>
                </w:p>
              </w:tc>
              <w:tc>
                <w:tcPr>
                  <w:tcW w:w="518" w:type="pct"/>
                  <w:tcBorders>
                    <w:tl2br w:val="nil"/>
                    <w:tr2bl w:val="nil"/>
                  </w:tcBorders>
                  <w:noWrap w:val="0"/>
                  <w:vAlign w:val="center"/>
                </w:tcPr>
                <w:p>
                  <w:pPr>
                    <w:pStyle w:val="6"/>
                    <w:adjustRightInd w:val="0"/>
                    <w:spacing w:before="0" w:after="0" w:line="240" w:lineRule="auto"/>
                    <w:ind w:right="0" w:rightChars="0"/>
                    <w:jc w:val="center"/>
                    <w:rPr>
                      <w:rFonts w:hint="default" w:eastAsia="宋体"/>
                      <w:bCs/>
                      <w:color w:val="auto"/>
                      <w:sz w:val="21"/>
                      <w:szCs w:val="21"/>
                      <w:lang w:val="en-US" w:eastAsia="zh-CN"/>
                    </w:rPr>
                  </w:pPr>
                  <w:r>
                    <w:rPr>
                      <w:rFonts w:hint="eastAsia"/>
                      <w:bCs/>
                      <w:color w:val="auto"/>
                      <w:sz w:val="21"/>
                      <w:szCs w:val="21"/>
                      <w:lang w:val="en-US" w:eastAsia="zh-CN"/>
                    </w:rPr>
                    <w:t>40</w:t>
                  </w:r>
                </w:p>
              </w:tc>
              <w:tc>
                <w:tcPr>
                  <w:tcW w:w="677" w:type="pct"/>
                  <w:vMerge w:val="restart"/>
                  <w:tcBorders>
                    <w:tl2br w:val="nil"/>
                    <w:tr2bl w:val="nil"/>
                  </w:tcBorders>
                  <w:noWrap w:val="0"/>
                  <w:vAlign w:val="center"/>
                </w:tcPr>
                <w:p>
                  <w:pPr>
                    <w:widowControl/>
                    <w:spacing w:line="240" w:lineRule="auto"/>
                    <w:ind w:left="0" w:leftChars="0" w:right="0" w:rightChars="0" w:firstLine="0" w:firstLineChars="0"/>
                    <w:jc w:val="center"/>
                    <w:rPr>
                      <w:rFonts w:hint="eastAsia" w:ascii="宋体" w:hAnsi="宋体" w:eastAsia="宋体" w:cs="宋体"/>
                      <w:bCs/>
                      <w:color w:val="auto"/>
                      <w:kern w:val="0"/>
                      <w:szCs w:val="21"/>
                      <w:lang w:val="en-US" w:eastAsia="zh-CN"/>
                    </w:rPr>
                  </w:pPr>
                  <w:r>
                    <w:rPr>
                      <w:rFonts w:hint="eastAsia" w:ascii="宋体" w:hAnsi="宋体" w:eastAsia="宋体" w:cs="宋体"/>
                      <w:bCs/>
                      <w:color w:val="auto"/>
                      <w:kern w:val="0"/>
                      <w:szCs w:val="21"/>
                      <w:lang w:val="en-US" w:eastAsia="zh-CN"/>
                    </w:rPr>
                    <w:t>《声环境质量标准》（GB 3096-2008）2类区标准</w:t>
                  </w:r>
                </w:p>
              </w:tc>
              <w:tc>
                <w:tcPr>
                  <w:tcW w:w="650" w:type="pct"/>
                  <w:tcBorders>
                    <w:tl2br w:val="nil"/>
                    <w:tr2bl w:val="nil"/>
                  </w:tcBorders>
                  <w:noWrap w:val="0"/>
                  <w:vAlign w:val="center"/>
                </w:tcPr>
                <w:p>
                  <w:pPr>
                    <w:widowControl/>
                    <w:spacing w:line="240" w:lineRule="auto"/>
                    <w:jc w:val="center"/>
                    <w:rPr>
                      <w:rFonts w:hint="eastAsia" w:ascii="宋体" w:hAnsi="宋体" w:eastAsia="宋体" w:cs="宋体"/>
                      <w:bCs/>
                      <w:color w:val="auto"/>
                      <w:kern w:val="0"/>
                      <w:szCs w:val="21"/>
                      <w:lang w:val="en-US" w:eastAsia="zh-CN"/>
                    </w:rPr>
                  </w:pPr>
                  <w:r>
                    <w:rPr>
                      <w:rFonts w:hint="eastAsia" w:ascii="宋体" w:hAnsi="宋体" w:eastAsia="宋体" w:cs="宋体"/>
                      <w:bCs/>
                      <w:color w:val="auto"/>
                      <w:kern w:val="0"/>
                      <w:szCs w:val="21"/>
                      <w:lang w:val="en-US" w:eastAsia="zh-CN"/>
                    </w:rPr>
                    <w:t>达标</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200" w:type="pct"/>
                  <w:vMerge w:val="continue"/>
                  <w:tcBorders>
                    <w:tl2br w:val="nil"/>
                    <w:tr2bl w:val="nil"/>
                  </w:tcBorders>
                  <w:noWrap w:val="0"/>
                  <w:vAlign w:val="center"/>
                </w:tcPr>
                <w:p>
                  <w:pPr>
                    <w:pStyle w:val="27"/>
                    <w:spacing w:beforeLines="0" w:afterLines="0" w:line="240" w:lineRule="auto"/>
                    <w:textAlignment w:val="center"/>
                    <w:rPr>
                      <w:rFonts w:hint="eastAsia" w:hAnsi="宋体" w:cs="宋体"/>
                      <w:b w:val="0"/>
                      <w:bCs/>
                      <w:color w:val="auto"/>
                      <w:sz w:val="21"/>
                    </w:rPr>
                  </w:pPr>
                </w:p>
              </w:tc>
              <w:tc>
                <w:tcPr>
                  <w:tcW w:w="1416" w:type="pct"/>
                  <w:tcBorders>
                    <w:tl2br w:val="nil"/>
                    <w:tr2bl w:val="nil"/>
                  </w:tcBorders>
                  <w:noWrap w:val="0"/>
                  <w:vAlign w:val="center"/>
                </w:tcPr>
                <w:p>
                  <w:pPr>
                    <w:adjustRightInd w:val="0"/>
                    <w:snapToGrid w:val="0"/>
                    <w:spacing w:line="240" w:lineRule="auto"/>
                    <w:jc w:val="center"/>
                    <w:textAlignment w:val="center"/>
                    <w:rPr>
                      <w:rFonts w:hint="default" w:eastAsia="宋体"/>
                      <w:bCs/>
                      <w:color w:val="auto"/>
                      <w:kern w:val="0"/>
                      <w:szCs w:val="21"/>
                      <w:lang w:val="en-US" w:eastAsia="zh-CN"/>
                    </w:rPr>
                  </w:pPr>
                  <w:r>
                    <w:rPr>
                      <w:rFonts w:hint="eastAsia"/>
                      <w:bCs/>
                      <w:color w:val="auto"/>
                      <w:lang w:val="en-US" w:eastAsia="zh-CN"/>
                    </w:rPr>
                    <w:t>2023.10.29-2023.10.30</w:t>
                  </w:r>
                </w:p>
              </w:tc>
              <w:tc>
                <w:tcPr>
                  <w:tcW w:w="538" w:type="pct"/>
                  <w:tcBorders>
                    <w:tl2br w:val="nil"/>
                    <w:tr2bl w:val="nil"/>
                  </w:tcBorders>
                  <w:noWrap w:val="0"/>
                  <w:vAlign w:val="center"/>
                </w:tcPr>
                <w:p>
                  <w:pPr>
                    <w:pStyle w:val="6"/>
                    <w:adjustRightInd w:val="0"/>
                    <w:spacing w:before="0" w:after="0" w:line="240" w:lineRule="auto"/>
                    <w:ind w:right="0"/>
                    <w:jc w:val="center"/>
                    <w:rPr>
                      <w:rFonts w:hint="default" w:eastAsia="宋体"/>
                      <w:bCs/>
                      <w:color w:val="auto"/>
                      <w:sz w:val="21"/>
                      <w:szCs w:val="21"/>
                      <w:lang w:val="en-US" w:eastAsia="zh-CN"/>
                    </w:rPr>
                  </w:pPr>
                  <w:r>
                    <w:rPr>
                      <w:rFonts w:hint="eastAsia"/>
                      <w:bCs/>
                      <w:color w:val="auto"/>
                      <w:sz w:val="21"/>
                      <w:szCs w:val="21"/>
                      <w:lang w:val="en-US" w:eastAsia="zh-CN"/>
                    </w:rPr>
                    <w:t>42</w:t>
                  </w:r>
                </w:p>
              </w:tc>
              <w:tc>
                <w:tcPr>
                  <w:tcW w:w="518" w:type="pct"/>
                  <w:tcBorders>
                    <w:tl2br w:val="nil"/>
                    <w:tr2bl w:val="nil"/>
                  </w:tcBorders>
                  <w:noWrap w:val="0"/>
                  <w:vAlign w:val="center"/>
                </w:tcPr>
                <w:p>
                  <w:pPr>
                    <w:pStyle w:val="6"/>
                    <w:adjustRightInd w:val="0"/>
                    <w:spacing w:before="0" w:after="0" w:line="240" w:lineRule="auto"/>
                    <w:ind w:right="0" w:rightChars="0"/>
                    <w:jc w:val="center"/>
                    <w:rPr>
                      <w:rFonts w:hint="default" w:eastAsia="宋体"/>
                      <w:bCs/>
                      <w:color w:val="auto"/>
                      <w:sz w:val="21"/>
                      <w:szCs w:val="21"/>
                      <w:lang w:val="en-US" w:eastAsia="zh-CN"/>
                    </w:rPr>
                  </w:pPr>
                  <w:r>
                    <w:rPr>
                      <w:rFonts w:hint="eastAsia"/>
                      <w:bCs/>
                      <w:color w:val="auto"/>
                      <w:sz w:val="21"/>
                      <w:szCs w:val="21"/>
                      <w:lang w:val="en-US" w:eastAsia="zh-CN"/>
                    </w:rPr>
                    <w:t>41</w:t>
                  </w:r>
                </w:p>
              </w:tc>
              <w:tc>
                <w:tcPr>
                  <w:tcW w:w="677" w:type="pct"/>
                  <w:vMerge w:val="continue"/>
                  <w:tcBorders>
                    <w:tl2br w:val="nil"/>
                    <w:tr2bl w:val="nil"/>
                  </w:tcBorders>
                  <w:noWrap w:val="0"/>
                  <w:vAlign w:val="center"/>
                </w:tcPr>
                <w:p>
                  <w:pPr>
                    <w:widowControl/>
                    <w:spacing w:line="240" w:lineRule="auto"/>
                    <w:jc w:val="center"/>
                    <w:rPr>
                      <w:rFonts w:hint="eastAsia" w:ascii="宋体" w:hAnsi="宋体" w:eastAsia="宋体" w:cs="宋体"/>
                      <w:bCs/>
                      <w:color w:val="auto"/>
                      <w:kern w:val="0"/>
                      <w:szCs w:val="21"/>
                      <w:lang w:val="en-US" w:eastAsia="zh-CN"/>
                    </w:rPr>
                  </w:pPr>
                </w:p>
              </w:tc>
              <w:tc>
                <w:tcPr>
                  <w:tcW w:w="650" w:type="pct"/>
                  <w:tcBorders>
                    <w:tl2br w:val="nil"/>
                    <w:tr2bl w:val="nil"/>
                  </w:tcBorders>
                  <w:noWrap w:val="0"/>
                  <w:vAlign w:val="center"/>
                </w:tcPr>
                <w:p>
                  <w:pPr>
                    <w:widowControl/>
                    <w:spacing w:line="240" w:lineRule="auto"/>
                    <w:jc w:val="center"/>
                    <w:rPr>
                      <w:rFonts w:hint="eastAsia" w:ascii="宋体" w:hAnsi="宋体" w:eastAsia="宋体" w:cs="宋体"/>
                      <w:bCs/>
                      <w:color w:val="auto"/>
                      <w:kern w:val="0"/>
                      <w:szCs w:val="21"/>
                      <w:lang w:val="en-US" w:eastAsia="zh-CN"/>
                    </w:rPr>
                  </w:pPr>
                  <w:r>
                    <w:rPr>
                      <w:rFonts w:hint="eastAsia" w:ascii="宋体" w:hAnsi="宋体" w:eastAsia="宋体" w:cs="宋体"/>
                      <w:bCs/>
                      <w:color w:val="auto"/>
                      <w:kern w:val="0"/>
                      <w:szCs w:val="21"/>
                      <w:lang w:val="en-US" w:eastAsia="zh-CN"/>
                    </w:rPr>
                    <w:t>达标</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200" w:type="pct"/>
                  <w:vMerge w:val="restart"/>
                  <w:tcBorders>
                    <w:tl2br w:val="nil"/>
                    <w:tr2bl w:val="nil"/>
                  </w:tcBorders>
                  <w:noWrap w:val="0"/>
                  <w:vAlign w:val="center"/>
                </w:tcPr>
                <w:p>
                  <w:pPr>
                    <w:widowControl/>
                    <w:spacing w:line="240" w:lineRule="auto"/>
                    <w:jc w:val="center"/>
                    <w:rPr>
                      <w:rFonts w:hint="default" w:ascii="宋体" w:hAnsi="宋体" w:eastAsia="宋体" w:cs="宋体"/>
                      <w:bCs/>
                      <w:color w:val="auto"/>
                      <w:kern w:val="0"/>
                      <w:szCs w:val="21"/>
                      <w:lang w:val="en-US" w:eastAsia="zh-CN"/>
                    </w:rPr>
                  </w:pPr>
                  <w:r>
                    <w:rPr>
                      <w:rFonts w:hint="eastAsia" w:ascii="宋体" w:hAnsi="宋体" w:cs="宋体"/>
                      <w:bCs/>
                      <w:color w:val="auto"/>
                      <w:kern w:val="0"/>
                      <w:szCs w:val="21"/>
                      <w:lang w:val="en-US" w:eastAsia="zh-CN"/>
                    </w:rPr>
                    <w:t>N2丙月村散户</w:t>
                  </w:r>
                </w:p>
              </w:tc>
              <w:tc>
                <w:tcPr>
                  <w:tcW w:w="1416" w:type="pct"/>
                  <w:tcBorders>
                    <w:tl2br w:val="nil"/>
                    <w:tr2bl w:val="nil"/>
                  </w:tcBorders>
                  <w:noWrap w:val="0"/>
                  <w:vAlign w:val="center"/>
                </w:tcPr>
                <w:p>
                  <w:pPr>
                    <w:pStyle w:val="27"/>
                    <w:spacing w:beforeLines="0" w:afterLines="0" w:line="240" w:lineRule="auto"/>
                    <w:ind w:firstLine="0" w:firstLineChars="0"/>
                    <w:textAlignment w:val="center"/>
                    <w:rPr>
                      <w:rFonts w:ascii="Times New Roman"/>
                      <w:b w:val="0"/>
                      <w:bCs/>
                      <w:color w:val="auto"/>
                      <w:sz w:val="21"/>
                    </w:rPr>
                  </w:pPr>
                  <w:r>
                    <w:rPr>
                      <w:rFonts w:hint="eastAsia" w:ascii="Times New Roman"/>
                      <w:b w:val="0"/>
                      <w:bCs/>
                      <w:color w:val="auto"/>
                      <w:sz w:val="21"/>
                      <w:lang w:val="en-US" w:eastAsia="zh-CN"/>
                    </w:rPr>
                    <w:t>2023.10.28-2023.10.29</w:t>
                  </w:r>
                </w:p>
              </w:tc>
              <w:tc>
                <w:tcPr>
                  <w:tcW w:w="538" w:type="pct"/>
                  <w:tcBorders>
                    <w:tl2br w:val="nil"/>
                    <w:tr2bl w:val="nil"/>
                  </w:tcBorders>
                  <w:noWrap w:val="0"/>
                  <w:vAlign w:val="center"/>
                </w:tcPr>
                <w:p>
                  <w:pPr>
                    <w:pStyle w:val="6"/>
                    <w:adjustRightInd w:val="0"/>
                    <w:spacing w:before="0" w:after="0" w:line="240" w:lineRule="auto"/>
                    <w:ind w:right="0"/>
                    <w:jc w:val="center"/>
                    <w:rPr>
                      <w:rFonts w:hint="default" w:eastAsia="宋体"/>
                      <w:bCs/>
                      <w:color w:val="auto"/>
                      <w:sz w:val="21"/>
                      <w:szCs w:val="21"/>
                      <w:lang w:val="en-US" w:eastAsia="zh-CN"/>
                    </w:rPr>
                  </w:pPr>
                  <w:r>
                    <w:rPr>
                      <w:rFonts w:hint="eastAsia"/>
                      <w:bCs/>
                      <w:color w:val="auto"/>
                      <w:sz w:val="21"/>
                      <w:szCs w:val="21"/>
                      <w:lang w:val="en-US" w:eastAsia="zh-CN"/>
                    </w:rPr>
                    <w:t>42</w:t>
                  </w:r>
                </w:p>
              </w:tc>
              <w:tc>
                <w:tcPr>
                  <w:tcW w:w="518" w:type="pct"/>
                  <w:tcBorders>
                    <w:tl2br w:val="nil"/>
                    <w:tr2bl w:val="nil"/>
                  </w:tcBorders>
                  <w:noWrap w:val="0"/>
                  <w:vAlign w:val="center"/>
                </w:tcPr>
                <w:p>
                  <w:pPr>
                    <w:pStyle w:val="6"/>
                    <w:adjustRightInd w:val="0"/>
                    <w:spacing w:before="0" w:after="0" w:line="240" w:lineRule="auto"/>
                    <w:ind w:right="0" w:rightChars="0"/>
                    <w:jc w:val="center"/>
                    <w:rPr>
                      <w:rFonts w:hint="default" w:eastAsia="宋体"/>
                      <w:bCs/>
                      <w:color w:val="auto"/>
                      <w:sz w:val="21"/>
                      <w:szCs w:val="21"/>
                      <w:lang w:val="en-US" w:eastAsia="zh-CN"/>
                    </w:rPr>
                  </w:pPr>
                  <w:r>
                    <w:rPr>
                      <w:rFonts w:hint="eastAsia"/>
                      <w:bCs/>
                      <w:color w:val="auto"/>
                      <w:sz w:val="21"/>
                      <w:szCs w:val="21"/>
                      <w:lang w:val="en-US" w:eastAsia="zh-CN"/>
                    </w:rPr>
                    <w:t>40</w:t>
                  </w:r>
                </w:p>
              </w:tc>
              <w:tc>
                <w:tcPr>
                  <w:tcW w:w="677" w:type="pct"/>
                  <w:vMerge w:val="continue"/>
                  <w:tcBorders>
                    <w:tl2br w:val="nil"/>
                    <w:tr2bl w:val="nil"/>
                  </w:tcBorders>
                  <w:noWrap w:val="0"/>
                  <w:vAlign w:val="center"/>
                </w:tcPr>
                <w:p>
                  <w:pPr>
                    <w:widowControl/>
                    <w:spacing w:line="240" w:lineRule="auto"/>
                    <w:jc w:val="center"/>
                    <w:rPr>
                      <w:rFonts w:hint="eastAsia" w:ascii="宋体" w:hAnsi="宋体" w:eastAsia="宋体" w:cs="宋体"/>
                      <w:bCs/>
                      <w:color w:val="auto"/>
                      <w:kern w:val="0"/>
                      <w:szCs w:val="21"/>
                      <w:lang w:val="en-US" w:eastAsia="zh-CN"/>
                    </w:rPr>
                  </w:pPr>
                </w:p>
              </w:tc>
              <w:tc>
                <w:tcPr>
                  <w:tcW w:w="650" w:type="pct"/>
                  <w:tcBorders>
                    <w:tl2br w:val="nil"/>
                    <w:tr2bl w:val="nil"/>
                  </w:tcBorders>
                  <w:noWrap w:val="0"/>
                  <w:vAlign w:val="center"/>
                </w:tcPr>
                <w:p>
                  <w:pPr>
                    <w:widowControl/>
                    <w:spacing w:line="240" w:lineRule="auto"/>
                    <w:jc w:val="center"/>
                    <w:rPr>
                      <w:rFonts w:hint="eastAsia" w:ascii="宋体" w:hAnsi="宋体" w:eastAsia="宋体" w:cs="宋体"/>
                      <w:bCs/>
                      <w:color w:val="auto"/>
                      <w:kern w:val="0"/>
                      <w:szCs w:val="21"/>
                      <w:lang w:val="en-US" w:eastAsia="zh-CN"/>
                    </w:rPr>
                  </w:pPr>
                  <w:r>
                    <w:rPr>
                      <w:rFonts w:hint="eastAsia" w:ascii="宋体" w:hAnsi="宋体" w:eastAsia="宋体" w:cs="宋体"/>
                      <w:bCs/>
                      <w:color w:val="auto"/>
                      <w:kern w:val="0"/>
                      <w:szCs w:val="21"/>
                      <w:lang w:val="en-US" w:eastAsia="zh-CN"/>
                    </w:rPr>
                    <w:t>达标</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200" w:type="pct"/>
                  <w:vMerge w:val="continue"/>
                  <w:tcBorders>
                    <w:tl2br w:val="nil"/>
                    <w:tr2bl w:val="nil"/>
                  </w:tcBorders>
                  <w:noWrap w:val="0"/>
                  <w:vAlign w:val="center"/>
                </w:tcPr>
                <w:p>
                  <w:pPr>
                    <w:pStyle w:val="27"/>
                    <w:spacing w:beforeLines="0" w:afterLines="0" w:line="240" w:lineRule="auto"/>
                    <w:textAlignment w:val="center"/>
                    <w:rPr>
                      <w:rFonts w:hint="eastAsia" w:hAnsi="宋体" w:cs="宋体"/>
                      <w:b w:val="0"/>
                      <w:bCs/>
                      <w:color w:val="auto"/>
                      <w:sz w:val="21"/>
                    </w:rPr>
                  </w:pPr>
                </w:p>
              </w:tc>
              <w:tc>
                <w:tcPr>
                  <w:tcW w:w="1416" w:type="pct"/>
                  <w:tcBorders>
                    <w:tl2br w:val="nil"/>
                    <w:tr2bl w:val="nil"/>
                  </w:tcBorders>
                  <w:noWrap w:val="0"/>
                  <w:vAlign w:val="center"/>
                </w:tcPr>
                <w:p>
                  <w:pPr>
                    <w:adjustRightInd w:val="0"/>
                    <w:snapToGrid w:val="0"/>
                    <w:spacing w:line="240" w:lineRule="auto"/>
                    <w:jc w:val="center"/>
                    <w:textAlignment w:val="center"/>
                    <w:rPr>
                      <w:bCs/>
                      <w:color w:val="auto"/>
                      <w:kern w:val="0"/>
                      <w:szCs w:val="21"/>
                    </w:rPr>
                  </w:pPr>
                  <w:r>
                    <w:rPr>
                      <w:rFonts w:hint="eastAsia"/>
                      <w:bCs/>
                      <w:color w:val="auto"/>
                      <w:lang w:val="en-US" w:eastAsia="zh-CN"/>
                    </w:rPr>
                    <w:t>2023.10.29-2023.10.30</w:t>
                  </w:r>
                </w:p>
              </w:tc>
              <w:tc>
                <w:tcPr>
                  <w:tcW w:w="538" w:type="pct"/>
                  <w:tcBorders>
                    <w:tl2br w:val="nil"/>
                    <w:tr2bl w:val="nil"/>
                  </w:tcBorders>
                  <w:noWrap w:val="0"/>
                  <w:vAlign w:val="center"/>
                </w:tcPr>
                <w:p>
                  <w:pPr>
                    <w:pStyle w:val="6"/>
                    <w:adjustRightInd w:val="0"/>
                    <w:spacing w:before="0" w:after="0" w:line="240" w:lineRule="auto"/>
                    <w:ind w:right="0"/>
                    <w:jc w:val="center"/>
                    <w:rPr>
                      <w:rFonts w:hint="default" w:eastAsia="宋体"/>
                      <w:bCs/>
                      <w:color w:val="auto"/>
                      <w:sz w:val="21"/>
                      <w:szCs w:val="21"/>
                      <w:lang w:val="en-US" w:eastAsia="zh-CN"/>
                    </w:rPr>
                  </w:pPr>
                  <w:r>
                    <w:rPr>
                      <w:rFonts w:hint="eastAsia"/>
                      <w:bCs/>
                      <w:color w:val="auto"/>
                      <w:sz w:val="21"/>
                      <w:szCs w:val="21"/>
                      <w:lang w:val="en-US" w:eastAsia="zh-CN"/>
                    </w:rPr>
                    <w:t>43</w:t>
                  </w:r>
                </w:p>
              </w:tc>
              <w:tc>
                <w:tcPr>
                  <w:tcW w:w="518" w:type="pct"/>
                  <w:tcBorders>
                    <w:tl2br w:val="nil"/>
                    <w:tr2bl w:val="nil"/>
                  </w:tcBorders>
                  <w:noWrap w:val="0"/>
                  <w:vAlign w:val="center"/>
                </w:tcPr>
                <w:p>
                  <w:pPr>
                    <w:pStyle w:val="6"/>
                    <w:adjustRightInd w:val="0"/>
                    <w:spacing w:before="0" w:after="0" w:line="240" w:lineRule="auto"/>
                    <w:ind w:right="0" w:rightChars="0"/>
                    <w:jc w:val="center"/>
                    <w:rPr>
                      <w:rFonts w:hint="default" w:eastAsia="宋体"/>
                      <w:bCs/>
                      <w:color w:val="auto"/>
                      <w:sz w:val="21"/>
                      <w:szCs w:val="21"/>
                      <w:lang w:val="en-US" w:eastAsia="zh-CN"/>
                    </w:rPr>
                  </w:pPr>
                  <w:r>
                    <w:rPr>
                      <w:rFonts w:hint="eastAsia"/>
                      <w:bCs/>
                      <w:color w:val="auto"/>
                      <w:sz w:val="21"/>
                      <w:szCs w:val="21"/>
                      <w:lang w:val="en-US" w:eastAsia="zh-CN"/>
                    </w:rPr>
                    <w:t>41</w:t>
                  </w:r>
                </w:p>
              </w:tc>
              <w:tc>
                <w:tcPr>
                  <w:tcW w:w="677" w:type="pct"/>
                  <w:vMerge w:val="continue"/>
                  <w:tcBorders>
                    <w:tl2br w:val="nil"/>
                    <w:tr2bl w:val="nil"/>
                  </w:tcBorders>
                  <w:noWrap w:val="0"/>
                  <w:vAlign w:val="center"/>
                </w:tcPr>
                <w:p>
                  <w:pPr>
                    <w:widowControl/>
                    <w:spacing w:line="240" w:lineRule="auto"/>
                    <w:jc w:val="center"/>
                    <w:rPr>
                      <w:rFonts w:hint="eastAsia" w:ascii="宋体" w:hAnsi="宋体" w:eastAsia="宋体" w:cs="宋体"/>
                      <w:bCs/>
                      <w:color w:val="auto"/>
                      <w:kern w:val="0"/>
                      <w:szCs w:val="21"/>
                      <w:lang w:val="en-US" w:eastAsia="zh-CN"/>
                    </w:rPr>
                  </w:pPr>
                </w:p>
              </w:tc>
              <w:tc>
                <w:tcPr>
                  <w:tcW w:w="650" w:type="pct"/>
                  <w:tcBorders>
                    <w:tl2br w:val="nil"/>
                    <w:tr2bl w:val="nil"/>
                  </w:tcBorders>
                  <w:noWrap w:val="0"/>
                  <w:vAlign w:val="center"/>
                </w:tcPr>
                <w:p>
                  <w:pPr>
                    <w:widowControl/>
                    <w:spacing w:line="240" w:lineRule="auto"/>
                    <w:jc w:val="center"/>
                    <w:rPr>
                      <w:rFonts w:hint="eastAsia" w:ascii="宋体" w:hAnsi="宋体" w:eastAsia="宋体" w:cs="宋体"/>
                      <w:bCs/>
                      <w:color w:val="auto"/>
                      <w:kern w:val="0"/>
                      <w:szCs w:val="21"/>
                      <w:lang w:val="en-US" w:eastAsia="zh-CN"/>
                    </w:rPr>
                  </w:pPr>
                  <w:r>
                    <w:rPr>
                      <w:rFonts w:hint="eastAsia" w:ascii="宋体" w:hAnsi="宋体" w:eastAsia="宋体" w:cs="宋体"/>
                      <w:bCs/>
                      <w:color w:val="auto"/>
                      <w:kern w:val="0"/>
                      <w:szCs w:val="21"/>
                      <w:lang w:val="en-US" w:eastAsia="zh-CN"/>
                    </w:rPr>
                    <w:t>达标</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200" w:type="pct"/>
                  <w:vMerge w:val="restart"/>
                  <w:tcBorders>
                    <w:tl2br w:val="nil"/>
                    <w:tr2bl w:val="nil"/>
                  </w:tcBorders>
                  <w:noWrap w:val="0"/>
                  <w:vAlign w:val="center"/>
                </w:tcPr>
                <w:p>
                  <w:pPr>
                    <w:widowControl/>
                    <w:spacing w:line="240" w:lineRule="auto"/>
                    <w:jc w:val="center"/>
                    <w:rPr>
                      <w:rFonts w:hint="default" w:ascii="宋体" w:hAnsi="宋体" w:eastAsia="宋体" w:cs="宋体"/>
                      <w:bCs/>
                      <w:color w:val="auto"/>
                      <w:kern w:val="0"/>
                      <w:szCs w:val="21"/>
                      <w:lang w:val="en-US" w:eastAsia="zh-CN"/>
                    </w:rPr>
                  </w:pPr>
                  <w:r>
                    <w:rPr>
                      <w:rFonts w:hint="eastAsia" w:ascii="宋体" w:hAnsi="宋体" w:cs="宋体"/>
                      <w:bCs/>
                      <w:color w:val="auto"/>
                      <w:kern w:val="0"/>
                      <w:szCs w:val="21"/>
                      <w:lang w:val="en-US" w:eastAsia="zh-CN"/>
                    </w:rPr>
                    <w:t>N3山后村</w:t>
                  </w:r>
                </w:p>
              </w:tc>
              <w:tc>
                <w:tcPr>
                  <w:tcW w:w="1416" w:type="pct"/>
                  <w:tcBorders>
                    <w:tl2br w:val="nil"/>
                    <w:tr2bl w:val="nil"/>
                  </w:tcBorders>
                  <w:noWrap w:val="0"/>
                  <w:vAlign w:val="center"/>
                </w:tcPr>
                <w:p>
                  <w:pPr>
                    <w:pStyle w:val="27"/>
                    <w:spacing w:beforeLines="0" w:afterLines="0" w:line="240" w:lineRule="auto"/>
                    <w:ind w:firstLine="0" w:firstLineChars="0"/>
                    <w:textAlignment w:val="center"/>
                    <w:rPr>
                      <w:rFonts w:ascii="Times New Roman"/>
                      <w:b w:val="0"/>
                      <w:bCs/>
                      <w:color w:val="auto"/>
                      <w:sz w:val="21"/>
                    </w:rPr>
                  </w:pPr>
                  <w:r>
                    <w:rPr>
                      <w:rFonts w:hint="eastAsia" w:ascii="Times New Roman"/>
                      <w:b w:val="0"/>
                      <w:bCs/>
                      <w:color w:val="auto"/>
                      <w:sz w:val="21"/>
                      <w:lang w:val="en-US" w:eastAsia="zh-CN"/>
                    </w:rPr>
                    <w:t>2023.10.28-2023.10.29</w:t>
                  </w:r>
                </w:p>
              </w:tc>
              <w:tc>
                <w:tcPr>
                  <w:tcW w:w="538" w:type="pct"/>
                  <w:tcBorders>
                    <w:tl2br w:val="nil"/>
                    <w:tr2bl w:val="nil"/>
                  </w:tcBorders>
                  <w:noWrap w:val="0"/>
                  <w:vAlign w:val="center"/>
                </w:tcPr>
                <w:p>
                  <w:pPr>
                    <w:pStyle w:val="6"/>
                    <w:adjustRightInd w:val="0"/>
                    <w:spacing w:before="0" w:after="0" w:line="240" w:lineRule="auto"/>
                    <w:ind w:right="0"/>
                    <w:jc w:val="center"/>
                    <w:rPr>
                      <w:rFonts w:hint="default" w:eastAsia="宋体"/>
                      <w:bCs/>
                      <w:color w:val="auto"/>
                      <w:sz w:val="21"/>
                      <w:szCs w:val="21"/>
                      <w:lang w:val="en-US" w:eastAsia="zh-CN"/>
                    </w:rPr>
                  </w:pPr>
                  <w:r>
                    <w:rPr>
                      <w:rFonts w:hint="eastAsia"/>
                      <w:bCs/>
                      <w:color w:val="auto"/>
                      <w:sz w:val="21"/>
                      <w:szCs w:val="21"/>
                      <w:lang w:val="en-US" w:eastAsia="zh-CN"/>
                    </w:rPr>
                    <w:t>40</w:t>
                  </w:r>
                </w:p>
              </w:tc>
              <w:tc>
                <w:tcPr>
                  <w:tcW w:w="518" w:type="pct"/>
                  <w:tcBorders>
                    <w:tl2br w:val="nil"/>
                    <w:tr2bl w:val="nil"/>
                  </w:tcBorders>
                  <w:noWrap w:val="0"/>
                  <w:vAlign w:val="center"/>
                </w:tcPr>
                <w:p>
                  <w:pPr>
                    <w:pStyle w:val="6"/>
                    <w:adjustRightInd w:val="0"/>
                    <w:spacing w:before="0" w:after="0" w:line="240" w:lineRule="auto"/>
                    <w:ind w:right="0" w:rightChars="0"/>
                    <w:jc w:val="center"/>
                    <w:rPr>
                      <w:rFonts w:hint="default" w:eastAsia="宋体"/>
                      <w:bCs/>
                      <w:color w:val="auto"/>
                      <w:sz w:val="21"/>
                      <w:szCs w:val="21"/>
                      <w:lang w:val="en-US" w:eastAsia="zh-CN"/>
                    </w:rPr>
                  </w:pPr>
                  <w:r>
                    <w:rPr>
                      <w:rFonts w:hint="eastAsia"/>
                      <w:bCs/>
                      <w:color w:val="auto"/>
                      <w:sz w:val="21"/>
                      <w:szCs w:val="21"/>
                      <w:lang w:val="en-US" w:eastAsia="zh-CN"/>
                    </w:rPr>
                    <w:t>39</w:t>
                  </w:r>
                </w:p>
              </w:tc>
              <w:tc>
                <w:tcPr>
                  <w:tcW w:w="677" w:type="pct"/>
                  <w:vMerge w:val="continue"/>
                  <w:tcBorders>
                    <w:tl2br w:val="nil"/>
                    <w:tr2bl w:val="nil"/>
                  </w:tcBorders>
                  <w:noWrap w:val="0"/>
                  <w:vAlign w:val="center"/>
                </w:tcPr>
                <w:p>
                  <w:pPr>
                    <w:widowControl/>
                    <w:spacing w:line="240" w:lineRule="auto"/>
                    <w:jc w:val="center"/>
                    <w:rPr>
                      <w:rFonts w:hint="eastAsia" w:ascii="宋体" w:hAnsi="宋体" w:eastAsia="宋体" w:cs="宋体"/>
                      <w:bCs/>
                      <w:color w:val="auto"/>
                      <w:kern w:val="0"/>
                      <w:szCs w:val="21"/>
                      <w:lang w:val="en-US" w:eastAsia="zh-CN"/>
                    </w:rPr>
                  </w:pPr>
                </w:p>
              </w:tc>
              <w:tc>
                <w:tcPr>
                  <w:tcW w:w="650" w:type="pct"/>
                  <w:tcBorders>
                    <w:tl2br w:val="nil"/>
                    <w:tr2bl w:val="nil"/>
                  </w:tcBorders>
                  <w:noWrap w:val="0"/>
                  <w:vAlign w:val="center"/>
                </w:tcPr>
                <w:p>
                  <w:pPr>
                    <w:widowControl/>
                    <w:spacing w:line="240" w:lineRule="auto"/>
                    <w:jc w:val="center"/>
                    <w:rPr>
                      <w:rFonts w:hint="eastAsia" w:ascii="宋体" w:hAnsi="宋体" w:eastAsia="宋体" w:cs="宋体"/>
                      <w:bCs/>
                      <w:color w:val="auto"/>
                      <w:kern w:val="0"/>
                      <w:szCs w:val="21"/>
                      <w:lang w:val="en-US" w:eastAsia="zh-CN"/>
                    </w:rPr>
                  </w:pPr>
                  <w:r>
                    <w:rPr>
                      <w:rFonts w:hint="eastAsia" w:ascii="宋体" w:hAnsi="宋体" w:eastAsia="宋体" w:cs="宋体"/>
                      <w:bCs/>
                      <w:color w:val="auto"/>
                      <w:kern w:val="0"/>
                      <w:szCs w:val="21"/>
                      <w:lang w:val="en-US" w:eastAsia="zh-CN"/>
                    </w:rPr>
                    <w:t>达标</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200" w:type="pct"/>
                  <w:vMerge w:val="continue"/>
                  <w:tcBorders>
                    <w:tl2br w:val="nil"/>
                    <w:tr2bl w:val="nil"/>
                  </w:tcBorders>
                  <w:noWrap w:val="0"/>
                  <w:vAlign w:val="center"/>
                </w:tcPr>
                <w:p>
                  <w:pPr>
                    <w:pStyle w:val="27"/>
                    <w:spacing w:beforeLines="0" w:afterLines="0" w:line="240" w:lineRule="auto"/>
                    <w:textAlignment w:val="center"/>
                    <w:rPr>
                      <w:rFonts w:hint="eastAsia" w:hAnsi="宋体" w:cs="宋体"/>
                      <w:b w:val="0"/>
                      <w:bCs/>
                      <w:color w:val="auto"/>
                      <w:sz w:val="21"/>
                    </w:rPr>
                  </w:pPr>
                </w:p>
              </w:tc>
              <w:tc>
                <w:tcPr>
                  <w:tcW w:w="1416" w:type="pct"/>
                  <w:tcBorders>
                    <w:tl2br w:val="nil"/>
                    <w:tr2bl w:val="nil"/>
                  </w:tcBorders>
                  <w:noWrap w:val="0"/>
                  <w:vAlign w:val="center"/>
                </w:tcPr>
                <w:p>
                  <w:pPr>
                    <w:adjustRightInd w:val="0"/>
                    <w:snapToGrid w:val="0"/>
                    <w:spacing w:line="240" w:lineRule="auto"/>
                    <w:jc w:val="center"/>
                    <w:textAlignment w:val="center"/>
                    <w:rPr>
                      <w:bCs/>
                      <w:color w:val="auto"/>
                      <w:kern w:val="0"/>
                      <w:szCs w:val="21"/>
                    </w:rPr>
                  </w:pPr>
                  <w:r>
                    <w:rPr>
                      <w:rFonts w:hint="eastAsia"/>
                      <w:bCs/>
                      <w:color w:val="auto"/>
                      <w:lang w:val="en-US" w:eastAsia="zh-CN"/>
                    </w:rPr>
                    <w:t>2023.10.29-2023.10.30</w:t>
                  </w:r>
                </w:p>
              </w:tc>
              <w:tc>
                <w:tcPr>
                  <w:tcW w:w="538" w:type="pct"/>
                  <w:tcBorders>
                    <w:tl2br w:val="nil"/>
                    <w:tr2bl w:val="nil"/>
                  </w:tcBorders>
                  <w:noWrap w:val="0"/>
                  <w:vAlign w:val="center"/>
                </w:tcPr>
                <w:p>
                  <w:pPr>
                    <w:pStyle w:val="6"/>
                    <w:adjustRightInd w:val="0"/>
                    <w:spacing w:before="0" w:after="0" w:line="240" w:lineRule="auto"/>
                    <w:ind w:right="0"/>
                    <w:jc w:val="center"/>
                    <w:rPr>
                      <w:rFonts w:hint="default" w:eastAsia="宋体"/>
                      <w:bCs/>
                      <w:color w:val="auto"/>
                      <w:sz w:val="21"/>
                      <w:szCs w:val="21"/>
                      <w:lang w:val="en-US" w:eastAsia="zh-CN"/>
                    </w:rPr>
                  </w:pPr>
                  <w:r>
                    <w:rPr>
                      <w:rFonts w:hint="eastAsia"/>
                      <w:bCs/>
                      <w:color w:val="auto"/>
                      <w:sz w:val="21"/>
                      <w:szCs w:val="21"/>
                      <w:lang w:val="en-US" w:eastAsia="zh-CN"/>
                    </w:rPr>
                    <w:t>41</w:t>
                  </w:r>
                </w:p>
              </w:tc>
              <w:tc>
                <w:tcPr>
                  <w:tcW w:w="518" w:type="pct"/>
                  <w:tcBorders>
                    <w:tl2br w:val="nil"/>
                    <w:tr2bl w:val="nil"/>
                  </w:tcBorders>
                  <w:noWrap w:val="0"/>
                  <w:vAlign w:val="center"/>
                </w:tcPr>
                <w:p>
                  <w:pPr>
                    <w:pStyle w:val="6"/>
                    <w:adjustRightInd w:val="0"/>
                    <w:spacing w:before="0" w:after="0" w:line="240" w:lineRule="auto"/>
                    <w:ind w:right="0" w:rightChars="0"/>
                    <w:jc w:val="center"/>
                    <w:rPr>
                      <w:rFonts w:hint="default" w:eastAsia="宋体"/>
                      <w:bCs/>
                      <w:color w:val="auto"/>
                      <w:sz w:val="21"/>
                      <w:szCs w:val="21"/>
                      <w:lang w:val="en-US" w:eastAsia="zh-CN"/>
                    </w:rPr>
                  </w:pPr>
                  <w:r>
                    <w:rPr>
                      <w:rFonts w:hint="eastAsia"/>
                      <w:bCs/>
                      <w:color w:val="auto"/>
                      <w:sz w:val="21"/>
                      <w:szCs w:val="21"/>
                      <w:lang w:val="en-US" w:eastAsia="zh-CN"/>
                    </w:rPr>
                    <w:t>40</w:t>
                  </w:r>
                </w:p>
              </w:tc>
              <w:tc>
                <w:tcPr>
                  <w:tcW w:w="677" w:type="pct"/>
                  <w:vMerge w:val="continue"/>
                  <w:tcBorders>
                    <w:tl2br w:val="nil"/>
                    <w:tr2bl w:val="nil"/>
                  </w:tcBorders>
                  <w:noWrap w:val="0"/>
                  <w:vAlign w:val="center"/>
                </w:tcPr>
                <w:p>
                  <w:pPr>
                    <w:widowControl/>
                    <w:spacing w:line="240" w:lineRule="auto"/>
                    <w:jc w:val="center"/>
                    <w:rPr>
                      <w:rFonts w:hint="eastAsia" w:ascii="宋体" w:hAnsi="宋体" w:eastAsia="宋体" w:cs="宋体"/>
                      <w:bCs/>
                      <w:color w:val="auto"/>
                      <w:kern w:val="0"/>
                      <w:szCs w:val="21"/>
                      <w:lang w:val="en-US" w:eastAsia="zh-CN"/>
                    </w:rPr>
                  </w:pPr>
                </w:p>
              </w:tc>
              <w:tc>
                <w:tcPr>
                  <w:tcW w:w="650" w:type="pct"/>
                  <w:tcBorders>
                    <w:tl2br w:val="nil"/>
                    <w:tr2bl w:val="nil"/>
                  </w:tcBorders>
                  <w:noWrap w:val="0"/>
                  <w:vAlign w:val="center"/>
                </w:tcPr>
                <w:p>
                  <w:pPr>
                    <w:widowControl/>
                    <w:spacing w:line="240" w:lineRule="auto"/>
                    <w:jc w:val="center"/>
                    <w:rPr>
                      <w:rFonts w:hint="eastAsia" w:ascii="宋体" w:hAnsi="宋体" w:eastAsia="宋体" w:cs="宋体"/>
                      <w:bCs/>
                      <w:color w:val="auto"/>
                      <w:kern w:val="0"/>
                      <w:szCs w:val="21"/>
                      <w:lang w:val="en-US" w:eastAsia="zh-CN"/>
                    </w:rPr>
                  </w:pPr>
                  <w:r>
                    <w:rPr>
                      <w:rFonts w:hint="eastAsia" w:ascii="宋体" w:hAnsi="宋体" w:eastAsia="宋体" w:cs="宋体"/>
                      <w:bCs/>
                      <w:color w:val="auto"/>
                      <w:kern w:val="0"/>
                      <w:szCs w:val="21"/>
                      <w:lang w:val="en-US" w:eastAsia="zh-CN"/>
                    </w:rPr>
                    <w:t>达标</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200" w:type="pct"/>
                  <w:vMerge w:val="restart"/>
                  <w:tcBorders>
                    <w:tl2br w:val="nil"/>
                    <w:tr2bl w:val="nil"/>
                  </w:tcBorders>
                  <w:noWrap w:val="0"/>
                  <w:vAlign w:val="center"/>
                </w:tcPr>
                <w:p>
                  <w:pPr>
                    <w:widowControl/>
                    <w:spacing w:line="240" w:lineRule="auto"/>
                    <w:jc w:val="center"/>
                    <w:rPr>
                      <w:rFonts w:ascii="宋体" w:hAnsi="宋体" w:cs="宋体"/>
                      <w:bCs/>
                      <w:color w:val="auto"/>
                      <w:kern w:val="0"/>
                      <w:szCs w:val="21"/>
                    </w:rPr>
                  </w:pPr>
                  <w:r>
                    <w:rPr>
                      <w:rFonts w:hint="eastAsia" w:ascii="宋体" w:hAnsi="宋体" w:cs="宋体"/>
                      <w:bCs/>
                      <w:color w:val="auto"/>
                      <w:kern w:val="0"/>
                      <w:szCs w:val="21"/>
                      <w:lang w:val="en-US" w:eastAsia="zh-CN"/>
                    </w:rPr>
                    <w:t>N4</w:t>
                  </w:r>
                  <w:r>
                    <w:rPr>
                      <w:rFonts w:ascii="宋体" w:hAnsi="宋体" w:cs="宋体"/>
                      <w:bCs/>
                      <w:color w:val="auto"/>
                      <w:kern w:val="0"/>
                      <w:szCs w:val="21"/>
                    </w:rPr>
                    <w:t>拟建马头地光伏电站</w:t>
                  </w:r>
                  <w:r>
                    <w:rPr>
                      <w:rFonts w:hint="eastAsia" w:ascii="宋体" w:hAnsi="宋体" w:cs="宋体"/>
                      <w:bCs/>
                      <w:color w:val="auto"/>
                      <w:kern w:val="0"/>
                      <w:szCs w:val="21"/>
                    </w:rPr>
                    <w:t>升压站</w:t>
                  </w:r>
                </w:p>
              </w:tc>
              <w:tc>
                <w:tcPr>
                  <w:tcW w:w="1416" w:type="pct"/>
                  <w:tcBorders>
                    <w:tl2br w:val="nil"/>
                    <w:tr2bl w:val="nil"/>
                  </w:tcBorders>
                  <w:noWrap w:val="0"/>
                  <w:vAlign w:val="center"/>
                </w:tcPr>
                <w:p>
                  <w:pPr>
                    <w:pStyle w:val="27"/>
                    <w:spacing w:beforeLines="0" w:afterLines="0" w:line="240" w:lineRule="auto"/>
                    <w:ind w:firstLine="0" w:firstLineChars="0"/>
                    <w:textAlignment w:val="center"/>
                    <w:rPr>
                      <w:rFonts w:ascii="Times New Roman"/>
                      <w:b w:val="0"/>
                      <w:bCs/>
                      <w:color w:val="auto"/>
                      <w:sz w:val="21"/>
                    </w:rPr>
                  </w:pPr>
                  <w:r>
                    <w:rPr>
                      <w:rFonts w:hint="eastAsia" w:ascii="Times New Roman"/>
                      <w:b w:val="0"/>
                      <w:bCs/>
                      <w:color w:val="auto"/>
                      <w:sz w:val="21"/>
                      <w:lang w:val="en-US" w:eastAsia="zh-CN"/>
                    </w:rPr>
                    <w:t>2023.10.28-2023.10.29</w:t>
                  </w:r>
                </w:p>
              </w:tc>
              <w:tc>
                <w:tcPr>
                  <w:tcW w:w="538" w:type="pct"/>
                  <w:tcBorders>
                    <w:tl2br w:val="nil"/>
                    <w:tr2bl w:val="nil"/>
                  </w:tcBorders>
                  <w:noWrap w:val="0"/>
                  <w:vAlign w:val="center"/>
                </w:tcPr>
                <w:p>
                  <w:pPr>
                    <w:pStyle w:val="6"/>
                    <w:adjustRightInd w:val="0"/>
                    <w:spacing w:before="0" w:after="0" w:line="240" w:lineRule="auto"/>
                    <w:ind w:right="0"/>
                    <w:jc w:val="center"/>
                    <w:rPr>
                      <w:rFonts w:hint="default" w:eastAsia="宋体"/>
                      <w:bCs/>
                      <w:color w:val="auto"/>
                      <w:sz w:val="21"/>
                      <w:szCs w:val="21"/>
                      <w:lang w:val="en-US" w:eastAsia="zh-CN"/>
                    </w:rPr>
                  </w:pPr>
                  <w:r>
                    <w:rPr>
                      <w:rFonts w:hint="eastAsia"/>
                      <w:bCs/>
                      <w:color w:val="auto"/>
                      <w:sz w:val="21"/>
                      <w:szCs w:val="21"/>
                      <w:lang w:val="en-US" w:eastAsia="zh-CN"/>
                    </w:rPr>
                    <w:t>42</w:t>
                  </w:r>
                </w:p>
              </w:tc>
              <w:tc>
                <w:tcPr>
                  <w:tcW w:w="518" w:type="pct"/>
                  <w:tcBorders>
                    <w:tl2br w:val="nil"/>
                    <w:tr2bl w:val="nil"/>
                  </w:tcBorders>
                  <w:noWrap w:val="0"/>
                  <w:vAlign w:val="center"/>
                </w:tcPr>
                <w:p>
                  <w:pPr>
                    <w:pStyle w:val="6"/>
                    <w:adjustRightInd w:val="0"/>
                    <w:spacing w:before="0" w:after="0" w:line="240" w:lineRule="auto"/>
                    <w:ind w:right="0" w:rightChars="0"/>
                    <w:jc w:val="center"/>
                    <w:rPr>
                      <w:rFonts w:hint="default" w:eastAsia="宋体"/>
                      <w:bCs/>
                      <w:color w:val="auto"/>
                      <w:sz w:val="21"/>
                      <w:szCs w:val="21"/>
                      <w:lang w:val="en-US" w:eastAsia="zh-CN"/>
                    </w:rPr>
                  </w:pPr>
                  <w:r>
                    <w:rPr>
                      <w:rFonts w:hint="eastAsia"/>
                      <w:bCs/>
                      <w:color w:val="auto"/>
                      <w:sz w:val="21"/>
                      <w:szCs w:val="21"/>
                      <w:lang w:val="en-US" w:eastAsia="zh-CN"/>
                    </w:rPr>
                    <w:t>39</w:t>
                  </w:r>
                </w:p>
              </w:tc>
              <w:tc>
                <w:tcPr>
                  <w:tcW w:w="677" w:type="pct"/>
                  <w:vMerge w:val="continue"/>
                  <w:tcBorders>
                    <w:tl2br w:val="nil"/>
                    <w:tr2bl w:val="nil"/>
                  </w:tcBorders>
                  <w:noWrap w:val="0"/>
                  <w:vAlign w:val="center"/>
                </w:tcPr>
                <w:p>
                  <w:pPr>
                    <w:widowControl/>
                    <w:spacing w:line="240" w:lineRule="auto"/>
                    <w:jc w:val="center"/>
                    <w:rPr>
                      <w:rFonts w:hint="eastAsia" w:ascii="宋体" w:hAnsi="宋体" w:eastAsia="宋体" w:cs="宋体"/>
                      <w:bCs/>
                      <w:color w:val="auto"/>
                      <w:kern w:val="0"/>
                      <w:szCs w:val="21"/>
                      <w:lang w:val="en-US" w:eastAsia="zh-CN"/>
                    </w:rPr>
                  </w:pPr>
                </w:p>
              </w:tc>
              <w:tc>
                <w:tcPr>
                  <w:tcW w:w="650" w:type="pct"/>
                  <w:tcBorders>
                    <w:tl2br w:val="nil"/>
                    <w:tr2bl w:val="nil"/>
                  </w:tcBorders>
                  <w:noWrap w:val="0"/>
                  <w:vAlign w:val="center"/>
                </w:tcPr>
                <w:p>
                  <w:pPr>
                    <w:widowControl/>
                    <w:spacing w:line="240" w:lineRule="auto"/>
                    <w:jc w:val="center"/>
                    <w:rPr>
                      <w:rFonts w:hint="eastAsia" w:ascii="宋体" w:hAnsi="宋体" w:eastAsia="宋体" w:cs="宋体"/>
                      <w:bCs/>
                      <w:color w:val="auto"/>
                      <w:kern w:val="0"/>
                      <w:szCs w:val="21"/>
                      <w:lang w:val="en-US" w:eastAsia="zh-CN"/>
                    </w:rPr>
                  </w:pPr>
                  <w:r>
                    <w:rPr>
                      <w:rFonts w:hint="eastAsia" w:ascii="宋体" w:hAnsi="宋体" w:eastAsia="宋体" w:cs="宋体"/>
                      <w:bCs/>
                      <w:color w:val="auto"/>
                      <w:kern w:val="0"/>
                      <w:szCs w:val="21"/>
                      <w:lang w:val="en-US" w:eastAsia="zh-CN"/>
                    </w:rPr>
                    <w:t>达标</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200" w:type="pct"/>
                  <w:vMerge w:val="continue"/>
                  <w:tcBorders>
                    <w:tl2br w:val="nil"/>
                    <w:tr2bl w:val="nil"/>
                  </w:tcBorders>
                  <w:noWrap w:val="0"/>
                  <w:vAlign w:val="center"/>
                </w:tcPr>
                <w:p>
                  <w:pPr>
                    <w:pStyle w:val="27"/>
                    <w:spacing w:beforeLines="0" w:afterLines="0" w:line="240" w:lineRule="auto"/>
                    <w:textAlignment w:val="center"/>
                    <w:rPr>
                      <w:rFonts w:hint="eastAsia" w:hAnsi="宋体" w:cs="宋体"/>
                      <w:b w:val="0"/>
                      <w:bCs/>
                      <w:color w:val="auto"/>
                      <w:sz w:val="21"/>
                    </w:rPr>
                  </w:pPr>
                </w:p>
              </w:tc>
              <w:tc>
                <w:tcPr>
                  <w:tcW w:w="1416" w:type="pct"/>
                  <w:tcBorders>
                    <w:tl2br w:val="nil"/>
                    <w:tr2bl w:val="nil"/>
                  </w:tcBorders>
                  <w:noWrap w:val="0"/>
                  <w:vAlign w:val="center"/>
                </w:tcPr>
                <w:p>
                  <w:pPr>
                    <w:adjustRightInd w:val="0"/>
                    <w:snapToGrid w:val="0"/>
                    <w:spacing w:line="240" w:lineRule="auto"/>
                    <w:jc w:val="center"/>
                    <w:textAlignment w:val="center"/>
                    <w:rPr>
                      <w:bCs/>
                      <w:color w:val="auto"/>
                      <w:kern w:val="0"/>
                      <w:szCs w:val="21"/>
                    </w:rPr>
                  </w:pPr>
                  <w:r>
                    <w:rPr>
                      <w:rFonts w:hint="eastAsia"/>
                      <w:bCs/>
                      <w:color w:val="auto"/>
                      <w:lang w:val="en-US" w:eastAsia="zh-CN"/>
                    </w:rPr>
                    <w:t>2023.10.29-2023.10.30</w:t>
                  </w:r>
                </w:p>
              </w:tc>
              <w:tc>
                <w:tcPr>
                  <w:tcW w:w="538" w:type="pct"/>
                  <w:tcBorders>
                    <w:tl2br w:val="nil"/>
                    <w:tr2bl w:val="nil"/>
                  </w:tcBorders>
                  <w:noWrap w:val="0"/>
                  <w:vAlign w:val="center"/>
                </w:tcPr>
                <w:p>
                  <w:pPr>
                    <w:pStyle w:val="6"/>
                    <w:adjustRightInd w:val="0"/>
                    <w:spacing w:before="0" w:after="0" w:line="240" w:lineRule="auto"/>
                    <w:ind w:right="0"/>
                    <w:jc w:val="center"/>
                    <w:rPr>
                      <w:rFonts w:hint="default" w:eastAsia="宋体"/>
                      <w:bCs/>
                      <w:color w:val="auto"/>
                      <w:sz w:val="21"/>
                      <w:szCs w:val="21"/>
                      <w:lang w:val="en-US" w:eastAsia="zh-CN"/>
                    </w:rPr>
                  </w:pPr>
                  <w:r>
                    <w:rPr>
                      <w:rFonts w:hint="eastAsia"/>
                      <w:bCs/>
                      <w:color w:val="auto"/>
                      <w:sz w:val="21"/>
                      <w:szCs w:val="21"/>
                      <w:lang w:val="en-US" w:eastAsia="zh-CN"/>
                    </w:rPr>
                    <w:t>41</w:t>
                  </w:r>
                </w:p>
              </w:tc>
              <w:tc>
                <w:tcPr>
                  <w:tcW w:w="518" w:type="pct"/>
                  <w:tcBorders>
                    <w:tl2br w:val="nil"/>
                    <w:tr2bl w:val="nil"/>
                  </w:tcBorders>
                  <w:noWrap w:val="0"/>
                  <w:vAlign w:val="center"/>
                </w:tcPr>
                <w:p>
                  <w:pPr>
                    <w:pStyle w:val="6"/>
                    <w:adjustRightInd w:val="0"/>
                    <w:spacing w:before="0" w:after="0" w:line="240" w:lineRule="auto"/>
                    <w:ind w:right="0" w:rightChars="0"/>
                    <w:jc w:val="center"/>
                    <w:rPr>
                      <w:rFonts w:hint="default" w:eastAsia="宋体"/>
                      <w:bCs/>
                      <w:color w:val="auto"/>
                      <w:sz w:val="21"/>
                      <w:szCs w:val="21"/>
                      <w:lang w:val="en-US" w:eastAsia="zh-CN"/>
                    </w:rPr>
                  </w:pPr>
                  <w:r>
                    <w:rPr>
                      <w:rFonts w:hint="eastAsia"/>
                      <w:bCs/>
                      <w:color w:val="auto"/>
                      <w:sz w:val="21"/>
                      <w:szCs w:val="21"/>
                      <w:lang w:val="en-US" w:eastAsia="zh-CN"/>
                    </w:rPr>
                    <w:t>40</w:t>
                  </w:r>
                </w:p>
              </w:tc>
              <w:tc>
                <w:tcPr>
                  <w:tcW w:w="677" w:type="pct"/>
                  <w:vMerge w:val="continue"/>
                  <w:tcBorders>
                    <w:tl2br w:val="nil"/>
                    <w:tr2bl w:val="nil"/>
                  </w:tcBorders>
                  <w:noWrap w:val="0"/>
                  <w:vAlign w:val="center"/>
                </w:tcPr>
                <w:p>
                  <w:pPr>
                    <w:widowControl/>
                    <w:spacing w:line="240" w:lineRule="auto"/>
                    <w:jc w:val="center"/>
                    <w:rPr>
                      <w:rFonts w:hint="eastAsia" w:ascii="宋体" w:hAnsi="宋体" w:eastAsia="宋体" w:cs="宋体"/>
                      <w:bCs/>
                      <w:color w:val="auto"/>
                      <w:kern w:val="0"/>
                      <w:szCs w:val="21"/>
                      <w:lang w:val="en-US" w:eastAsia="zh-CN"/>
                    </w:rPr>
                  </w:pPr>
                </w:p>
              </w:tc>
              <w:tc>
                <w:tcPr>
                  <w:tcW w:w="650" w:type="pct"/>
                  <w:tcBorders>
                    <w:tl2br w:val="nil"/>
                    <w:tr2bl w:val="nil"/>
                  </w:tcBorders>
                  <w:noWrap w:val="0"/>
                  <w:vAlign w:val="center"/>
                </w:tcPr>
                <w:p>
                  <w:pPr>
                    <w:widowControl/>
                    <w:spacing w:line="240" w:lineRule="auto"/>
                    <w:jc w:val="center"/>
                    <w:rPr>
                      <w:rFonts w:hint="eastAsia" w:ascii="宋体" w:hAnsi="宋体" w:eastAsia="宋体" w:cs="宋体"/>
                      <w:bCs/>
                      <w:color w:val="auto"/>
                      <w:kern w:val="0"/>
                      <w:szCs w:val="21"/>
                      <w:lang w:val="en-US" w:eastAsia="zh-CN"/>
                    </w:rPr>
                  </w:pPr>
                  <w:r>
                    <w:rPr>
                      <w:rFonts w:hint="eastAsia" w:ascii="宋体" w:hAnsi="宋体" w:eastAsia="宋体" w:cs="宋体"/>
                      <w:bCs/>
                      <w:color w:val="auto"/>
                      <w:kern w:val="0"/>
                      <w:szCs w:val="21"/>
                      <w:lang w:val="en-US" w:eastAsia="zh-CN"/>
                    </w:rPr>
                    <w:t>达标</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200" w:type="pct"/>
                  <w:vMerge w:val="restart"/>
                  <w:tcBorders>
                    <w:tl2br w:val="nil"/>
                    <w:tr2bl w:val="nil"/>
                  </w:tcBorders>
                  <w:noWrap w:val="0"/>
                  <w:vAlign w:val="center"/>
                </w:tcPr>
                <w:p>
                  <w:pPr>
                    <w:pStyle w:val="27"/>
                    <w:spacing w:beforeLines="0" w:afterLines="0" w:line="240" w:lineRule="auto"/>
                    <w:textAlignment w:val="center"/>
                    <w:rPr>
                      <w:rFonts w:hint="default" w:hAnsi="宋体" w:eastAsia="宋体" w:cs="宋体"/>
                      <w:b w:val="0"/>
                      <w:bCs/>
                      <w:color w:val="auto"/>
                      <w:sz w:val="21"/>
                      <w:lang w:val="en-US" w:eastAsia="zh-CN"/>
                    </w:rPr>
                  </w:pPr>
                  <w:r>
                    <w:rPr>
                      <w:rFonts w:hint="eastAsia" w:hAnsi="宋体" w:cs="宋体"/>
                      <w:b w:val="0"/>
                      <w:bCs/>
                      <w:color w:val="auto"/>
                      <w:sz w:val="21"/>
                      <w:lang w:val="en-US" w:eastAsia="zh-CN"/>
                    </w:rPr>
                    <w:t>N5光伏阵列区厂界处</w:t>
                  </w:r>
                </w:p>
              </w:tc>
              <w:tc>
                <w:tcPr>
                  <w:tcW w:w="1416" w:type="pct"/>
                  <w:tcBorders>
                    <w:tl2br w:val="nil"/>
                    <w:tr2bl w:val="nil"/>
                  </w:tcBorders>
                  <w:noWrap w:val="0"/>
                  <w:vAlign w:val="center"/>
                </w:tcPr>
                <w:p>
                  <w:pPr>
                    <w:pStyle w:val="27"/>
                    <w:spacing w:beforeLines="0" w:afterLines="0" w:line="240" w:lineRule="auto"/>
                    <w:ind w:firstLine="0" w:firstLineChars="0"/>
                    <w:textAlignment w:val="center"/>
                    <w:rPr>
                      <w:bCs/>
                      <w:color w:val="auto"/>
                    </w:rPr>
                  </w:pPr>
                  <w:r>
                    <w:rPr>
                      <w:rFonts w:hint="eastAsia" w:ascii="Times New Roman"/>
                      <w:b w:val="0"/>
                      <w:bCs/>
                      <w:color w:val="auto"/>
                      <w:sz w:val="21"/>
                      <w:lang w:val="en-US" w:eastAsia="zh-CN"/>
                    </w:rPr>
                    <w:t>2023.10.28-2023.10.29</w:t>
                  </w:r>
                </w:p>
              </w:tc>
              <w:tc>
                <w:tcPr>
                  <w:tcW w:w="538" w:type="pct"/>
                  <w:tcBorders>
                    <w:tl2br w:val="nil"/>
                    <w:tr2bl w:val="nil"/>
                  </w:tcBorders>
                  <w:noWrap w:val="0"/>
                  <w:vAlign w:val="center"/>
                </w:tcPr>
                <w:p>
                  <w:pPr>
                    <w:pStyle w:val="6"/>
                    <w:adjustRightInd w:val="0"/>
                    <w:spacing w:before="0" w:after="0" w:line="240" w:lineRule="auto"/>
                    <w:ind w:right="0"/>
                    <w:jc w:val="center"/>
                    <w:rPr>
                      <w:rFonts w:hint="default" w:eastAsia="宋体"/>
                      <w:bCs/>
                      <w:color w:val="auto"/>
                      <w:sz w:val="21"/>
                      <w:szCs w:val="21"/>
                      <w:lang w:val="en-US" w:eastAsia="zh-CN"/>
                    </w:rPr>
                  </w:pPr>
                  <w:r>
                    <w:rPr>
                      <w:rFonts w:hint="eastAsia"/>
                      <w:bCs/>
                      <w:color w:val="auto"/>
                      <w:sz w:val="21"/>
                      <w:szCs w:val="21"/>
                      <w:lang w:val="en-US" w:eastAsia="zh-CN"/>
                    </w:rPr>
                    <w:t>40</w:t>
                  </w:r>
                </w:p>
              </w:tc>
              <w:tc>
                <w:tcPr>
                  <w:tcW w:w="518" w:type="pct"/>
                  <w:tcBorders>
                    <w:tl2br w:val="nil"/>
                    <w:tr2bl w:val="nil"/>
                  </w:tcBorders>
                  <w:noWrap w:val="0"/>
                  <w:vAlign w:val="center"/>
                </w:tcPr>
                <w:p>
                  <w:pPr>
                    <w:pStyle w:val="6"/>
                    <w:adjustRightInd w:val="0"/>
                    <w:spacing w:before="0" w:after="0" w:line="240" w:lineRule="auto"/>
                    <w:ind w:right="0"/>
                    <w:jc w:val="center"/>
                    <w:rPr>
                      <w:rFonts w:hint="default" w:eastAsia="宋体"/>
                      <w:bCs/>
                      <w:color w:val="auto"/>
                      <w:sz w:val="21"/>
                      <w:szCs w:val="21"/>
                      <w:lang w:val="en-US" w:eastAsia="zh-CN"/>
                    </w:rPr>
                  </w:pPr>
                  <w:r>
                    <w:rPr>
                      <w:rFonts w:hint="eastAsia"/>
                      <w:bCs/>
                      <w:color w:val="auto"/>
                      <w:sz w:val="21"/>
                      <w:szCs w:val="21"/>
                      <w:lang w:val="en-US" w:eastAsia="zh-CN"/>
                    </w:rPr>
                    <w:t>38</w:t>
                  </w:r>
                </w:p>
              </w:tc>
              <w:tc>
                <w:tcPr>
                  <w:tcW w:w="677" w:type="pct"/>
                  <w:vMerge w:val="continue"/>
                  <w:tcBorders>
                    <w:tl2br w:val="nil"/>
                    <w:tr2bl w:val="nil"/>
                  </w:tcBorders>
                  <w:noWrap w:val="0"/>
                  <w:vAlign w:val="center"/>
                </w:tcPr>
                <w:p>
                  <w:pPr>
                    <w:widowControl/>
                    <w:spacing w:line="240" w:lineRule="auto"/>
                    <w:jc w:val="center"/>
                    <w:rPr>
                      <w:rFonts w:hint="eastAsia" w:ascii="宋体" w:hAnsi="宋体" w:eastAsia="宋体" w:cs="宋体"/>
                      <w:bCs/>
                      <w:color w:val="auto"/>
                      <w:kern w:val="0"/>
                      <w:szCs w:val="21"/>
                      <w:lang w:val="en-US" w:eastAsia="zh-CN"/>
                    </w:rPr>
                  </w:pPr>
                </w:p>
              </w:tc>
              <w:tc>
                <w:tcPr>
                  <w:tcW w:w="650" w:type="pct"/>
                  <w:tcBorders>
                    <w:tl2br w:val="nil"/>
                    <w:tr2bl w:val="nil"/>
                  </w:tcBorders>
                  <w:noWrap w:val="0"/>
                  <w:vAlign w:val="center"/>
                </w:tcPr>
                <w:p>
                  <w:pPr>
                    <w:widowControl/>
                    <w:spacing w:line="240" w:lineRule="auto"/>
                    <w:jc w:val="center"/>
                    <w:rPr>
                      <w:rFonts w:hint="eastAsia" w:ascii="宋体" w:hAnsi="宋体" w:eastAsia="宋体" w:cs="宋体"/>
                      <w:bCs/>
                      <w:color w:val="auto"/>
                      <w:kern w:val="0"/>
                      <w:szCs w:val="21"/>
                      <w:lang w:val="en-US" w:eastAsia="zh-CN"/>
                    </w:rPr>
                  </w:pPr>
                  <w:r>
                    <w:rPr>
                      <w:rFonts w:hint="eastAsia" w:ascii="宋体" w:hAnsi="宋体" w:eastAsia="宋体" w:cs="宋体"/>
                      <w:bCs/>
                      <w:color w:val="auto"/>
                      <w:kern w:val="0"/>
                      <w:szCs w:val="21"/>
                      <w:lang w:val="en-US" w:eastAsia="zh-CN"/>
                    </w:rPr>
                    <w:t>达标</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200" w:type="pct"/>
                  <w:vMerge w:val="continue"/>
                  <w:tcBorders>
                    <w:tl2br w:val="nil"/>
                    <w:tr2bl w:val="nil"/>
                  </w:tcBorders>
                  <w:noWrap w:val="0"/>
                  <w:vAlign w:val="center"/>
                </w:tcPr>
                <w:p>
                  <w:pPr>
                    <w:pStyle w:val="27"/>
                    <w:spacing w:beforeLines="0" w:afterLines="0" w:line="240" w:lineRule="auto"/>
                    <w:textAlignment w:val="center"/>
                    <w:rPr>
                      <w:rFonts w:hint="eastAsia" w:hAnsi="宋体" w:cs="宋体"/>
                      <w:b w:val="0"/>
                      <w:bCs/>
                      <w:color w:val="auto"/>
                      <w:sz w:val="21"/>
                    </w:rPr>
                  </w:pPr>
                </w:p>
              </w:tc>
              <w:tc>
                <w:tcPr>
                  <w:tcW w:w="1416" w:type="pct"/>
                  <w:tcBorders>
                    <w:tl2br w:val="nil"/>
                    <w:tr2bl w:val="nil"/>
                  </w:tcBorders>
                  <w:noWrap w:val="0"/>
                  <w:vAlign w:val="center"/>
                </w:tcPr>
                <w:p>
                  <w:pPr>
                    <w:adjustRightInd w:val="0"/>
                    <w:snapToGrid w:val="0"/>
                    <w:spacing w:line="240" w:lineRule="auto"/>
                    <w:jc w:val="center"/>
                    <w:textAlignment w:val="center"/>
                    <w:rPr>
                      <w:bCs/>
                      <w:color w:val="auto"/>
                    </w:rPr>
                  </w:pPr>
                  <w:r>
                    <w:rPr>
                      <w:rFonts w:hint="eastAsia"/>
                      <w:bCs/>
                      <w:color w:val="auto"/>
                      <w:lang w:val="en-US" w:eastAsia="zh-CN"/>
                    </w:rPr>
                    <w:t>2023.10.29-2023.10.30</w:t>
                  </w:r>
                </w:p>
              </w:tc>
              <w:tc>
                <w:tcPr>
                  <w:tcW w:w="538" w:type="pct"/>
                  <w:tcBorders>
                    <w:tl2br w:val="nil"/>
                    <w:tr2bl w:val="nil"/>
                  </w:tcBorders>
                  <w:noWrap w:val="0"/>
                  <w:vAlign w:val="center"/>
                </w:tcPr>
                <w:p>
                  <w:pPr>
                    <w:pStyle w:val="6"/>
                    <w:adjustRightInd w:val="0"/>
                    <w:spacing w:before="0" w:after="0" w:line="240" w:lineRule="auto"/>
                    <w:ind w:right="0"/>
                    <w:jc w:val="center"/>
                    <w:rPr>
                      <w:rFonts w:hint="default" w:eastAsia="宋体"/>
                      <w:bCs/>
                      <w:color w:val="auto"/>
                      <w:sz w:val="21"/>
                      <w:szCs w:val="21"/>
                      <w:lang w:val="en-US" w:eastAsia="zh-CN"/>
                    </w:rPr>
                  </w:pPr>
                  <w:r>
                    <w:rPr>
                      <w:rFonts w:hint="eastAsia"/>
                      <w:bCs/>
                      <w:color w:val="auto"/>
                      <w:sz w:val="21"/>
                      <w:szCs w:val="21"/>
                      <w:lang w:val="en-US" w:eastAsia="zh-CN"/>
                    </w:rPr>
                    <w:t>41</w:t>
                  </w:r>
                </w:p>
              </w:tc>
              <w:tc>
                <w:tcPr>
                  <w:tcW w:w="518" w:type="pct"/>
                  <w:tcBorders>
                    <w:tl2br w:val="nil"/>
                    <w:tr2bl w:val="nil"/>
                  </w:tcBorders>
                  <w:noWrap w:val="0"/>
                  <w:vAlign w:val="center"/>
                </w:tcPr>
                <w:p>
                  <w:pPr>
                    <w:pStyle w:val="6"/>
                    <w:adjustRightInd w:val="0"/>
                    <w:spacing w:before="0" w:after="0" w:line="240" w:lineRule="auto"/>
                    <w:ind w:right="0"/>
                    <w:jc w:val="center"/>
                    <w:rPr>
                      <w:rFonts w:hint="default" w:eastAsia="宋体"/>
                      <w:bCs/>
                      <w:color w:val="auto"/>
                      <w:sz w:val="21"/>
                      <w:szCs w:val="21"/>
                      <w:lang w:val="en-US" w:eastAsia="zh-CN"/>
                    </w:rPr>
                  </w:pPr>
                  <w:r>
                    <w:rPr>
                      <w:rFonts w:hint="eastAsia"/>
                      <w:bCs/>
                      <w:color w:val="auto"/>
                      <w:sz w:val="21"/>
                      <w:szCs w:val="21"/>
                      <w:lang w:val="en-US" w:eastAsia="zh-CN"/>
                    </w:rPr>
                    <w:t>39</w:t>
                  </w:r>
                </w:p>
              </w:tc>
              <w:tc>
                <w:tcPr>
                  <w:tcW w:w="677" w:type="pct"/>
                  <w:vMerge w:val="continue"/>
                  <w:tcBorders>
                    <w:tl2br w:val="nil"/>
                    <w:tr2bl w:val="nil"/>
                  </w:tcBorders>
                  <w:noWrap w:val="0"/>
                  <w:vAlign w:val="center"/>
                </w:tcPr>
                <w:p>
                  <w:pPr>
                    <w:widowControl/>
                    <w:spacing w:line="240" w:lineRule="auto"/>
                    <w:jc w:val="center"/>
                    <w:rPr>
                      <w:rFonts w:hint="eastAsia" w:ascii="宋体" w:hAnsi="宋体" w:eastAsia="宋体" w:cs="宋体"/>
                      <w:bCs/>
                      <w:color w:val="auto"/>
                      <w:kern w:val="0"/>
                      <w:szCs w:val="21"/>
                      <w:lang w:val="en-US" w:eastAsia="zh-CN"/>
                    </w:rPr>
                  </w:pPr>
                </w:p>
              </w:tc>
              <w:tc>
                <w:tcPr>
                  <w:tcW w:w="650" w:type="pct"/>
                  <w:tcBorders>
                    <w:tl2br w:val="nil"/>
                    <w:tr2bl w:val="nil"/>
                  </w:tcBorders>
                  <w:noWrap w:val="0"/>
                  <w:vAlign w:val="center"/>
                </w:tcPr>
                <w:p>
                  <w:pPr>
                    <w:widowControl/>
                    <w:spacing w:line="240" w:lineRule="auto"/>
                    <w:jc w:val="center"/>
                    <w:rPr>
                      <w:rFonts w:hint="eastAsia" w:ascii="宋体" w:hAnsi="宋体" w:eastAsia="宋体" w:cs="宋体"/>
                      <w:bCs/>
                      <w:color w:val="auto"/>
                      <w:kern w:val="0"/>
                      <w:szCs w:val="21"/>
                      <w:lang w:val="en-US" w:eastAsia="zh-CN"/>
                    </w:rPr>
                  </w:pPr>
                  <w:r>
                    <w:rPr>
                      <w:rFonts w:hint="eastAsia" w:ascii="宋体" w:hAnsi="宋体" w:eastAsia="宋体" w:cs="宋体"/>
                      <w:bCs/>
                      <w:color w:val="auto"/>
                      <w:kern w:val="0"/>
                      <w:szCs w:val="21"/>
                      <w:lang w:val="en-US" w:eastAsia="zh-CN"/>
                    </w:rPr>
                    <w:t>达标</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200" w:type="pct"/>
                  <w:vMerge w:val="restart"/>
                  <w:tcBorders>
                    <w:tl2br w:val="nil"/>
                    <w:tr2bl w:val="nil"/>
                  </w:tcBorders>
                  <w:noWrap w:val="0"/>
                  <w:vAlign w:val="center"/>
                </w:tcPr>
                <w:p>
                  <w:pPr>
                    <w:pStyle w:val="27"/>
                    <w:spacing w:beforeLines="0" w:afterLines="0" w:line="240" w:lineRule="auto"/>
                    <w:textAlignment w:val="center"/>
                    <w:rPr>
                      <w:rFonts w:hint="default" w:hAnsi="宋体" w:eastAsia="宋体" w:cs="宋体"/>
                      <w:b w:val="0"/>
                      <w:bCs/>
                      <w:color w:val="auto"/>
                      <w:sz w:val="21"/>
                      <w:lang w:val="en-US" w:eastAsia="zh-CN"/>
                    </w:rPr>
                  </w:pPr>
                  <w:r>
                    <w:rPr>
                      <w:rFonts w:hint="eastAsia" w:hAnsi="宋体" w:cs="宋体"/>
                      <w:b w:val="0"/>
                      <w:bCs/>
                      <w:color w:val="auto"/>
                      <w:sz w:val="21"/>
                      <w:lang w:val="en-US" w:eastAsia="zh-CN"/>
                    </w:rPr>
                    <w:t>N6路古么村</w:t>
                  </w:r>
                </w:p>
              </w:tc>
              <w:tc>
                <w:tcPr>
                  <w:tcW w:w="1416" w:type="pct"/>
                  <w:tcBorders>
                    <w:tl2br w:val="nil"/>
                    <w:tr2bl w:val="nil"/>
                  </w:tcBorders>
                  <w:noWrap w:val="0"/>
                  <w:vAlign w:val="center"/>
                </w:tcPr>
                <w:p>
                  <w:pPr>
                    <w:pStyle w:val="27"/>
                    <w:spacing w:beforeLines="0" w:afterLines="0" w:line="240" w:lineRule="auto"/>
                    <w:ind w:firstLine="0" w:firstLineChars="0"/>
                    <w:textAlignment w:val="center"/>
                    <w:rPr>
                      <w:bCs/>
                      <w:color w:val="auto"/>
                    </w:rPr>
                  </w:pPr>
                  <w:r>
                    <w:rPr>
                      <w:rFonts w:hint="eastAsia" w:ascii="Times New Roman"/>
                      <w:b w:val="0"/>
                      <w:bCs/>
                      <w:color w:val="auto"/>
                      <w:sz w:val="21"/>
                      <w:lang w:val="en-US" w:eastAsia="zh-CN"/>
                    </w:rPr>
                    <w:t>2023.10.28-2023.10.29</w:t>
                  </w:r>
                </w:p>
              </w:tc>
              <w:tc>
                <w:tcPr>
                  <w:tcW w:w="538" w:type="pct"/>
                  <w:tcBorders>
                    <w:tl2br w:val="nil"/>
                    <w:tr2bl w:val="nil"/>
                  </w:tcBorders>
                  <w:noWrap w:val="0"/>
                  <w:vAlign w:val="center"/>
                </w:tcPr>
                <w:p>
                  <w:pPr>
                    <w:pStyle w:val="6"/>
                    <w:adjustRightInd w:val="0"/>
                    <w:spacing w:before="0" w:after="0" w:line="240" w:lineRule="auto"/>
                    <w:ind w:right="0"/>
                    <w:jc w:val="center"/>
                    <w:rPr>
                      <w:rFonts w:hint="default" w:eastAsia="宋体"/>
                      <w:bCs/>
                      <w:color w:val="auto"/>
                      <w:sz w:val="21"/>
                      <w:szCs w:val="21"/>
                      <w:lang w:val="en-US" w:eastAsia="zh-CN"/>
                    </w:rPr>
                  </w:pPr>
                  <w:r>
                    <w:rPr>
                      <w:rFonts w:hint="eastAsia"/>
                      <w:bCs/>
                      <w:color w:val="auto"/>
                      <w:sz w:val="21"/>
                      <w:szCs w:val="21"/>
                      <w:lang w:val="en-US" w:eastAsia="zh-CN"/>
                    </w:rPr>
                    <w:t>42</w:t>
                  </w:r>
                </w:p>
              </w:tc>
              <w:tc>
                <w:tcPr>
                  <w:tcW w:w="518" w:type="pct"/>
                  <w:tcBorders>
                    <w:tl2br w:val="nil"/>
                    <w:tr2bl w:val="nil"/>
                  </w:tcBorders>
                  <w:noWrap w:val="0"/>
                  <w:vAlign w:val="center"/>
                </w:tcPr>
                <w:p>
                  <w:pPr>
                    <w:pStyle w:val="6"/>
                    <w:adjustRightInd w:val="0"/>
                    <w:spacing w:before="0" w:after="0" w:line="240" w:lineRule="auto"/>
                    <w:ind w:right="0"/>
                    <w:jc w:val="center"/>
                    <w:rPr>
                      <w:rFonts w:hint="default" w:eastAsia="宋体"/>
                      <w:bCs/>
                      <w:color w:val="auto"/>
                      <w:sz w:val="21"/>
                      <w:szCs w:val="21"/>
                      <w:lang w:val="en-US" w:eastAsia="zh-CN"/>
                    </w:rPr>
                  </w:pPr>
                  <w:r>
                    <w:rPr>
                      <w:rFonts w:hint="eastAsia"/>
                      <w:bCs/>
                      <w:color w:val="auto"/>
                      <w:sz w:val="21"/>
                      <w:szCs w:val="21"/>
                      <w:lang w:val="en-US" w:eastAsia="zh-CN"/>
                    </w:rPr>
                    <w:t>40</w:t>
                  </w:r>
                </w:p>
              </w:tc>
              <w:tc>
                <w:tcPr>
                  <w:tcW w:w="677" w:type="pct"/>
                  <w:vMerge w:val="continue"/>
                  <w:tcBorders>
                    <w:tl2br w:val="nil"/>
                    <w:tr2bl w:val="nil"/>
                  </w:tcBorders>
                  <w:noWrap w:val="0"/>
                  <w:vAlign w:val="center"/>
                </w:tcPr>
                <w:p>
                  <w:pPr>
                    <w:widowControl/>
                    <w:spacing w:line="240" w:lineRule="auto"/>
                    <w:jc w:val="center"/>
                    <w:rPr>
                      <w:rFonts w:hint="eastAsia" w:ascii="宋体" w:hAnsi="宋体" w:eastAsia="宋体" w:cs="宋体"/>
                      <w:bCs/>
                      <w:color w:val="auto"/>
                      <w:kern w:val="0"/>
                      <w:szCs w:val="21"/>
                      <w:lang w:val="en-US" w:eastAsia="zh-CN"/>
                    </w:rPr>
                  </w:pPr>
                </w:p>
              </w:tc>
              <w:tc>
                <w:tcPr>
                  <w:tcW w:w="650" w:type="pct"/>
                  <w:tcBorders>
                    <w:tl2br w:val="nil"/>
                    <w:tr2bl w:val="nil"/>
                  </w:tcBorders>
                  <w:noWrap w:val="0"/>
                  <w:vAlign w:val="center"/>
                </w:tcPr>
                <w:p>
                  <w:pPr>
                    <w:widowControl/>
                    <w:spacing w:line="240" w:lineRule="auto"/>
                    <w:jc w:val="center"/>
                    <w:rPr>
                      <w:rFonts w:hint="eastAsia" w:ascii="宋体" w:hAnsi="宋体" w:eastAsia="宋体" w:cs="宋体"/>
                      <w:bCs/>
                      <w:color w:val="auto"/>
                      <w:kern w:val="0"/>
                      <w:szCs w:val="21"/>
                      <w:lang w:val="en-US" w:eastAsia="zh-CN"/>
                    </w:rPr>
                  </w:pPr>
                  <w:r>
                    <w:rPr>
                      <w:rFonts w:hint="eastAsia" w:ascii="宋体" w:hAnsi="宋体" w:eastAsia="宋体" w:cs="宋体"/>
                      <w:bCs/>
                      <w:color w:val="auto"/>
                      <w:kern w:val="0"/>
                      <w:szCs w:val="21"/>
                      <w:lang w:val="en-US" w:eastAsia="zh-CN"/>
                    </w:rPr>
                    <w:t>达标</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200" w:type="pct"/>
                  <w:vMerge w:val="continue"/>
                  <w:tcBorders>
                    <w:tl2br w:val="nil"/>
                    <w:tr2bl w:val="nil"/>
                  </w:tcBorders>
                  <w:noWrap w:val="0"/>
                  <w:vAlign w:val="center"/>
                </w:tcPr>
                <w:p>
                  <w:pPr>
                    <w:pStyle w:val="27"/>
                    <w:spacing w:beforeLines="0" w:afterLines="0" w:line="240" w:lineRule="auto"/>
                    <w:textAlignment w:val="center"/>
                    <w:rPr>
                      <w:rFonts w:hint="eastAsia" w:hAnsi="宋体" w:cs="宋体"/>
                      <w:b w:val="0"/>
                      <w:bCs/>
                      <w:color w:val="auto"/>
                      <w:sz w:val="21"/>
                    </w:rPr>
                  </w:pPr>
                </w:p>
              </w:tc>
              <w:tc>
                <w:tcPr>
                  <w:tcW w:w="1416" w:type="pct"/>
                  <w:tcBorders>
                    <w:tl2br w:val="nil"/>
                    <w:tr2bl w:val="nil"/>
                  </w:tcBorders>
                  <w:noWrap w:val="0"/>
                  <w:vAlign w:val="center"/>
                </w:tcPr>
                <w:p>
                  <w:pPr>
                    <w:adjustRightInd w:val="0"/>
                    <w:snapToGrid w:val="0"/>
                    <w:spacing w:line="240" w:lineRule="auto"/>
                    <w:jc w:val="center"/>
                    <w:textAlignment w:val="center"/>
                    <w:rPr>
                      <w:bCs/>
                      <w:color w:val="auto"/>
                    </w:rPr>
                  </w:pPr>
                  <w:r>
                    <w:rPr>
                      <w:rFonts w:hint="eastAsia"/>
                      <w:bCs/>
                      <w:color w:val="auto"/>
                      <w:lang w:val="en-US" w:eastAsia="zh-CN"/>
                    </w:rPr>
                    <w:t>2023.10.29-2023.10.30</w:t>
                  </w:r>
                </w:p>
              </w:tc>
              <w:tc>
                <w:tcPr>
                  <w:tcW w:w="538" w:type="pct"/>
                  <w:tcBorders>
                    <w:tl2br w:val="nil"/>
                    <w:tr2bl w:val="nil"/>
                  </w:tcBorders>
                  <w:noWrap w:val="0"/>
                  <w:vAlign w:val="center"/>
                </w:tcPr>
                <w:p>
                  <w:pPr>
                    <w:pStyle w:val="6"/>
                    <w:adjustRightInd w:val="0"/>
                    <w:spacing w:before="0" w:after="0" w:line="240" w:lineRule="auto"/>
                    <w:ind w:right="0"/>
                    <w:jc w:val="center"/>
                    <w:rPr>
                      <w:rFonts w:hint="default" w:eastAsia="宋体"/>
                      <w:bCs/>
                      <w:color w:val="auto"/>
                      <w:sz w:val="21"/>
                      <w:szCs w:val="21"/>
                      <w:lang w:val="en-US" w:eastAsia="zh-CN"/>
                    </w:rPr>
                  </w:pPr>
                  <w:r>
                    <w:rPr>
                      <w:rFonts w:hint="eastAsia"/>
                      <w:bCs/>
                      <w:color w:val="auto"/>
                      <w:sz w:val="21"/>
                      <w:szCs w:val="21"/>
                      <w:lang w:val="en-US" w:eastAsia="zh-CN"/>
                    </w:rPr>
                    <w:t>41</w:t>
                  </w:r>
                </w:p>
              </w:tc>
              <w:tc>
                <w:tcPr>
                  <w:tcW w:w="518" w:type="pct"/>
                  <w:tcBorders>
                    <w:tl2br w:val="nil"/>
                    <w:tr2bl w:val="nil"/>
                  </w:tcBorders>
                  <w:noWrap w:val="0"/>
                  <w:vAlign w:val="center"/>
                </w:tcPr>
                <w:p>
                  <w:pPr>
                    <w:pStyle w:val="6"/>
                    <w:adjustRightInd w:val="0"/>
                    <w:spacing w:before="0" w:after="0" w:line="240" w:lineRule="auto"/>
                    <w:ind w:right="0"/>
                    <w:jc w:val="center"/>
                    <w:rPr>
                      <w:rFonts w:hint="default" w:eastAsia="宋体"/>
                      <w:bCs/>
                      <w:color w:val="auto"/>
                      <w:sz w:val="21"/>
                      <w:szCs w:val="21"/>
                      <w:lang w:val="en-US" w:eastAsia="zh-CN"/>
                    </w:rPr>
                  </w:pPr>
                  <w:r>
                    <w:rPr>
                      <w:rFonts w:hint="eastAsia"/>
                      <w:bCs/>
                      <w:color w:val="auto"/>
                      <w:sz w:val="21"/>
                      <w:szCs w:val="21"/>
                      <w:lang w:val="en-US" w:eastAsia="zh-CN"/>
                    </w:rPr>
                    <w:t>40</w:t>
                  </w:r>
                </w:p>
              </w:tc>
              <w:tc>
                <w:tcPr>
                  <w:tcW w:w="677" w:type="pct"/>
                  <w:vMerge w:val="continue"/>
                  <w:tcBorders>
                    <w:tl2br w:val="nil"/>
                    <w:tr2bl w:val="nil"/>
                  </w:tcBorders>
                  <w:noWrap w:val="0"/>
                  <w:vAlign w:val="center"/>
                </w:tcPr>
                <w:p>
                  <w:pPr>
                    <w:widowControl/>
                    <w:spacing w:line="240" w:lineRule="auto"/>
                    <w:jc w:val="center"/>
                    <w:rPr>
                      <w:rFonts w:hint="eastAsia" w:ascii="宋体" w:hAnsi="宋体" w:eastAsia="宋体" w:cs="宋体"/>
                      <w:bCs/>
                      <w:color w:val="auto"/>
                      <w:kern w:val="0"/>
                      <w:szCs w:val="21"/>
                      <w:lang w:val="en-US" w:eastAsia="zh-CN"/>
                    </w:rPr>
                  </w:pPr>
                </w:p>
              </w:tc>
              <w:tc>
                <w:tcPr>
                  <w:tcW w:w="650" w:type="pct"/>
                  <w:tcBorders>
                    <w:tl2br w:val="nil"/>
                    <w:tr2bl w:val="nil"/>
                  </w:tcBorders>
                  <w:noWrap w:val="0"/>
                  <w:vAlign w:val="center"/>
                </w:tcPr>
                <w:p>
                  <w:pPr>
                    <w:widowControl/>
                    <w:spacing w:line="240" w:lineRule="auto"/>
                    <w:jc w:val="center"/>
                    <w:rPr>
                      <w:rFonts w:hint="eastAsia" w:ascii="宋体" w:hAnsi="宋体" w:eastAsia="宋体" w:cs="宋体"/>
                      <w:bCs/>
                      <w:color w:val="auto"/>
                      <w:kern w:val="0"/>
                      <w:szCs w:val="21"/>
                      <w:lang w:val="en-US" w:eastAsia="zh-CN"/>
                    </w:rPr>
                  </w:pPr>
                  <w:r>
                    <w:rPr>
                      <w:rFonts w:hint="eastAsia" w:ascii="宋体" w:hAnsi="宋体" w:eastAsia="宋体" w:cs="宋体"/>
                      <w:bCs/>
                      <w:color w:val="auto"/>
                      <w:kern w:val="0"/>
                      <w:szCs w:val="21"/>
                      <w:lang w:val="en-US" w:eastAsia="zh-CN"/>
                    </w:rPr>
                    <w:t>达标</w:t>
                  </w:r>
                </w:p>
              </w:tc>
            </w:tr>
          </w:tbl>
          <w:p>
            <w:pPr>
              <w:pStyle w:val="10"/>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eastAsia" w:ascii="Times New Roman" w:eastAsia="宋体"/>
                <w:color w:val="auto"/>
              </w:rPr>
              <w:t>从上表可知，</w:t>
            </w:r>
            <w:r>
              <w:rPr>
                <w:rFonts w:hint="eastAsia" w:ascii="Times New Roman" w:eastAsia="宋体"/>
                <w:color w:val="auto"/>
                <w:lang w:val="en-US" w:eastAsia="zh-CN"/>
              </w:rPr>
              <w:t>6</w:t>
            </w:r>
            <w:r>
              <w:rPr>
                <w:rFonts w:hint="eastAsia" w:ascii="Times New Roman" w:eastAsia="宋体"/>
                <w:color w:val="auto"/>
              </w:rPr>
              <w:t>个监测点昼夜监测值均低于《声环境质量标准》（GB3096-2008）相应类标准限值，区域声环境质量现状良好。</w:t>
            </w:r>
          </w:p>
          <w:p>
            <w:pPr>
              <w:widowControl w:val="0"/>
              <w:adjustRightInd w:val="0"/>
              <w:spacing w:line="360" w:lineRule="auto"/>
              <w:ind w:firstLine="0" w:firstLineChars="0"/>
              <w:jc w:val="both"/>
              <w:rPr>
                <w:rFonts w:ascii="Times New Roman" w:hAnsi="Times New Roman" w:eastAsia="宋体" w:cs="Times New Roman"/>
                <w:b/>
                <w:bCs/>
                <w:color w:val="auto"/>
                <w:kern w:val="144"/>
                <w:sz w:val="24"/>
                <w:szCs w:val="24"/>
                <w:lang w:val="en-US" w:eastAsia="zh-CN" w:bidi="ar-SA"/>
              </w:rPr>
            </w:pPr>
            <w:r>
              <w:rPr>
                <w:rFonts w:hint="eastAsia" w:ascii="Times New Roman" w:hAnsi="Times New Roman" w:eastAsia="宋体" w:cs="Times New Roman"/>
                <w:b/>
                <w:bCs/>
                <w:color w:val="auto"/>
                <w:kern w:val="144"/>
                <w:sz w:val="24"/>
                <w:szCs w:val="24"/>
                <w:lang w:val="en-US" w:eastAsia="zh-CN" w:bidi="ar-SA"/>
              </w:rPr>
              <w:t>3.8</w:t>
            </w:r>
            <w:r>
              <w:rPr>
                <w:rFonts w:ascii="Times New Roman" w:hAnsi="Times New Roman" w:eastAsia="宋体" w:cs="Times New Roman"/>
                <w:b/>
                <w:bCs/>
                <w:color w:val="auto"/>
                <w:kern w:val="144"/>
                <w:sz w:val="24"/>
                <w:szCs w:val="24"/>
                <w:lang w:val="en-US" w:eastAsia="zh-CN" w:bidi="ar-SA"/>
              </w:rPr>
              <w:t>水土流失现状</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根据《云南省水土流失调查成果公告》（2015年），元谋县土地总面积2026.33km</w:t>
            </w:r>
            <w:r>
              <w:rPr>
                <w:rFonts w:ascii="Times New Roman" w:hAnsi="Times New Roman" w:eastAsia="宋体" w:cs="Times New Roman"/>
                <w:color w:val="auto"/>
                <w:sz w:val="24"/>
                <w:vertAlign w:val="superscript"/>
              </w:rPr>
              <w:t>2</w:t>
            </w:r>
            <w:r>
              <w:rPr>
                <w:rFonts w:ascii="Times New Roman" w:hAnsi="Times New Roman" w:eastAsia="宋体" w:cs="Times New Roman"/>
                <w:color w:val="auto"/>
                <w:sz w:val="24"/>
              </w:rPr>
              <w:t>，其中微度侵蚀面积1294.99km</w:t>
            </w:r>
            <w:r>
              <w:rPr>
                <w:rFonts w:ascii="Times New Roman" w:hAnsi="Times New Roman" w:eastAsia="宋体" w:cs="Times New Roman"/>
                <w:color w:val="auto"/>
                <w:sz w:val="24"/>
                <w:vertAlign w:val="superscript"/>
              </w:rPr>
              <w:t>2</w:t>
            </w:r>
            <w:r>
              <w:rPr>
                <w:rFonts w:ascii="Times New Roman" w:hAnsi="Times New Roman" w:eastAsia="宋体" w:cs="Times New Roman"/>
                <w:color w:val="auto"/>
                <w:sz w:val="24"/>
              </w:rPr>
              <w:t>，占土地面积的63.91%，土壤侵蚀面积731.34km</w:t>
            </w:r>
            <w:r>
              <w:rPr>
                <w:rFonts w:ascii="Times New Roman" w:hAnsi="Times New Roman" w:eastAsia="宋体" w:cs="Times New Roman"/>
                <w:color w:val="auto"/>
                <w:sz w:val="24"/>
                <w:vertAlign w:val="superscript"/>
              </w:rPr>
              <w:t>2</w:t>
            </w:r>
            <w:r>
              <w:rPr>
                <w:rFonts w:ascii="Times New Roman" w:hAnsi="Times New Roman" w:eastAsia="宋体" w:cs="Times New Roman"/>
                <w:color w:val="auto"/>
                <w:sz w:val="24"/>
              </w:rPr>
              <w:t>，占土地面积的36.09%；在土壤侵蚀面积中，轻度侵蚀面积504.57km²，占68.98%，中度侵蚀面积177.10km</w:t>
            </w:r>
            <w:r>
              <w:rPr>
                <w:rFonts w:ascii="Times New Roman" w:hAnsi="Times New Roman" w:eastAsia="宋体" w:cs="Times New Roman"/>
                <w:color w:val="auto"/>
                <w:sz w:val="24"/>
                <w:vertAlign w:val="superscript"/>
              </w:rPr>
              <w:t>2</w:t>
            </w:r>
            <w:r>
              <w:rPr>
                <w:rFonts w:ascii="Times New Roman" w:hAnsi="Times New Roman" w:eastAsia="宋体" w:cs="Times New Roman"/>
                <w:color w:val="auto"/>
                <w:sz w:val="24"/>
              </w:rPr>
              <w:t>，占24.22%，强烈侵蚀面积18.34km²，占2.51%，极强烈侵蚀面积17.23km²，占2.36%，剧烈侵蚀面积14.10km²，占1.93%。</w:t>
            </w:r>
          </w:p>
          <w:p>
            <w:pPr>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表</w:t>
            </w:r>
            <w:r>
              <w:rPr>
                <w:rFonts w:hint="eastAsia" w:ascii="Times New Roman" w:hAnsi="Times New Roman" w:eastAsia="宋体" w:cs="Times New Roman"/>
                <w:b/>
                <w:bCs/>
                <w:color w:val="auto"/>
                <w:kern w:val="0"/>
                <w:sz w:val="21"/>
                <w:szCs w:val="21"/>
                <w:lang w:val="en-US" w:eastAsia="zh-CN" w:bidi="ar-SA"/>
              </w:rPr>
              <w:t>3.8-1</w:t>
            </w:r>
            <w:r>
              <w:rPr>
                <w:rFonts w:hint="default" w:ascii="Times New Roman" w:hAnsi="Times New Roman" w:eastAsia="宋体" w:cs="Times New Roman"/>
                <w:b/>
                <w:bCs/>
                <w:color w:val="auto"/>
                <w:kern w:val="0"/>
                <w:sz w:val="21"/>
                <w:szCs w:val="21"/>
                <w:lang w:val="en-US" w:eastAsia="zh-CN" w:bidi="ar-SA"/>
              </w:rPr>
              <w:t xml:space="preserve">   元谋县土壤侵蚀强度分级面积统计表   单位：km</w:t>
            </w:r>
            <w:r>
              <w:rPr>
                <w:rFonts w:hint="default" w:ascii="Times New Roman" w:hAnsi="Times New Roman" w:eastAsia="宋体" w:cs="Times New Roman"/>
                <w:b/>
                <w:bCs/>
                <w:color w:val="auto"/>
                <w:kern w:val="0"/>
                <w:sz w:val="21"/>
                <w:szCs w:val="21"/>
                <w:vertAlign w:val="superscript"/>
                <w:lang w:val="en-US" w:eastAsia="zh-CN" w:bidi="ar-SA"/>
              </w:rPr>
              <w:t>2</w:t>
            </w:r>
          </w:p>
          <w:tbl>
            <w:tblPr>
              <w:tblStyle w:val="18"/>
              <w:tblW w:w="4998"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5"/>
              <w:gridCol w:w="722"/>
              <w:gridCol w:w="879"/>
              <w:gridCol w:w="593"/>
              <w:gridCol w:w="705"/>
              <w:gridCol w:w="590"/>
              <w:gridCol w:w="684"/>
              <w:gridCol w:w="505"/>
              <w:gridCol w:w="587"/>
              <w:gridCol w:w="505"/>
              <w:gridCol w:w="481"/>
              <w:gridCol w:w="398"/>
              <w:gridCol w:w="505"/>
              <w:gridCol w:w="44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452" w:type="pct"/>
                  <w:vMerge w:val="restar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color w:val="auto"/>
                      <w:kern w:val="0"/>
                      <w:sz w:val="21"/>
                    </w:rPr>
                  </w:pPr>
                  <w:r>
                    <w:rPr>
                      <w:rFonts w:ascii="Times New Roman" w:hAnsi="Times New Roman" w:eastAsia="宋体" w:cs="Times New Roman"/>
                      <w:b/>
                      <w:color w:val="auto"/>
                      <w:kern w:val="0"/>
                      <w:sz w:val="21"/>
                    </w:rPr>
                    <w:t>行政</w:t>
                  </w:r>
                </w:p>
                <w:p>
                  <w:pPr>
                    <w:widowControl/>
                    <w:ind w:left="0" w:leftChars="0" w:right="0" w:rightChars="0" w:firstLine="0" w:firstLineChars="0"/>
                    <w:jc w:val="center"/>
                    <w:rPr>
                      <w:rFonts w:ascii="Times New Roman" w:hAnsi="Times New Roman" w:eastAsia="宋体" w:cs="Times New Roman"/>
                      <w:b/>
                      <w:color w:val="auto"/>
                      <w:kern w:val="0"/>
                      <w:sz w:val="21"/>
                    </w:rPr>
                  </w:pPr>
                  <w:r>
                    <w:rPr>
                      <w:rFonts w:ascii="Times New Roman" w:hAnsi="Times New Roman" w:eastAsia="宋体" w:cs="Times New Roman"/>
                      <w:b/>
                      <w:color w:val="auto"/>
                      <w:kern w:val="0"/>
                      <w:sz w:val="21"/>
                    </w:rPr>
                    <w:t>区划</w:t>
                  </w:r>
                </w:p>
              </w:tc>
              <w:tc>
                <w:tcPr>
                  <w:tcW w:w="432" w:type="pct"/>
                  <w:vMerge w:val="restar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color w:val="auto"/>
                      <w:kern w:val="0"/>
                      <w:sz w:val="21"/>
                    </w:rPr>
                  </w:pPr>
                  <w:r>
                    <w:rPr>
                      <w:rFonts w:ascii="Times New Roman" w:hAnsi="Times New Roman" w:eastAsia="宋体" w:cs="Times New Roman"/>
                      <w:b/>
                      <w:color w:val="auto"/>
                      <w:kern w:val="0"/>
                      <w:sz w:val="21"/>
                    </w:rPr>
                    <w:t>土地总面积</w:t>
                  </w:r>
                </w:p>
              </w:tc>
              <w:tc>
                <w:tcPr>
                  <w:tcW w:w="881" w:type="pct"/>
                  <w:gridSpan w:val="2"/>
                  <w:vMerge w:val="restar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color w:val="auto"/>
                      <w:kern w:val="0"/>
                      <w:sz w:val="21"/>
                    </w:rPr>
                  </w:pPr>
                  <w:r>
                    <w:rPr>
                      <w:rFonts w:ascii="Times New Roman" w:hAnsi="Times New Roman" w:eastAsia="宋体" w:cs="Times New Roman"/>
                      <w:b/>
                      <w:color w:val="auto"/>
                      <w:kern w:val="0"/>
                      <w:sz w:val="21"/>
                    </w:rPr>
                    <w:t>微度侵蚀</w:t>
                  </w:r>
                </w:p>
              </w:tc>
              <w:tc>
                <w:tcPr>
                  <w:tcW w:w="3233" w:type="pct"/>
                  <w:gridSpan w:val="10"/>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color w:val="auto"/>
                      <w:kern w:val="0"/>
                      <w:sz w:val="21"/>
                    </w:rPr>
                  </w:pPr>
                  <w:r>
                    <w:rPr>
                      <w:rFonts w:ascii="Times New Roman" w:hAnsi="Times New Roman" w:eastAsia="宋体" w:cs="Times New Roman"/>
                      <w:b/>
                      <w:color w:val="auto"/>
                      <w:kern w:val="0"/>
                      <w:sz w:val="21"/>
                    </w:rPr>
                    <w:t>强</w:t>
                  </w:r>
                  <w:r>
                    <w:rPr>
                      <w:rFonts w:ascii="Times New Roman" w:hAnsi="Times New Roman" w:eastAsia="宋体" w:cs="Times New Roman"/>
                      <w:b/>
                      <w:color w:val="auto"/>
                      <w:kern w:val="0"/>
                      <w:sz w:val="21"/>
                    </w:rPr>
                    <w:cr/>
                  </w:r>
                  <w:r>
                    <w:rPr>
                      <w:rFonts w:ascii="Times New Roman" w:hAnsi="Times New Roman" w:eastAsia="宋体" w:cs="Times New Roman"/>
                      <w:b/>
                      <w:color w:val="auto"/>
                      <w:kern w:val="0"/>
                      <w:sz w:val="21"/>
                    </w:rPr>
                    <w:t>分级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452" w:type="pct"/>
                  <w:vMerge w:val="continue"/>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color w:val="auto"/>
                      <w:kern w:val="0"/>
                      <w:sz w:val="21"/>
                    </w:rPr>
                  </w:pPr>
                </w:p>
              </w:tc>
              <w:tc>
                <w:tcPr>
                  <w:tcW w:w="432" w:type="pct"/>
                  <w:vMerge w:val="continue"/>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color w:val="auto"/>
                      <w:kern w:val="0"/>
                      <w:sz w:val="21"/>
                    </w:rPr>
                  </w:pPr>
                </w:p>
              </w:tc>
              <w:tc>
                <w:tcPr>
                  <w:tcW w:w="881" w:type="pct"/>
                  <w:gridSpan w:val="2"/>
                  <w:vMerge w:val="continue"/>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color w:val="auto"/>
                      <w:kern w:val="0"/>
                      <w:sz w:val="21"/>
                    </w:rPr>
                  </w:pPr>
                </w:p>
              </w:tc>
              <w:tc>
                <w:tcPr>
                  <w:tcW w:w="775" w:type="pct"/>
                  <w:gridSpan w:val="2"/>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color w:val="auto"/>
                      <w:kern w:val="0"/>
                      <w:sz w:val="21"/>
                    </w:rPr>
                  </w:pPr>
                  <w:r>
                    <w:rPr>
                      <w:rFonts w:ascii="Times New Roman" w:hAnsi="Times New Roman" w:eastAsia="宋体" w:cs="Times New Roman"/>
                      <w:b/>
                      <w:color w:val="auto"/>
                      <w:kern w:val="0"/>
                      <w:sz w:val="21"/>
                    </w:rPr>
                    <w:t>轻度</w:t>
                  </w:r>
                </w:p>
              </w:tc>
              <w:tc>
                <w:tcPr>
                  <w:tcW w:w="711" w:type="pct"/>
                  <w:gridSpan w:val="2"/>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color w:val="auto"/>
                      <w:kern w:val="0"/>
                      <w:sz w:val="21"/>
                    </w:rPr>
                  </w:pPr>
                  <w:r>
                    <w:rPr>
                      <w:rFonts w:ascii="Times New Roman" w:hAnsi="Times New Roman" w:eastAsia="宋体" w:cs="Times New Roman"/>
                      <w:b/>
                      <w:color w:val="auto"/>
                      <w:kern w:val="0"/>
                      <w:sz w:val="21"/>
                    </w:rPr>
                    <w:t>中度</w:t>
                  </w:r>
                </w:p>
              </w:tc>
              <w:tc>
                <w:tcPr>
                  <w:tcW w:w="653" w:type="pct"/>
                  <w:gridSpan w:val="2"/>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color w:val="auto"/>
                      <w:kern w:val="0"/>
                      <w:sz w:val="21"/>
                    </w:rPr>
                  </w:pPr>
                  <w:r>
                    <w:rPr>
                      <w:rFonts w:ascii="Times New Roman" w:hAnsi="Times New Roman" w:eastAsia="宋体" w:cs="Times New Roman"/>
                      <w:b/>
                      <w:color w:val="auto"/>
                      <w:kern w:val="0"/>
                      <w:sz w:val="21"/>
                    </w:rPr>
                    <w:t>强烈</w:t>
                  </w:r>
                </w:p>
              </w:tc>
              <w:tc>
                <w:tcPr>
                  <w:tcW w:w="526" w:type="pct"/>
                  <w:gridSpan w:val="2"/>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color w:val="auto"/>
                      <w:kern w:val="0"/>
                      <w:sz w:val="21"/>
                    </w:rPr>
                  </w:pPr>
                  <w:r>
                    <w:rPr>
                      <w:rFonts w:ascii="Times New Roman" w:hAnsi="Times New Roman" w:eastAsia="宋体" w:cs="Times New Roman"/>
                      <w:b/>
                      <w:color w:val="auto"/>
                      <w:kern w:val="0"/>
                      <w:sz w:val="21"/>
                    </w:rPr>
                    <w:t>极强烈</w:t>
                  </w:r>
                </w:p>
              </w:tc>
              <w:tc>
                <w:tcPr>
                  <w:tcW w:w="567" w:type="pct"/>
                  <w:gridSpan w:val="2"/>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color w:val="auto"/>
                      <w:kern w:val="0"/>
                      <w:sz w:val="21"/>
                    </w:rPr>
                  </w:pPr>
                  <w:r>
                    <w:rPr>
                      <w:rFonts w:ascii="Times New Roman" w:hAnsi="Times New Roman" w:eastAsia="宋体" w:cs="Times New Roman"/>
                      <w:b/>
                      <w:color w:val="auto"/>
                      <w:kern w:val="0"/>
                      <w:sz w:val="21"/>
                    </w:rPr>
                    <w:t>剧烈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452" w:type="pct"/>
                  <w:vMerge w:val="continue"/>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color w:val="auto"/>
                      <w:kern w:val="0"/>
                      <w:sz w:val="21"/>
                    </w:rPr>
                  </w:pPr>
                </w:p>
              </w:tc>
              <w:tc>
                <w:tcPr>
                  <w:tcW w:w="432" w:type="pct"/>
                  <w:vMerge w:val="continue"/>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color w:val="auto"/>
                      <w:kern w:val="0"/>
                      <w:sz w:val="21"/>
                    </w:rPr>
                  </w:pPr>
                </w:p>
              </w:tc>
              <w:tc>
                <w:tcPr>
                  <w:tcW w:w="526"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color w:val="auto"/>
                      <w:kern w:val="0"/>
                      <w:sz w:val="21"/>
                    </w:rPr>
                  </w:pPr>
                  <w:r>
                    <w:rPr>
                      <w:rFonts w:ascii="Times New Roman" w:hAnsi="Times New Roman" w:eastAsia="宋体" w:cs="Times New Roman"/>
                      <w:b/>
                      <w:color w:val="auto"/>
                      <w:kern w:val="0"/>
                      <w:sz w:val="21"/>
                    </w:rPr>
                    <w:t>面积</w:t>
                  </w:r>
                </w:p>
              </w:tc>
              <w:tc>
                <w:tcPr>
                  <w:tcW w:w="354"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color w:val="auto"/>
                      <w:kern w:val="0"/>
                      <w:sz w:val="21"/>
                    </w:rPr>
                  </w:pPr>
                  <w:r>
                    <w:rPr>
                      <w:rFonts w:ascii="Times New Roman" w:hAnsi="Times New Roman" w:eastAsia="宋体" w:cs="Times New Roman"/>
                      <w:b/>
                      <w:color w:val="auto"/>
                      <w:kern w:val="0"/>
                      <w:sz w:val="21"/>
                    </w:rPr>
                    <w:t>%</w:t>
                  </w:r>
                </w:p>
              </w:tc>
              <w:tc>
                <w:tcPr>
                  <w:tcW w:w="422"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color w:val="auto"/>
                      <w:kern w:val="0"/>
                      <w:sz w:val="21"/>
                    </w:rPr>
                  </w:pPr>
                  <w:r>
                    <w:rPr>
                      <w:rFonts w:ascii="Times New Roman" w:hAnsi="Times New Roman" w:eastAsia="宋体" w:cs="Times New Roman"/>
                      <w:b/>
                      <w:color w:val="auto"/>
                      <w:kern w:val="0"/>
                      <w:sz w:val="21"/>
                    </w:rPr>
                    <w:t>面积</w:t>
                  </w:r>
                </w:p>
              </w:tc>
              <w:tc>
                <w:tcPr>
                  <w:tcW w:w="353"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color w:val="auto"/>
                      <w:kern w:val="0"/>
                      <w:sz w:val="21"/>
                    </w:rPr>
                  </w:pPr>
                  <w:r>
                    <w:rPr>
                      <w:rFonts w:ascii="Times New Roman" w:hAnsi="Times New Roman" w:eastAsia="宋体" w:cs="Times New Roman"/>
                      <w:b/>
                      <w:color w:val="auto"/>
                      <w:kern w:val="0"/>
                      <w:sz w:val="21"/>
                    </w:rPr>
                    <w:t>%</w:t>
                  </w:r>
                </w:p>
              </w:tc>
              <w:tc>
                <w:tcPr>
                  <w:tcW w:w="409"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color w:val="auto"/>
                      <w:kern w:val="0"/>
                      <w:sz w:val="21"/>
                    </w:rPr>
                  </w:pPr>
                  <w:r>
                    <w:rPr>
                      <w:rFonts w:ascii="Times New Roman" w:hAnsi="Times New Roman" w:eastAsia="宋体" w:cs="Times New Roman"/>
                      <w:b/>
                      <w:color w:val="auto"/>
                      <w:kern w:val="0"/>
                      <w:sz w:val="21"/>
                    </w:rPr>
                    <w:t>面积</w:t>
                  </w:r>
                </w:p>
              </w:tc>
              <w:tc>
                <w:tcPr>
                  <w:tcW w:w="302"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color w:val="auto"/>
                      <w:kern w:val="0"/>
                      <w:sz w:val="21"/>
                    </w:rPr>
                  </w:pPr>
                  <w:r>
                    <w:rPr>
                      <w:rFonts w:ascii="Times New Roman" w:hAnsi="Times New Roman" w:eastAsia="宋体" w:cs="Times New Roman"/>
                      <w:b/>
                      <w:color w:val="auto"/>
                      <w:kern w:val="0"/>
                      <w:sz w:val="21"/>
                    </w:rPr>
                    <w:t>%</w:t>
                  </w:r>
                </w:p>
              </w:tc>
              <w:tc>
                <w:tcPr>
                  <w:tcW w:w="351"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color w:val="auto"/>
                      <w:kern w:val="0"/>
                      <w:sz w:val="21"/>
                    </w:rPr>
                  </w:pPr>
                  <w:r>
                    <w:rPr>
                      <w:rFonts w:ascii="Times New Roman" w:hAnsi="Times New Roman" w:eastAsia="宋体" w:cs="Times New Roman"/>
                      <w:b/>
                      <w:color w:val="auto"/>
                      <w:kern w:val="0"/>
                      <w:sz w:val="21"/>
                    </w:rPr>
                    <w:t>面积</w:t>
                  </w:r>
                </w:p>
              </w:tc>
              <w:tc>
                <w:tcPr>
                  <w:tcW w:w="301"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color w:val="auto"/>
                      <w:kern w:val="0"/>
                      <w:sz w:val="21"/>
                    </w:rPr>
                  </w:pPr>
                  <w:r>
                    <w:rPr>
                      <w:rFonts w:ascii="Times New Roman" w:hAnsi="Times New Roman" w:eastAsia="宋体" w:cs="Times New Roman"/>
                      <w:b/>
                      <w:color w:val="auto"/>
                      <w:kern w:val="0"/>
                      <w:sz w:val="21"/>
                    </w:rPr>
                    <w:t>%</w:t>
                  </w:r>
                </w:p>
              </w:tc>
              <w:tc>
                <w:tcPr>
                  <w:tcW w:w="288"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color w:val="auto"/>
                      <w:kern w:val="0"/>
                      <w:sz w:val="21"/>
                    </w:rPr>
                  </w:pPr>
                  <w:r>
                    <w:rPr>
                      <w:rFonts w:ascii="Times New Roman" w:hAnsi="Times New Roman" w:eastAsia="宋体" w:cs="Times New Roman"/>
                      <w:b/>
                      <w:color w:val="auto"/>
                      <w:kern w:val="0"/>
                      <w:sz w:val="21"/>
                    </w:rPr>
                    <w:t>面积</w:t>
                  </w:r>
                </w:p>
              </w:tc>
              <w:tc>
                <w:tcPr>
                  <w:tcW w:w="237"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color w:val="auto"/>
                      <w:kern w:val="0"/>
                      <w:sz w:val="21"/>
                    </w:rPr>
                  </w:pPr>
                  <w:r>
                    <w:rPr>
                      <w:rFonts w:ascii="Times New Roman" w:hAnsi="Times New Roman" w:eastAsia="宋体" w:cs="Times New Roman"/>
                      <w:b/>
                      <w:color w:val="auto"/>
                      <w:kern w:val="0"/>
                      <w:sz w:val="21"/>
                    </w:rPr>
                    <w:t>%</w:t>
                  </w:r>
                </w:p>
              </w:tc>
              <w:tc>
                <w:tcPr>
                  <w:tcW w:w="302"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color w:val="auto"/>
                      <w:kern w:val="0"/>
                      <w:sz w:val="21"/>
                    </w:rPr>
                  </w:pPr>
                  <w:r>
                    <w:rPr>
                      <w:rFonts w:ascii="Times New Roman" w:hAnsi="Times New Roman" w:eastAsia="宋体" w:cs="Times New Roman"/>
                      <w:b/>
                      <w:color w:val="auto"/>
                      <w:kern w:val="0"/>
                      <w:sz w:val="21"/>
                    </w:rPr>
                    <w:t>面积</w:t>
                  </w:r>
                </w:p>
              </w:tc>
              <w:tc>
                <w:tcPr>
                  <w:tcW w:w="264"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color w:val="auto"/>
                      <w:kern w:val="0"/>
                      <w:sz w:val="21"/>
                    </w:rPr>
                  </w:pPr>
                  <w:r>
                    <w:rPr>
                      <w:rFonts w:ascii="Times New Roman" w:hAnsi="Times New Roman" w:eastAsia="宋体" w:cs="Times New Roman"/>
                      <w:b/>
                      <w:color w:val="auto"/>
                      <w:kern w:val="0"/>
                      <w:sz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52"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val="0"/>
                      <w:bCs/>
                      <w:color w:val="auto"/>
                      <w:kern w:val="0"/>
                      <w:sz w:val="21"/>
                    </w:rPr>
                  </w:pPr>
                  <w:r>
                    <w:rPr>
                      <w:rFonts w:ascii="Times New Roman" w:hAnsi="Times New Roman" w:eastAsia="宋体" w:cs="Times New Roman"/>
                      <w:b w:val="0"/>
                      <w:bCs/>
                      <w:color w:val="auto"/>
                      <w:kern w:val="0"/>
                      <w:sz w:val="21"/>
                    </w:rPr>
                    <w:t>元谋县</w:t>
                  </w:r>
                </w:p>
              </w:tc>
              <w:tc>
                <w:tcPr>
                  <w:tcW w:w="432"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val="0"/>
                      <w:bCs/>
                      <w:color w:val="auto"/>
                      <w:kern w:val="0"/>
                      <w:sz w:val="21"/>
                    </w:rPr>
                  </w:pPr>
                  <w:r>
                    <w:rPr>
                      <w:rFonts w:ascii="Times New Roman" w:hAnsi="Times New Roman" w:eastAsia="宋体" w:cs="Times New Roman"/>
                      <w:b w:val="0"/>
                      <w:bCs/>
                      <w:color w:val="auto"/>
                      <w:kern w:val="0"/>
                      <w:sz w:val="21"/>
                    </w:rPr>
                    <w:t>2026.33</w:t>
                  </w:r>
                </w:p>
              </w:tc>
              <w:tc>
                <w:tcPr>
                  <w:tcW w:w="526"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val="0"/>
                      <w:bCs/>
                      <w:color w:val="auto"/>
                      <w:kern w:val="0"/>
                      <w:sz w:val="21"/>
                    </w:rPr>
                  </w:pPr>
                  <w:r>
                    <w:rPr>
                      <w:rFonts w:ascii="Times New Roman" w:hAnsi="Times New Roman" w:eastAsia="宋体" w:cs="Times New Roman"/>
                      <w:b w:val="0"/>
                      <w:bCs/>
                      <w:color w:val="auto"/>
                      <w:kern w:val="0"/>
                      <w:sz w:val="21"/>
                    </w:rPr>
                    <w:t>1</w:t>
                  </w:r>
                  <w:r>
                    <w:rPr>
                      <w:rFonts w:ascii="Times New Roman" w:hAnsi="Times New Roman" w:eastAsia="宋体" w:cs="Times New Roman"/>
                      <w:b w:val="0"/>
                      <w:bCs/>
                      <w:color w:val="auto"/>
                      <w:kern w:val="0"/>
                      <w:sz w:val="21"/>
                    </w:rPr>
                    <w:cr/>
                  </w:r>
                  <w:r>
                    <w:rPr>
                      <w:rFonts w:ascii="Times New Roman" w:hAnsi="Times New Roman" w:eastAsia="宋体" w:cs="Times New Roman"/>
                      <w:b w:val="0"/>
                      <w:bCs/>
                      <w:color w:val="auto"/>
                      <w:kern w:val="0"/>
                      <w:sz w:val="21"/>
                    </w:rPr>
                    <w:t xml:space="preserve">94.99 </w:t>
                  </w:r>
                </w:p>
              </w:tc>
              <w:tc>
                <w:tcPr>
                  <w:tcW w:w="354"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val="0"/>
                      <w:bCs/>
                      <w:color w:val="auto"/>
                      <w:kern w:val="0"/>
                      <w:sz w:val="21"/>
                    </w:rPr>
                  </w:pPr>
                  <w:r>
                    <w:rPr>
                      <w:rFonts w:ascii="Times New Roman" w:hAnsi="Times New Roman" w:eastAsia="宋体" w:cs="Times New Roman"/>
                      <w:b w:val="0"/>
                      <w:bCs/>
                      <w:color w:val="auto"/>
                      <w:kern w:val="0"/>
                      <w:sz w:val="21"/>
                    </w:rPr>
                    <w:cr/>
                  </w:r>
                  <w:r>
                    <w:rPr>
                      <w:rFonts w:ascii="Times New Roman" w:hAnsi="Times New Roman" w:eastAsia="宋体" w:cs="Times New Roman"/>
                      <w:b w:val="0"/>
                      <w:bCs/>
                      <w:color w:val="auto"/>
                      <w:kern w:val="0"/>
                      <w:sz w:val="21"/>
                    </w:rPr>
                    <w:t>3.91</w:t>
                  </w:r>
                </w:p>
              </w:tc>
              <w:tc>
                <w:tcPr>
                  <w:tcW w:w="422"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val="0"/>
                      <w:bCs/>
                      <w:color w:val="auto"/>
                      <w:kern w:val="0"/>
                      <w:sz w:val="21"/>
                    </w:rPr>
                  </w:pPr>
                  <w:r>
                    <w:rPr>
                      <w:rFonts w:ascii="Times New Roman" w:hAnsi="Times New Roman" w:eastAsia="宋体" w:cs="Times New Roman"/>
                      <w:b w:val="0"/>
                      <w:bCs/>
                      <w:color w:val="auto"/>
                      <w:kern w:val="0"/>
                      <w:sz w:val="21"/>
                    </w:rPr>
                    <w:t>504</w:t>
                  </w:r>
                  <w:r>
                    <w:rPr>
                      <w:rFonts w:ascii="Times New Roman" w:hAnsi="Times New Roman" w:eastAsia="宋体" w:cs="Times New Roman"/>
                      <w:b w:val="0"/>
                      <w:bCs/>
                      <w:color w:val="auto"/>
                      <w:kern w:val="0"/>
                      <w:sz w:val="21"/>
                    </w:rPr>
                    <w:cr/>
                  </w:r>
                  <w:r>
                    <w:rPr>
                      <w:rFonts w:ascii="Times New Roman" w:hAnsi="Times New Roman" w:eastAsia="宋体" w:cs="Times New Roman"/>
                      <w:b w:val="0"/>
                      <w:bCs/>
                      <w:color w:val="auto"/>
                      <w:kern w:val="0"/>
                      <w:sz w:val="21"/>
                    </w:rPr>
                    <w:t>57</w:t>
                  </w:r>
                  <w:r>
                    <w:rPr>
                      <w:rFonts w:ascii="Times New Roman" w:hAnsi="Times New Roman" w:eastAsia="宋体" w:cs="Times New Roman"/>
                      <w:b w:val="0"/>
                      <w:bCs/>
                      <w:color w:val="auto"/>
                      <w:kern w:val="0"/>
                      <w:sz w:val="21"/>
                    </w:rPr>
                    <w:cr/>
                  </w:r>
                </w:p>
              </w:tc>
              <w:tc>
                <w:tcPr>
                  <w:tcW w:w="353"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val="0"/>
                      <w:bCs/>
                      <w:color w:val="auto"/>
                      <w:kern w:val="0"/>
                      <w:sz w:val="21"/>
                    </w:rPr>
                  </w:pPr>
                  <w:r>
                    <w:rPr>
                      <w:rFonts w:ascii="Times New Roman" w:hAnsi="Times New Roman" w:eastAsia="宋体" w:cs="Times New Roman"/>
                      <w:b w:val="0"/>
                      <w:bCs/>
                      <w:color w:val="auto"/>
                      <w:kern w:val="0"/>
                      <w:sz w:val="21"/>
                    </w:rPr>
                    <w:cr/>
                  </w:r>
                  <w:r>
                    <w:rPr>
                      <w:rFonts w:ascii="Times New Roman" w:hAnsi="Times New Roman" w:eastAsia="宋体" w:cs="Times New Roman"/>
                      <w:b w:val="0"/>
                      <w:bCs/>
                      <w:color w:val="auto"/>
                      <w:kern w:val="0"/>
                      <w:sz w:val="21"/>
                    </w:rPr>
                    <w:t>8.98</w:t>
                  </w:r>
                </w:p>
              </w:tc>
              <w:tc>
                <w:tcPr>
                  <w:tcW w:w="409"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val="0"/>
                      <w:bCs/>
                      <w:color w:val="auto"/>
                      <w:kern w:val="0"/>
                      <w:sz w:val="21"/>
                    </w:rPr>
                  </w:pPr>
                  <w:r>
                    <w:rPr>
                      <w:rFonts w:ascii="Times New Roman" w:hAnsi="Times New Roman" w:eastAsia="宋体" w:cs="Times New Roman"/>
                      <w:b w:val="0"/>
                      <w:bCs/>
                      <w:color w:val="auto"/>
                      <w:kern w:val="0"/>
                      <w:sz w:val="21"/>
                    </w:rPr>
                    <w:t xml:space="preserve">177.10 </w:t>
                  </w:r>
                </w:p>
              </w:tc>
              <w:tc>
                <w:tcPr>
                  <w:tcW w:w="302"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val="0"/>
                      <w:bCs/>
                      <w:color w:val="auto"/>
                      <w:kern w:val="0"/>
                      <w:sz w:val="21"/>
                    </w:rPr>
                  </w:pPr>
                  <w:r>
                    <w:rPr>
                      <w:rFonts w:ascii="Times New Roman" w:hAnsi="Times New Roman" w:eastAsia="宋体" w:cs="Times New Roman"/>
                      <w:b w:val="0"/>
                      <w:bCs/>
                      <w:color w:val="auto"/>
                      <w:kern w:val="0"/>
                      <w:sz w:val="21"/>
                    </w:rPr>
                    <w:t>24.22</w:t>
                  </w:r>
                </w:p>
              </w:tc>
              <w:tc>
                <w:tcPr>
                  <w:tcW w:w="351"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val="0"/>
                      <w:bCs/>
                      <w:color w:val="auto"/>
                      <w:kern w:val="0"/>
                      <w:sz w:val="21"/>
                    </w:rPr>
                  </w:pPr>
                  <w:r>
                    <w:rPr>
                      <w:rFonts w:ascii="Times New Roman" w:hAnsi="Times New Roman" w:eastAsia="宋体" w:cs="Times New Roman"/>
                      <w:b w:val="0"/>
                      <w:bCs/>
                      <w:color w:val="auto"/>
                      <w:kern w:val="0"/>
                      <w:sz w:val="21"/>
                    </w:rPr>
                    <w:t xml:space="preserve">18.34 </w:t>
                  </w:r>
                </w:p>
              </w:tc>
              <w:tc>
                <w:tcPr>
                  <w:tcW w:w="301"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val="0"/>
                      <w:bCs/>
                      <w:color w:val="auto"/>
                      <w:kern w:val="0"/>
                      <w:sz w:val="21"/>
                    </w:rPr>
                  </w:pPr>
                  <w:r>
                    <w:rPr>
                      <w:rFonts w:ascii="Times New Roman" w:hAnsi="Times New Roman" w:eastAsia="宋体" w:cs="Times New Roman"/>
                      <w:b w:val="0"/>
                      <w:bCs/>
                      <w:color w:val="auto"/>
                      <w:kern w:val="0"/>
                      <w:sz w:val="21"/>
                    </w:rPr>
                    <w:t>2.51</w:t>
                  </w:r>
                </w:p>
              </w:tc>
              <w:tc>
                <w:tcPr>
                  <w:tcW w:w="288"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val="0"/>
                      <w:bCs/>
                      <w:color w:val="auto"/>
                      <w:kern w:val="0"/>
                      <w:sz w:val="21"/>
                    </w:rPr>
                  </w:pPr>
                  <w:r>
                    <w:rPr>
                      <w:rFonts w:ascii="Times New Roman" w:hAnsi="Times New Roman" w:eastAsia="宋体" w:cs="Times New Roman"/>
                      <w:b w:val="0"/>
                      <w:bCs/>
                      <w:color w:val="auto"/>
                      <w:kern w:val="0"/>
                      <w:sz w:val="21"/>
                    </w:rPr>
                    <w:cr/>
                  </w:r>
                  <w:r>
                    <w:rPr>
                      <w:rFonts w:ascii="Times New Roman" w:hAnsi="Times New Roman" w:eastAsia="宋体" w:cs="Times New Roman"/>
                      <w:b w:val="0"/>
                      <w:bCs/>
                      <w:color w:val="auto"/>
                      <w:kern w:val="0"/>
                      <w:sz w:val="21"/>
                    </w:rPr>
                    <w:t>7.</w:t>
                  </w:r>
                  <w:r>
                    <w:rPr>
                      <w:rFonts w:ascii="Times New Roman" w:hAnsi="Times New Roman" w:eastAsia="宋体" w:cs="Times New Roman"/>
                      <w:b w:val="0"/>
                      <w:bCs/>
                      <w:color w:val="auto"/>
                      <w:kern w:val="0"/>
                      <w:sz w:val="21"/>
                    </w:rPr>
                    <w:cr/>
                  </w:r>
                  <w:r>
                    <w:rPr>
                      <w:rFonts w:ascii="Times New Roman" w:hAnsi="Times New Roman" w:eastAsia="宋体" w:cs="Times New Roman"/>
                      <w:b w:val="0"/>
                      <w:bCs/>
                      <w:color w:val="auto"/>
                      <w:kern w:val="0"/>
                      <w:sz w:val="21"/>
                    </w:rPr>
                    <w:t>3</w:t>
                  </w:r>
                </w:p>
              </w:tc>
              <w:tc>
                <w:tcPr>
                  <w:tcW w:w="237"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val="0"/>
                      <w:bCs/>
                      <w:color w:val="auto"/>
                      <w:kern w:val="0"/>
                      <w:sz w:val="21"/>
                    </w:rPr>
                  </w:pPr>
                  <w:r>
                    <w:rPr>
                      <w:rFonts w:ascii="Times New Roman" w:hAnsi="Times New Roman" w:eastAsia="宋体" w:cs="Times New Roman"/>
                      <w:b w:val="0"/>
                      <w:bCs/>
                      <w:color w:val="auto"/>
                      <w:kern w:val="0"/>
                      <w:sz w:val="21"/>
                    </w:rPr>
                    <w:t>2.36</w:t>
                  </w:r>
                </w:p>
              </w:tc>
              <w:tc>
                <w:tcPr>
                  <w:tcW w:w="302"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val="0"/>
                      <w:bCs/>
                      <w:color w:val="auto"/>
                      <w:kern w:val="0"/>
                      <w:sz w:val="21"/>
                    </w:rPr>
                  </w:pPr>
                  <w:r>
                    <w:rPr>
                      <w:rFonts w:ascii="Times New Roman" w:hAnsi="Times New Roman" w:eastAsia="宋体" w:cs="Times New Roman"/>
                      <w:b w:val="0"/>
                      <w:bCs/>
                      <w:color w:val="auto"/>
                      <w:kern w:val="0"/>
                      <w:sz w:val="21"/>
                    </w:rPr>
                    <w:t>14.10</w:t>
                  </w:r>
                </w:p>
              </w:tc>
              <w:tc>
                <w:tcPr>
                  <w:tcW w:w="264" w:type="pct"/>
                  <w:tcBorders>
                    <w:tl2br w:val="nil"/>
                    <w:tr2bl w:val="nil"/>
                  </w:tcBorders>
                  <w:noWrap w:val="0"/>
                  <w:vAlign w:val="center"/>
                </w:tcPr>
                <w:p>
                  <w:pPr>
                    <w:widowControl/>
                    <w:ind w:left="0" w:leftChars="0" w:right="0" w:rightChars="0" w:firstLine="0" w:firstLineChars="0"/>
                    <w:jc w:val="center"/>
                    <w:rPr>
                      <w:rFonts w:ascii="Times New Roman" w:hAnsi="Times New Roman" w:eastAsia="宋体" w:cs="Times New Roman"/>
                      <w:b w:val="0"/>
                      <w:bCs/>
                      <w:color w:val="auto"/>
                      <w:kern w:val="0"/>
                      <w:sz w:val="21"/>
                    </w:rPr>
                  </w:pPr>
                  <w:r>
                    <w:rPr>
                      <w:rFonts w:ascii="Times New Roman" w:hAnsi="Times New Roman" w:eastAsia="宋体" w:cs="Times New Roman"/>
                      <w:b w:val="0"/>
                      <w:bCs/>
                      <w:color w:val="auto"/>
                      <w:kern w:val="0"/>
                      <w:sz w:val="21"/>
                    </w:rPr>
                    <w:t>1.93</w:t>
                  </w:r>
                </w:p>
              </w:tc>
            </w:tr>
          </w:tbl>
          <w:p>
            <w:pPr>
              <w:widowControl w:val="0"/>
              <w:adjustRightInd w:val="0"/>
              <w:snapToGrid w:val="0"/>
              <w:spacing w:line="360" w:lineRule="auto"/>
              <w:ind w:firstLine="422" w:firstLineChars="200"/>
              <w:jc w:val="both"/>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b/>
                <w:color w:val="auto"/>
                <w:kern w:val="2"/>
                <w:sz w:val="21"/>
                <w:szCs w:val="21"/>
                <w:lang w:val="en-US" w:eastAsia="zh-CN" w:bidi="ar-SA"/>
              </w:rPr>
              <w:t>注：</w:t>
            </w:r>
            <w:r>
              <w:rPr>
                <w:rFonts w:ascii="Times New Roman" w:hAnsi="Times New Roman" w:eastAsia="宋体" w:cs="Times New Roman"/>
                <w:color w:val="auto"/>
                <w:kern w:val="2"/>
                <w:sz w:val="21"/>
                <w:szCs w:val="21"/>
                <w:lang w:val="en-US" w:eastAsia="zh-CN" w:bidi="ar-SA"/>
              </w:rPr>
              <w:t>本表数据摘自《云南省水土流失调查成果公告》（2015年）</w:t>
            </w:r>
          </w:p>
          <w:p>
            <w:pPr>
              <w:spacing w:line="360" w:lineRule="auto"/>
              <w:ind w:firstLine="480" w:firstLineChars="200"/>
              <w:rPr>
                <w:rFonts w:ascii="Times New Roman" w:hAnsi="Times New Roman" w:eastAsia="宋体" w:cs="Times New Roman"/>
                <w:color w:val="auto"/>
                <w:sz w:val="24"/>
                <w:lang w:val="zh-CN"/>
              </w:rPr>
            </w:pPr>
            <w:r>
              <w:rPr>
                <w:rFonts w:ascii="Times New Roman" w:hAnsi="Times New Roman" w:eastAsia="宋体" w:cs="Times New Roman"/>
                <w:color w:val="auto"/>
                <w:sz w:val="24"/>
              </w:rPr>
              <w:t>根据云南省水利厅关于划分省级水土流失重点预防区和重点治理区的公告（第49号）、《全国水土保持规划国家级水土流失重点预防保护区和重点治理区复核划分成果》，依据《生产建设项目水土流失防治标准》（GB/T 50434-2018）的规定“项目位于各级人民政府和相关机构确定的水土流失重点预防区和重点治理区、饮用水水源保护区、水功能一级区的保护区和保留区、自然保护区、世界文化和自然遗产地、风景名胜区、地质公园、森林公园、重要湿地，且不能避让的，以及位于县级及以上城市区域的，应执行一级标准”，确定本项目防治标准执行等级为一级。</w:t>
            </w:r>
          </w:p>
          <w:p>
            <w:pPr>
              <w:spacing w:line="360" w:lineRule="auto"/>
              <w:ind w:firstLine="480" w:firstLineChars="200"/>
              <w:rPr>
                <w:rFonts w:hint="eastAsia" w:ascii="Times New Roman" w:hAnsi="Times New Roman" w:eastAsia="宋体" w:cs="Times New Roman"/>
                <w:color w:val="auto"/>
                <w:sz w:val="24"/>
                <w:lang w:val="zh-CN"/>
              </w:rPr>
            </w:pPr>
            <w:r>
              <w:rPr>
                <w:rFonts w:ascii="Times New Roman" w:hAnsi="Times New Roman" w:eastAsia="宋体" w:cs="Times New Roman"/>
                <w:color w:val="auto"/>
                <w:sz w:val="24"/>
                <w:lang w:val="zh-CN"/>
              </w:rPr>
              <w:t>据《土壤侵蚀分类分级标准》（SL190-2007），项目区属以水力侵蚀为主的西南岩溶区，土壤允许流失量为500t/km</w:t>
            </w:r>
            <w:r>
              <w:rPr>
                <w:rFonts w:ascii="Times New Roman" w:hAnsi="Times New Roman" w:eastAsia="宋体" w:cs="Times New Roman"/>
                <w:color w:val="auto"/>
                <w:sz w:val="24"/>
                <w:vertAlign w:val="superscript"/>
                <w:lang w:val="zh-CN"/>
              </w:rPr>
              <w:t>2</w:t>
            </w:r>
            <w:r>
              <w:rPr>
                <w:rFonts w:ascii="Times New Roman" w:hAnsi="Times New Roman" w:eastAsia="宋体" w:cs="Times New Roman"/>
                <w:color w:val="auto"/>
                <w:sz w:val="24"/>
                <w:lang w:val="zh-CN"/>
              </w:rPr>
              <w:t>·a。</w:t>
            </w:r>
            <w:r>
              <w:rPr>
                <w:rFonts w:ascii="Times New Roman" w:hAnsi="Times New Roman" w:eastAsia="宋体" w:cs="Times New Roman"/>
                <w:color w:val="auto"/>
                <w:sz w:val="24"/>
              </w:rPr>
              <w:t>根据现场调查结合查阅资料，项目区原地貌占地类型为坡耕地、梯坪地、林地、草地、交通运输用地和其它土地</w:t>
            </w:r>
            <w:r>
              <w:rPr>
                <w:rFonts w:ascii="Times New Roman" w:hAnsi="Times New Roman" w:eastAsia="宋体" w:cs="Times New Roman"/>
                <w:color w:val="auto"/>
                <w:sz w:val="24"/>
                <w:lang w:val="zh-CN"/>
              </w:rPr>
              <w:t>，水土流失微度。</w:t>
            </w:r>
          </w:p>
          <w:p>
            <w:pPr>
              <w:pStyle w:val="10"/>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根据元谋县水务局202</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11</w:t>
            </w:r>
            <w:r>
              <w:rPr>
                <w:rFonts w:hint="eastAsia" w:ascii="Times New Roman" w:hAnsi="Times New Roman" w:eastAsia="宋体" w:cs="Times New Roman"/>
                <w:color w:val="auto"/>
                <w:sz w:val="24"/>
              </w:rPr>
              <w:t>月1</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日</w:t>
            </w:r>
            <w:r>
              <w:rPr>
                <w:rFonts w:hint="eastAsia" w:cs="Times New Roman"/>
                <w:color w:val="auto"/>
                <w:sz w:val="24"/>
                <w:lang w:val="en-US" w:eastAsia="zh-CN"/>
              </w:rPr>
              <w:t xml:space="preserve"> </w:t>
            </w:r>
            <w:r>
              <w:rPr>
                <w:rFonts w:hint="eastAsia" w:ascii="Times New Roman" w:hAnsi="Times New Roman" w:eastAsia="宋体" w:cs="Times New Roman"/>
                <w:color w:val="auto"/>
                <w:sz w:val="24"/>
              </w:rPr>
              <w:t>《关于</w:t>
            </w:r>
            <w:r>
              <w:rPr>
                <w:rFonts w:hint="eastAsia" w:ascii="Times New Roman" w:hAnsi="Times New Roman" w:eastAsia="宋体" w:cs="Times New Roman"/>
                <w:color w:val="auto"/>
                <w:sz w:val="24"/>
                <w:lang w:val="en-US" w:eastAsia="zh-CN"/>
              </w:rPr>
              <w:t>楚雄州元谋县</w:t>
            </w:r>
            <w:r>
              <w:rPr>
                <w:rFonts w:hint="eastAsia" w:ascii="Times New Roman" w:hAnsi="Times New Roman" w:eastAsia="宋体" w:cs="Times New Roman"/>
                <w:color w:val="auto"/>
                <w:sz w:val="24"/>
              </w:rPr>
              <w:t>华能元谋马头地光伏电站项目选址意见的复函》</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详见附件7</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，拟建项目马头地光伏电站不属于“禁止开发区”，不位于崩塌滑坡危险区、泥石流易发区，原则同意项目按照所示图纸建设，及时履行水土保持手续。</w:t>
            </w:r>
          </w:p>
          <w:p>
            <w:pPr>
              <w:adjustRightInd w:val="0"/>
              <w:snapToGrid w:val="0"/>
              <w:spacing w:line="360" w:lineRule="auto"/>
              <w:rPr>
                <w:rFonts w:ascii="Times New Roman" w:hAnsi="Times New Roman" w:eastAsia="宋体" w:cs="Times New Roman"/>
                <w:b/>
                <w:color w:val="auto"/>
                <w:kern w:val="0"/>
                <w:sz w:val="24"/>
              </w:rPr>
            </w:pPr>
            <w:r>
              <w:rPr>
                <w:rFonts w:ascii="Times New Roman" w:hAnsi="Times New Roman" w:eastAsia="宋体" w:cs="Times New Roman"/>
                <w:b/>
                <w:color w:val="auto"/>
                <w:kern w:val="0"/>
                <w:sz w:val="24"/>
              </w:rPr>
              <w:t>3. 9 土壤环境现状</w:t>
            </w:r>
          </w:p>
          <w:p>
            <w:pPr>
              <w:adjustRightInd w:val="0"/>
              <w:snapToGrid w:val="0"/>
              <w:spacing w:line="360" w:lineRule="auto"/>
              <w:ind w:firstLine="480" w:firstLineChars="20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szCs w:val="32"/>
              </w:rPr>
              <w:t>元谋县土壤共分9个土类，14个亚类，25个土属，51个土种。在9个土类中，自然土壤占总面积的85%，农业土壤占15%。海拔2300~2400m的阳坡为紫色土，冲积土分布在河流两岸，水稻土多分布于低海拔地带。</w:t>
            </w:r>
            <w:r>
              <w:rPr>
                <w:rFonts w:hint="eastAsia" w:ascii="Times New Roman" w:hAnsi="Times New Roman" w:eastAsia="宋体" w:cs="Times New Roman"/>
                <w:color w:val="auto"/>
                <w:sz w:val="24"/>
              </w:rPr>
              <w:t>区域土壤质量现状良好。</w:t>
            </w:r>
          </w:p>
          <w:p>
            <w:pPr>
              <w:adjustRightInd w:val="0"/>
              <w:snapToGrid w:val="0"/>
              <w:spacing w:line="360" w:lineRule="auto"/>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3. 10 电磁环境现状</w:t>
            </w:r>
          </w:p>
          <w:p>
            <w:pPr>
              <w:spacing w:before="79" w:line="358" w:lineRule="auto"/>
              <w:ind w:left="8" w:firstLine="481"/>
              <w:rPr>
                <w:rFonts w:hint="eastAsia" w:ascii="Times New Roman" w:hAnsi="Times New Roman" w:eastAsia="宋体" w:cs="Times New Roman"/>
                <w:color w:val="auto"/>
                <w:sz w:val="24"/>
              </w:rPr>
            </w:pPr>
            <w:r>
              <w:rPr>
                <w:rFonts w:ascii="Times New Roman" w:hAnsi="Times New Roman" w:eastAsia="宋体" w:cs="Times New Roman"/>
                <w:color w:val="auto"/>
                <w:sz w:val="24"/>
              </w:rPr>
              <w:t>为了解项目电磁环境现状，</w:t>
            </w:r>
            <w:r>
              <w:rPr>
                <w:rFonts w:hint="eastAsia" w:ascii="Times New Roman" w:hAnsi="Times New Roman" w:eastAsia="宋体" w:cs="Times New Roman"/>
                <w:bCs/>
                <w:color w:val="auto"/>
                <w:kern w:val="0"/>
                <w:sz w:val="24"/>
              </w:rPr>
              <w:t>本次评价</w:t>
            </w:r>
            <w:r>
              <w:rPr>
                <w:rFonts w:hint="eastAsia" w:ascii="Times New Roman" w:hAnsi="Times New Roman" w:eastAsia="宋体" w:cs="Times New Roman"/>
                <w:color w:val="auto"/>
                <w:sz w:val="24"/>
              </w:rPr>
              <w:t>委托</w:t>
            </w:r>
            <w:bookmarkStart w:id="16" w:name="_Hlk90919456"/>
            <w:r>
              <w:rPr>
                <w:rFonts w:hint="eastAsia" w:ascii="Times New Roman" w:hAnsi="Times New Roman" w:eastAsia="宋体" w:cs="Times New Roman"/>
                <w:color w:val="auto"/>
                <w:sz w:val="24"/>
              </w:rPr>
              <w:t>云南</w:t>
            </w:r>
            <w:r>
              <w:rPr>
                <w:rFonts w:hint="eastAsia" w:ascii="Times New Roman" w:hAnsi="Times New Roman" w:eastAsia="宋体" w:cs="Times New Roman"/>
                <w:color w:val="auto"/>
                <w:sz w:val="24"/>
                <w:lang w:val="en-US" w:eastAsia="zh-CN"/>
              </w:rPr>
              <w:t>长源检测技术</w:t>
            </w:r>
            <w:r>
              <w:rPr>
                <w:rFonts w:hint="eastAsia" w:ascii="Times New Roman" w:hAnsi="Times New Roman" w:eastAsia="宋体" w:cs="Times New Roman"/>
                <w:color w:val="auto"/>
                <w:sz w:val="24"/>
              </w:rPr>
              <w:t>有限公司</w:t>
            </w:r>
            <w:bookmarkEnd w:id="16"/>
            <w:r>
              <w:rPr>
                <w:rFonts w:hint="eastAsia" w:ascii="Times New Roman" w:hAnsi="Times New Roman" w:eastAsia="宋体" w:cs="Times New Roman"/>
                <w:color w:val="auto"/>
                <w:sz w:val="24"/>
              </w:rPr>
              <w:t>在项目拟建</w:t>
            </w:r>
            <w:r>
              <w:rPr>
                <w:rFonts w:hint="eastAsia" w:ascii="Times New Roman" w:hAnsi="Times New Roman" w:eastAsia="宋体" w:cs="Times New Roman"/>
                <w:color w:val="auto"/>
                <w:sz w:val="24"/>
                <w:lang w:val="en-US" w:eastAsia="zh-CN"/>
              </w:rPr>
              <w:t>11</w:t>
            </w:r>
            <w:r>
              <w:rPr>
                <w:rFonts w:ascii="Times New Roman" w:hAnsi="Times New Roman" w:eastAsia="宋体" w:cs="Times New Roman"/>
                <w:color w:val="auto"/>
                <w:sz w:val="24"/>
              </w:rPr>
              <w:t>0</w:t>
            </w:r>
            <w:r>
              <w:rPr>
                <w:rFonts w:hint="eastAsia" w:ascii="Times New Roman" w:hAnsi="Times New Roman" w:eastAsia="宋体" w:cs="Times New Roman"/>
                <w:color w:val="auto"/>
                <w:sz w:val="24"/>
              </w:rPr>
              <w:t>kV升压站站址中心处进行了一期工频电场强度和磁感应强度监测。</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（1）监测内容</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监测点位：拟建马头地升压站站址，共1个监测点位（测量高度距地面1.5m，避开较高的树木、建筑物等遮挡）。</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监测项目：工频电场强度、工频磁感应强度</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监测频次：监测1天，每个监测点位连续监测5次，每次测量时间不小于15s，记录稳定状态的最大值。</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监测时间：202</w:t>
            </w:r>
            <w:r>
              <w:rPr>
                <w:rFonts w:hint="eastAsia" w:cs="Times New Roman"/>
                <w:color w:val="auto"/>
                <w:sz w:val="24"/>
                <w:lang w:val="en-US" w:eastAsia="zh-CN"/>
              </w:rPr>
              <w:t>3</w:t>
            </w:r>
            <w:r>
              <w:rPr>
                <w:rFonts w:hint="eastAsia" w:ascii="Times New Roman" w:hAnsi="Times New Roman" w:eastAsia="宋体" w:cs="Times New Roman"/>
                <w:color w:val="auto"/>
                <w:sz w:val="24"/>
              </w:rPr>
              <w:t>年</w:t>
            </w:r>
            <w:r>
              <w:rPr>
                <w:rFonts w:hint="eastAsia" w:cs="Times New Roman"/>
                <w:color w:val="auto"/>
                <w:sz w:val="24"/>
                <w:lang w:val="en-US" w:eastAsia="zh-CN"/>
              </w:rPr>
              <w:t>10</w:t>
            </w:r>
            <w:r>
              <w:rPr>
                <w:rFonts w:hint="eastAsia" w:ascii="Times New Roman" w:hAnsi="Times New Roman" w:eastAsia="宋体" w:cs="Times New Roman"/>
                <w:color w:val="auto"/>
                <w:sz w:val="24"/>
              </w:rPr>
              <w:t>月</w:t>
            </w:r>
            <w:r>
              <w:rPr>
                <w:rFonts w:hint="eastAsia" w:cs="Times New Roman"/>
                <w:color w:val="auto"/>
                <w:sz w:val="24"/>
                <w:lang w:val="en-US" w:eastAsia="zh-CN"/>
              </w:rPr>
              <w:t>29</w:t>
            </w:r>
            <w:r>
              <w:rPr>
                <w:rFonts w:hint="eastAsia" w:ascii="Times New Roman" w:hAnsi="Times New Roman" w:eastAsia="宋体" w:cs="Times New Roman"/>
                <w:color w:val="auto"/>
                <w:sz w:val="24"/>
              </w:rPr>
              <w:t>日；</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监测分析方法及主要仪器：按相关规范执行，详见附件</w:t>
            </w:r>
            <w:r>
              <w:rPr>
                <w:rFonts w:hint="eastAsia" w:cs="Times New Roman"/>
                <w:color w:val="auto"/>
                <w:sz w:val="24"/>
                <w:lang w:val="en-US" w:eastAsia="zh-CN"/>
              </w:rPr>
              <w:t>9</w:t>
            </w:r>
            <w:r>
              <w:rPr>
                <w:rFonts w:hint="eastAsia" w:ascii="Times New Roman" w:hAnsi="Times New Roman" w:eastAsia="宋体" w:cs="Times New Roman"/>
                <w:color w:val="auto"/>
                <w:sz w:val="24"/>
              </w:rPr>
              <w:t>；</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2</w:t>
            </w:r>
            <w:r>
              <w:rPr>
                <w:rFonts w:hint="eastAsia" w:ascii="Times New Roman" w:hAnsi="Times New Roman" w:eastAsia="宋体" w:cs="Times New Roman"/>
                <w:color w:val="auto"/>
                <w:sz w:val="24"/>
              </w:rPr>
              <w:t>）评价标准</w:t>
            </w:r>
          </w:p>
          <w:p>
            <w:pPr>
              <w:spacing w:before="79" w:line="358" w:lineRule="auto"/>
              <w:ind w:left="8" w:firstLine="481"/>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执行</w:t>
            </w:r>
            <w:r>
              <w:rPr>
                <w:rFonts w:ascii="Times New Roman" w:hAnsi="Times New Roman" w:eastAsia="宋体" w:cs="Times New Roman"/>
                <w:color w:val="auto"/>
                <w:sz w:val="24"/>
              </w:rPr>
              <w:t>《电磁环境控制限值》（GB8702-2014）相关</w:t>
            </w:r>
            <w:r>
              <w:rPr>
                <w:rFonts w:hint="eastAsia" w:ascii="Times New Roman" w:hAnsi="Times New Roman" w:eastAsia="宋体" w:cs="Times New Roman"/>
                <w:color w:val="auto"/>
                <w:sz w:val="24"/>
              </w:rPr>
              <w:t>标准。</w:t>
            </w:r>
          </w:p>
          <w:p>
            <w:pPr>
              <w:spacing w:before="79" w:line="358" w:lineRule="auto"/>
              <w:ind w:left="8" w:firstLine="481"/>
              <w:rPr>
                <w:rFonts w:ascii="Times New Roman" w:hAnsi="Times New Roman" w:eastAsia="宋体" w:cs="Times New Roman"/>
                <w:color w:val="auto"/>
                <w:sz w:val="24"/>
              </w:rPr>
            </w:pPr>
            <w:r>
              <w:rPr>
                <w:rFonts w:ascii="Times New Roman" w:hAnsi="Times New Roman" w:eastAsia="宋体" w:cs="Times New Roman"/>
                <w:color w:val="auto"/>
                <w:sz w:val="24"/>
              </w:rPr>
              <w:t>监测结果如表</w:t>
            </w:r>
            <w:r>
              <w:rPr>
                <w:rFonts w:hint="eastAsia" w:ascii="Times New Roman" w:hAnsi="Times New Roman" w:eastAsia="宋体" w:cs="Times New Roman"/>
                <w:color w:val="auto"/>
                <w:sz w:val="24"/>
              </w:rPr>
              <w:t>3.10-1</w:t>
            </w:r>
            <w:r>
              <w:rPr>
                <w:rFonts w:ascii="Times New Roman" w:hAnsi="Times New Roman" w:eastAsia="宋体" w:cs="Times New Roman"/>
                <w:color w:val="auto"/>
                <w:sz w:val="24"/>
              </w:rPr>
              <w:t>所示</w:t>
            </w:r>
            <w:r>
              <w:rPr>
                <w:rFonts w:hint="eastAsia"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表3.10-1  拟建升压站区域电磁环境质量监测值</w:t>
            </w:r>
          </w:p>
          <w:tbl>
            <w:tblPr>
              <w:tblStyle w:val="18"/>
              <w:tblW w:w="5000"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3266"/>
              <w:gridCol w:w="1762"/>
              <w:gridCol w:w="142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4" w:type="dxa"/>
                  <w:tcBorders>
                    <w:tl2br w:val="nil"/>
                    <w:tr2bl w:val="nil"/>
                  </w:tcBorders>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监测时段</w:t>
                  </w:r>
                </w:p>
              </w:tc>
              <w:tc>
                <w:tcPr>
                  <w:tcW w:w="3873" w:type="dxa"/>
                  <w:tcBorders>
                    <w:tl2br w:val="nil"/>
                    <w:tr2bl w:val="nil"/>
                  </w:tcBorders>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监</w:t>
                  </w:r>
                  <w:r>
                    <w:rPr>
                      <w:rFonts w:ascii="Times New Roman" w:hAnsi="Times New Roman" w:eastAsia="宋体" w:cs="Times New Roman"/>
                      <w:color w:val="auto"/>
                      <w:szCs w:val="21"/>
                    </w:rPr>
                    <w:cr/>
                  </w:r>
                  <w:r>
                    <w:rPr>
                      <w:rFonts w:ascii="Times New Roman" w:hAnsi="Times New Roman" w:eastAsia="宋体" w:cs="Times New Roman"/>
                      <w:color w:val="auto"/>
                      <w:szCs w:val="21"/>
                    </w:rPr>
                    <w:t>点位</w:t>
                  </w:r>
                </w:p>
              </w:tc>
              <w:tc>
                <w:tcPr>
                  <w:tcW w:w="1946" w:type="dxa"/>
                  <w:tcBorders>
                    <w:tl2br w:val="nil"/>
                    <w:tr2bl w:val="nil"/>
                  </w:tcBorders>
                  <w:noWrap w:val="0"/>
                  <w:vAlign w:val="center"/>
                </w:tcPr>
                <w:p>
                  <w:pPr>
                    <w:widowControl/>
                    <w:adjustRightInd w:val="0"/>
                    <w:snapToGrid w:val="0"/>
                    <w:spacing w:before="0" w:after="0" w:line="240" w:lineRule="auto"/>
                    <w:ind w:right="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工频电场强度</w:t>
                  </w:r>
                </w:p>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kV</w:t>
                  </w:r>
                  <w:r>
                    <w:rPr>
                      <w:rFonts w:ascii="Times New Roman" w:hAnsi="Times New Roman" w:eastAsia="宋体" w:cs="Times New Roman"/>
                      <w:color w:val="auto"/>
                      <w:szCs w:val="21"/>
                    </w:rPr>
                    <w:t>/m</w:t>
                  </w:r>
                  <w:r>
                    <w:rPr>
                      <w:rFonts w:hint="eastAsia" w:ascii="Times New Roman" w:hAnsi="Times New Roman" w:eastAsia="宋体" w:cs="Times New Roman"/>
                      <w:color w:val="auto"/>
                      <w:szCs w:val="21"/>
                      <w:lang w:eastAsia="zh-CN"/>
                    </w:rPr>
                    <w:t>）</w:t>
                  </w:r>
                </w:p>
              </w:tc>
              <w:tc>
                <w:tcPr>
                  <w:tcW w:w="1578" w:type="dxa"/>
                  <w:tcBorders>
                    <w:tl2br w:val="nil"/>
                    <w:tr2bl w:val="nil"/>
                  </w:tcBorders>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磁感应强度（μT）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4" w:type="dxa"/>
                  <w:tcBorders>
                    <w:tl2br w:val="nil"/>
                    <w:tr2bl w:val="nil"/>
                  </w:tcBorders>
                  <w:noWrap w:val="0"/>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2022年5月14日</w:t>
                  </w:r>
                </w:p>
              </w:tc>
              <w:tc>
                <w:tcPr>
                  <w:tcW w:w="3873" w:type="dxa"/>
                  <w:tcBorders>
                    <w:tl2br w:val="nil"/>
                    <w:tr2bl w:val="nil"/>
                  </w:tcBorders>
                  <w:noWrap w:val="0"/>
                  <w:vAlign w:val="center"/>
                </w:tcPr>
                <w:p>
                  <w:pPr>
                    <w:widowControl/>
                    <w:adjustRightInd w:val="0"/>
                    <w:snapToGrid w:val="0"/>
                    <w:spacing w:before="0" w:after="0" w:line="276" w:lineRule="auto"/>
                    <w:ind w:right="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spacing w:val="14"/>
                      <w:kern w:val="0"/>
                      <w:sz w:val="21"/>
                      <w:szCs w:val="21"/>
                      <w:lang w:val="en-US" w:eastAsia="zh-CN" w:bidi="ar-SA"/>
                    </w:rPr>
                    <w:t>拟建</w:t>
                  </w:r>
                  <w:r>
                    <w:rPr>
                      <w:rFonts w:hint="eastAsia" w:ascii="Times New Roman" w:hAnsi="Times New Roman" w:eastAsia="宋体" w:cs="Times New Roman"/>
                      <w:color w:val="auto"/>
                      <w:spacing w:val="14"/>
                      <w:kern w:val="0"/>
                      <w:sz w:val="21"/>
                      <w:szCs w:val="21"/>
                      <w:lang w:val="en-US" w:eastAsia="zh-CN" w:bidi="ar-SA"/>
                    </w:rPr>
                    <w:t>22</w:t>
                  </w:r>
                  <w:r>
                    <w:rPr>
                      <w:rFonts w:ascii="Times New Roman" w:hAnsi="Times New Roman" w:eastAsia="宋体" w:cs="Times New Roman"/>
                      <w:color w:val="auto"/>
                      <w:spacing w:val="14"/>
                      <w:kern w:val="0"/>
                      <w:sz w:val="21"/>
                      <w:szCs w:val="21"/>
                      <w:lang w:val="en-US" w:eastAsia="zh-CN" w:bidi="ar-SA"/>
                    </w:rPr>
                    <w:t>0kV升压站站址</w:t>
                  </w:r>
                  <w:r>
                    <w:rPr>
                      <w:rFonts w:hint="eastAsia" w:ascii="Times New Roman" w:hAnsi="Times New Roman" w:eastAsia="宋体" w:cs="Times New Roman"/>
                      <w:color w:val="auto"/>
                      <w:spacing w:val="14"/>
                      <w:kern w:val="0"/>
                      <w:sz w:val="21"/>
                      <w:szCs w:val="21"/>
                      <w:lang w:val="en-US" w:eastAsia="zh-CN" w:bidi="ar-SA"/>
                    </w:rPr>
                    <w:t>中心</w:t>
                  </w:r>
                </w:p>
              </w:tc>
              <w:tc>
                <w:tcPr>
                  <w:tcW w:w="1946" w:type="dxa"/>
                  <w:tcBorders>
                    <w:tl2br w:val="nil"/>
                    <w:tr2bl w:val="nil"/>
                  </w:tcBorders>
                  <w:noWrap w:val="0"/>
                  <w:vAlign w:val="center"/>
                </w:tcPr>
                <w:p>
                  <w:pPr>
                    <w:widowControl/>
                    <w:adjustRightInd w:val="0"/>
                    <w:snapToGrid w:val="0"/>
                    <w:spacing w:before="0" w:after="0" w:line="276"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0.001</w:t>
                  </w:r>
                </w:p>
              </w:tc>
              <w:tc>
                <w:tcPr>
                  <w:tcW w:w="1578" w:type="dxa"/>
                  <w:tcBorders>
                    <w:tl2br w:val="nil"/>
                    <w:tr2bl w:val="nil"/>
                  </w:tcBorders>
                  <w:noWrap w:val="0"/>
                  <w:vAlign w:val="center"/>
                </w:tcPr>
                <w:p>
                  <w:pPr>
                    <w:widowControl/>
                    <w:adjustRightInd w:val="0"/>
                    <w:snapToGrid w:val="0"/>
                    <w:spacing w:before="0" w:after="0" w:line="276"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0.001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7" w:type="dxa"/>
                  <w:gridSpan w:val="2"/>
                  <w:tcBorders>
                    <w:tl2br w:val="nil"/>
                    <w:tr2bl w:val="nil"/>
                  </w:tcBorders>
                  <w:noWrap w:val="0"/>
                  <w:vAlign w:val="center"/>
                </w:tcPr>
                <w:p>
                  <w:pPr>
                    <w:widowControl/>
                    <w:adjustRightInd w:val="0"/>
                    <w:snapToGrid w:val="0"/>
                    <w:spacing w:before="0" w:after="0" w:line="276" w:lineRule="auto"/>
                    <w:ind w:right="0"/>
                    <w:jc w:val="center"/>
                    <w:rPr>
                      <w:rFonts w:ascii="Times New Roman" w:hAnsi="Times New Roman" w:eastAsia="宋体" w:cs="Times New Roman"/>
                      <w:color w:val="auto"/>
                      <w:spacing w:val="14"/>
                      <w:kern w:val="0"/>
                      <w:sz w:val="21"/>
                      <w:szCs w:val="21"/>
                      <w:lang w:val="en-US" w:eastAsia="zh-CN" w:bidi="ar-SA"/>
                    </w:rPr>
                  </w:pPr>
                  <w:r>
                    <w:rPr>
                      <w:rFonts w:ascii="Times New Roman" w:hAnsi="Times New Roman" w:eastAsia="宋体" w:cs="Times New Roman"/>
                      <w:color w:val="auto"/>
                      <w:spacing w:val="14"/>
                      <w:kern w:val="0"/>
                      <w:sz w:val="21"/>
                      <w:szCs w:val="21"/>
                      <w:lang w:val="en-US" w:eastAsia="zh-CN" w:bidi="ar-SA"/>
                    </w:rPr>
                    <w:t>《电磁环境控制限值》（GB8702-2014）</w:t>
                  </w:r>
                </w:p>
              </w:tc>
              <w:tc>
                <w:tcPr>
                  <w:tcW w:w="1946" w:type="dxa"/>
                  <w:tcBorders>
                    <w:tl2br w:val="nil"/>
                    <w:tr2bl w:val="nil"/>
                  </w:tcBorders>
                  <w:noWrap w:val="0"/>
                  <w:vAlign w:val="center"/>
                </w:tcPr>
                <w:p>
                  <w:pPr>
                    <w:widowControl/>
                    <w:adjustRightInd w:val="0"/>
                    <w:snapToGrid w:val="0"/>
                    <w:spacing w:before="0" w:after="0" w:line="276" w:lineRule="auto"/>
                    <w:ind w:right="0"/>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w:t>
                  </w:r>
                </w:p>
              </w:tc>
              <w:tc>
                <w:tcPr>
                  <w:tcW w:w="1578" w:type="dxa"/>
                  <w:tcBorders>
                    <w:tl2br w:val="nil"/>
                    <w:tr2bl w:val="nil"/>
                  </w:tcBorders>
                  <w:noWrap w:val="0"/>
                  <w:vAlign w:val="center"/>
                </w:tcPr>
                <w:p>
                  <w:pPr>
                    <w:widowControl/>
                    <w:adjustRightInd w:val="0"/>
                    <w:snapToGrid w:val="0"/>
                    <w:spacing w:before="0" w:after="0" w:line="276" w:lineRule="auto"/>
                    <w:ind w:right="0"/>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7" w:type="dxa"/>
                  <w:gridSpan w:val="2"/>
                  <w:tcBorders>
                    <w:tl2br w:val="nil"/>
                    <w:tr2bl w:val="nil"/>
                  </w:tcBorders>
                  <w:noWrap w:val="0"/>
                  <w:vAlign w:val="center"/>
                </w:tcPr>
                <w:p>
                  <w:pPr>
                    <w:widowControl/>
                    <w:adjustRightInd w:val="0"/>
                    <w:snapToGrid w:val="0"/>
                    <w:spacing w:before="0" w:after="0" w:line="276" w:lineRule="auto"/>
                    <w:ind w:right="0"/>
                    <w:jc w:val="center"/>
                    <w:rPr>
                      <w:rFonts w:ascii="Times New Roman" w:hAnsi="Times New Roman" w:eastAsia="宋体" w:cs="Times New Roman"/>
                      <w:color w:val="auto"/>
                      <w:spacing w:val="14"/>
                      <w:kern w:val="0"/>
                      <w:sz w:val="21"/>
                      <w:szCs w:val="21"/>
                      <w:lang w:val="en-US" w:eastAsia="zh-CN" w:bidi="ar-SA"/>
                    </w:rPr>
                  </w:pPr>
                  <w:r>
                    <w:rPr>
                      <w:rFonts w:hint="eastAsia" w:ascii="Times New Roman" w:hAnsi="Times New Roman" w:eastAsia="宋体" w:cs="Times New Roman"/>
                      <w:color w:val="auto"/>
                      <w:spacing w:val="14"/>
                      <w:kern w:val="0"/>
                      <w:sz w:val="21"/>
                      <w:szCs w:val="21"/>
                      <w:lang w:val="en-US" w:eastAsia="zh-CN" w:bidi="ar-SA"/>
                    </w:rPr>
                    <w:t>达标情况</w:t>
                  </w:r>
                </w:p>
              </w:tc>
              <w:tc>
                <w:tcPr>
                  <w:tcW w:w="1946" w:type="dxa"/>
                  <w:tcBorders>
                    <w:tl2br w:val="nil"/>
                    <w:tr2bl w:val="nil"/>
                  </w:tcBorders>
                  <w:noWrap w:val="0"/>
                  <w:vAlign w:val="center"/>
                </w:tcPr>
                <w:p>
                  <w:pPr>
                    <w:widowControl/>
                    <w:adjustRightInd w:val="0"/>
                    <w:snapToGrid w:val="0"/>
                    <w:spacing w:before="0" w:after="0" w:line="276" w:lineRule="auto"/>
                    <w:ind w:right="0"/>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达标</w:t>
                  </w:r>
                </w:p>
              </w:tc>
              <w:tc>
                <w:tcPr>
                  <w:tcW w:w="1578" w:type="dxa"/>
                  <w:tcBorders>
                    <w:tl2br w:val="nil"/>
                    <w:tr2bl w:val="nil"/>
                  </w:tcBorders>
                  <w:noWrap w:val="0"/>
                  <w:vAlign w:val="center"/>
                </w:tcPr>
                <w:p>
                  <w:pPr>
                    <w:widowControl/>
                    <w:adjustRightInd w:val="0"/>
                    <w:snapToGrid w:val="0"/>
                    <w:spacing w:before="0" w:after="0" w:line="276" w:lineRule="auto"/>
                    <w:ind w:right="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达标</w:t>
                  </w:r>
                </w:p>
              </w:tc>
            </w:tr>
          </w:tbl>
          <w:p>
            <w:pPr>
              <w:pStyle w:val="10"/>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color w:val="auto"/>
                <w:lang w:val="en-US" w:eastAsia="zh-CN"/>
              </w:rPr>
            </w:pPr>
            <w:r>
              <w:rPr>
                <w:rFonts w:ascii="Times New Roman" w:hAnsi="Times New Roman" w:eastAsia="宋体" w:cs="Times New Roman"/>
                <w:color w:val="auto"/>
                <w:sz w:val="24"/>
              </w:rPr>
              <w:t>由表可知，工程拟建</w:t>
            </w:r>
            <w:r>
              <w:rPr>
                <w:rFonts w:hint="eastAsia" w:ascii="Times New Roman" w:hAnsi="Times New Roman" w:eastAsia="宋体" w:cs="Times New Roman"/>
                <w:color w:val="auto"/>
                <w:sz w:val="24"/>
                <w:lang w:val="en-US" w:eastAsia="zh-CN"/>
              </w:rPr>
              <w:t>11</w:t>
            </w:r>
            <w:r>
              <w:rPr>
                <w:rFonts w:ascii="Times New Roman" w:hAnsi="Times New Roman" w:eastAsia="宋体" w:cs="Times New Roman"/>
                <w:color w:val="auto"/>
                <w:sz w:val="24"/>
              </w:rPr>
              <w:t>0kV升压站区域电磁环境现状监测值能够满足《电磁环境控制限值》（GB8702-2014）相关规定：公众曝露工频电场强度限值为4kV/m，公众曝露工频磁感应强度限值为</w:t>
            </w:r>
            <w:r>
              <w:rPr>
                <w:rFonts w:hint="eastAsia" w:ascii="Times New Roman" w:hAnsi="Times New Roman" w:eastAsia="宋体" w:cs="Times New Roman"/>
                <w:color w:val="auto"/>
                <w:sz w:val="24"/>
                <w:lang w:val="en-US" w:eastAsia="zh-CN"/>
              </w:rPr>
              <w:t>100</w:t>
            </w:r>
            <w:r>
              <w:rPr>
                <w:rFonts w:ascii="Times New Roman" w:hAnsi="Times New Roman" w:eastAsia="宋体" w:cs="Times New Roman"/>
                <w:color w:val="auto"/>
                <w:szCs w:val="21"/>
              </w:rPr>
              <w:t>μT</w:t>
            </w:r>
            <w:r>
              <w:rPr>
                <w:rFonts w:ascii="Times New Roman" w:hAnsi="Times New Roman" w:eastAsia="宋体" w:cs="Times New Roman"/>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50" w:type="pct"/>
            <w:noWrap w:val="0"/>
            <w:vAlign w:val="center"/>
          </w:tcPr>
          <w:p>
            <w:pPr>
              <w:ind w:left="0" w:leftChars="0" w:right="0" w:rightChars="0" w:firstLine="0" w:firstLineChars="0"/>
              <w:jc w:val="center"/>
              <w:rPr>
                <w:rFonts w:hint="default" w:ascii="Times New Roman" w:hAnsi="Times New Roman" w:eastAsia="宋体"/>
                <w:color w:val="auto"/>
                <w:sz w:val="24"/>
                <w:lang w:val="en-US" w:eastAsia="zh-CN"/>
              </w:rPr>
            </w:pPr>
            <w:r>
              <w:rPr>
                <w:rFonts w:hint="default" w:ascii="Times New Roman" w:hAnsi="Times New Roman" w:eastAsia="宋体"/>
                <w:color w:val="auto"/>
                <w:sz w:val="24"/>
                <w:lang w:val="en-US" w:eastAsia="zh-CN"/>
              </w:rPr>
              <w:t>与项目有关的原有环境污染和生态破坏问题</w:t>
            </w:r>
          </w:p>
        </w:tc>
        <w:tc>
          <w:tcPr>
            <w:tcW w:w="4750" w:type="pct"/>
            <w:noWrap w:val="0"/>
            <w:vAlign w:val="center"/>
          </w:tcPr>
          <w:p>
            <w:pPr>
              <w:ind w:left="0" w:leftChars="0" w:right="0" w:rightChars="0" w:firstLine="0" w:firstLineChars="0"/>
              <w:jc w:val="both"/>
              <w:rPr>
                <w:rFonts w:hint="default" w:ascii="Times New Roman" w:hAnsi="Times New Roman" w:eastAsia="宋体"/>
                <w:color w:val="auto"/>
                <w:sz w:val="24"/>
                <w:lang w:val="en-US" w:eastAsia="zh-CN"/>
              </w:rPr>
            </w:pPr>
            <w:r>
              <w:rPr>
                <w:rFonts w:hint="default" w:ascii="Times New Roman" w:hAnsi="Times New Roman" w:eastAsia="宋体"/>
                <w:color w:val="auto"/>
                <w:sz w:val="24"/>
                <w:lang w:val="en-US" w:eastAsia="zh-CN"/>
              </w:rPr>
              <w:t>本项目为新建项目，不存在原有环境污染和生态破坏问题。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250" w:type="pct"/>
            <w:noWrap w:val="0"/>
            <w:vAlign w:val="center"/>
          </w:tcPr>
          <w:p>
            <w:pPr>
              <w:ind w:left="0" w:leftChars="0" w:right="0" w:rightChars="0" w:firstLine="0" w:firstLineChars="0"/>
              <w:jc w:val="center"/>
              <w:rPr>
                <w:rFonts w:hint="default" w:ascii="Times New Roman" w:hAnsi="Times New Roman" w:eastAsia="宋体"/>
                <w:color w:val="auto"/>
                <w:sz w:val="24"/>
                <w:lang w:val="en-US" w:eastAsia="zh-CN"/>
              </w:rPr>
            </w:pPr>
            <w:r>
              <w:rPr>
                <w:rFonts w:hint="default" w:ascii="Times New Roman" w:hAnsi="Times New Roman" w:eastAsia="宋体"/>
                <w:color w:val="auto"/>
                <w:sz w:val="24"/>
                <w:lang w:val="en-US" w:eastAsia="zh-CN"/>
              </w:rPr>
              <w:t>生态环境保护目标</w:t>
            </w:r>
          </w:p>
        </w:tc>
        <w:tc>
          <w:tcPr>
            <w:tcW w:w="4750" w:type="pct"/>
            <w:noWrap w:val="0"/>
            <w:vAlign w:val="center"/>
          </w:tcPr>
          <w:p>
            <w:pPr>
              <w:adjustRightInd w:val="0"/>
              <w:snapToGrid w:val="0"/>
              <w:spacing w:line="360" w:lineRule="auto"/>
              <w:rPr>
                <w:rFonts w:hint="eastAsia"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3.11生态环境保护目标</w:t>
            </w:r>
          </w:p>
          <w:p>
            <w:pPr>
              <w:spacing w:line="360" w:lineRule="auto"/>
              <w:ind w:firstLine="480" w:firstLineChars="200"/>
              <w:rPr>
                <w:rFonts w:ascii="Times New Roman" w:hAnsi="Times New Roman" w:eastAsia="宋体" w:cs="Times New Roman"/>
                <w:bCs/>
                <w:color w:val="auto"/>
                <w:sz w:val="24"/>
              </w:rPr>
            </w:pPr>
            <w:r>
              <w:rPr>
                <w:rFonts w:hint="eastAsia" w:ascii="Times New Roman" w:hAnsi="Times New Roman" w:eastAsia="宋体" w:cs="Times New Roman"/>
                <w:bCs/>
                <w:color w:val="auto"/>
                <w:sz w:val="24"/>
              </w:rPr>
              <w:t>项目生态环境评价范围为各光伏场区、集电线路、场内道路、弃渣场等用地红线外延</w:t>
            </w:r>
            <w:r>
              <w:rPr>
                <w:rFonts w:ascii="Times New Roman" w:hAnsi="Times New Roman" w:eastAsia="宋体" w:cs="Times New Roman"/>
                <w:bCs/>
                <w:color w:val="auto"/>
                <w:sz w:val="24"/>
              </w:rPr>
              <w:t>300m区域</w:t>
            </w:r>
            <w:r>
              <w:rPr>
                <w:rFonts w:hint="eastAsia" w:ascii="Times New Roman" w:hAnsi="Times New Roman" w:eastAsia="宋体" w:cs="Times New Roman"/>
                <w:bCs/>
                <w:color w:val="auto"/>
                <w:sz w:val="24"/>
              </w:rPr>
              <w:t>及升压站外延5</w:t>
            </w:r>
            <w:r>
              <w:rPr>
                <w:rFonts w:ascii="Times New Roman" w:hAnsi="Times New Roman" w:eastAsia="宋体" w:cs="Times New Roman"/>
                <w:bCs/>
                <w:color w:val="auto"/>
                <w:sz w:val="24"/>
              </w:rPr>
              <w:t>00m</w:t>
            </w:r>
            <w:r>
              <w:rPr>
                <w:rFonts w:hint="eastAsia" w:ascii="Times New Roman" w:hAnsi="Times New Roman" w:eastAsia="宋体" w:cs="Times New Roman"/>
                <w:bCs/>
                <w:color w:val="auto"/>
                <w:sz w:val="24"/>
              </w:rPr>
              <w:t>区域。评价范围内主要生态环境保护目标如下：</w:t>
            </w:r>
          </w:p>
          <w:p>
            <w:pPr>
              <w:spacing w:line="360" w:lineRule="auto"/>
              <w:jc w:val="center"/>
              <w:rPr>
                <w:rFonts w:ascii="Times New Roman" w:hAnsi="Times New Roman" w:eastAsia="宋体" w:cs="Times New Roman"/>
                <w:b/>
                <w:bCs/>
                <w:color w:val="auto"/>
                <w:sz w:val="24"/>
              </w:rPr>
            </w:pPr>
            <w:r>
              <w:rPr>
                <w:rFonts w:ascii="Times New Roman" w:hAnsi="Times New Roman" w:eastAsia="宋体" w:cs="Times New Roman"/>
                <w:b/>
                <w:bCs/>
                <w:color w:val="auto"/>
                <w:sz w:val="24"/>
              </w:rPr>
              <w:t>表</w:t>
            </w:r>
            <w:r>
              <w:rPr>
                <w:rFonts w:hint="eastAsia" w:ascii="Times New Roman" w:hAnsi="Times New Roman" w:eastAsia="宋体" w:cs="Times New Roman"/>
                <w:b/>
                <w:bCs/>
                <w:color w:val="auto"/>
                <w:sz w:val="24"/>
              </w:rPr>
              <w:t>3.11</w:t>
            </w:r>
            <w:r>
              <w:rPr>
                <w:rFonts w:ascii="Times New Roman" w:hAnsi="Times New Roman" w:eastAsia="宋体" w:cs="Times New Roman"/>
                <w:b/>
                <w:bCs/>
                <w:color w:val="auto"/>
                <w:sz w:val="24"/>
              </w:rPr>
              <w:t>-1  工程主要生态环境保护目标一览表</w:t>
            </w:r>
          </w:p>
          <w:tbl>
            <w:tblPr>
              <w:tblStyle w:val="18"/>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3201"/>
              <w:gridCol w:w="2079"/>
              <w:gridCol w:w="196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5" w:type="dxa"/>
                  <w:shd w:val="clear" w:color="auto" w:fill="auto"/>
                  <w:noWrap w:val="0"/>
                  <w:vAlign w:val="center"/>
                </w:tcPr>
                <w:p>
                  <w:pPr>
                    <w:widowControl/>
                    <w:adjustRightInd w:val="0"/>
                    <w:snapToGrid w:val="0"/>
                    <w:jc w:val="center"/>
                    <w:rPr>
                      <w:rFonts w:ascii="Times New Roman" w:hAnsi="Times New Roman" w:eastAsia="宋体" w:cs="Times New Roman"/>
                      <w:b/>
                      <w:color w:val="auto"/>
                      <w:kern w:val="0"/>
                    </w:rPr>
                  </w:pPr>
                  <w:r>
                    <w:rPr>
                      <w:rFonts w:hint="eastAsia" w:ascii="Times New Roman" w:hAnsi="Times New Roman" w:eastAsia="宋体" w:cs="Times New Roman"/>
                      <w:b/>
                      <w:color w:val="auto"/>
                      <w:kern w:val="0"/>
                    </w:rPr>
                    <w:t>类别</w:t>
                  </w:r>
                </w:p>
              </w:tc>
              <w:tc>
                <w:tcPr>
                  <w:tcW w:w="3260" w:type="dxa"/>
                  <w:shd w:val="clear" w:color="auto" w:fill="auto"/>
                  <w:noWrap w:val="0"/>
                  <w:vAlign w:val="center"/>
                </w:tcPr>
                <w:p>
                  <w:pPr>
                    <w:widowControl/>
                    <w:adjustRightInd w:val="0"/>
                    <w:snapToGrid w:val="0"/>
                    <w:jc w:val="center"/>
                    <w:rPr>
                      <w:rFonts w:ascii="Times New Roman" w:hAnsi="Times New Roman" w:eastAsia="宋体" w:cs="Times New Roman"/>
                      <w:b/>
                      <w:color w:val="auto"/>
                      <w:kern w:val="0"/>
                    </w:rPr>
                  </w:pPr>
                  <w:r>
                    <w:rPr>
                      <w:rFonts w:hint="eastAsia" w:ascii="Times New Roman" w:hAnsi="Times New Roman" w:eastAsia="宋体" w:cs="Times New Roman"/>
                      <w:b/>
                      <w:color w:val="auto"/>
                      <w:kern w:val="0"/>
                    </w:rPr>
                    <w:t>保护目标</w:t>
                  </w:r>
                </w:p>
              </w:tc>
              <w:tc>
                <w:tcPr>
                  <w:tcW w:w="2119" w:type="dxa"/>
                  <w:shd w:val="clear" w:color="auto" w:fill="auto"/>
                  <w:noWrap w:val="0"/>
                  <w:vAlign w:val="center"/>
                </w:tcPr>
                <w:p>
                  <w:pPr>
                    <w:widowControl/>
                    <w:adjustRightInd w:val="0"/>
                    <w:snapToGrid w:val="0"/>
                    <w:jc w:val="center"/>
                    <w:rPr>
                      <w:rFonts w:ascii="Times New Roman" w:hAnsi="Times New Roman" w:eastAsia="宋体" w:cs="Times New Roman"/>
                      <w:b/>
                      <w:color w:val="auto"/>
                      <w:kern w:val="0"/>
                    </w:rPr>
                  </w:pPr>
                  <w:r>
                    <w:rPr>
                      <w:rFonts w:hint="eastAsia" w:ascii="Times New Roman" w:hAnsi="Times New Roman" w:eastAsia="宋体" w:cs="Times New Roman"/>
                      <w:b/>
                      <w:color w:val="auto"/>
                      <w:kern w:val="0"/>
                    </w:rPr>
                    <w:t>位置</w:t>
                  </w:r>
                </w:p>
              </w:tc>
              <w:tc>
                <w:tcPr>
                  <w:tcW w:w="2009" w:type="dxa"/>
                  <w:shd w:val="clear" w:color="auto" w:fill="auto"/>
                  <w:noWrap w:val="0"/>
                  <w:vAlign w:val="center"/>
                </w:tcPr>
                <w:p>
                  <w:pPr>
                    <w:widowControl/>
                    <w:adjustRightInd w:val="0"/>
                    <w:snapToGrid w:val="0"/>
                    <w:jc w:val="center"/>
                    <w:rPr>
                      <w:rFonts w:ascii="Times New Roman" w:hAnsi="Times New Roman" w:eastAsia="宋体" w:cs="Times New Roman"/>
                      <w:b/>
                      <w:color w:val="auto"/>
                      <w:kern w:val="0"/>
                    </w:rPr>
                  </w:pPr>
                  <w:r>
                    <w:rPr>
                      <w:rFonts w:hint="eastAsia" w:ascii="Times New Roman" w:hAnsi="Times New Roman" w:eastAsia="宋体" w:cs="Times New Roman"/>
                      <w:b/>
                      <w:color w:val="auto"/>
                      <w:kern w:val="0"/>
                    </w:rPr>
                    <w:t>影响因素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5" w:type="dxa"/>
                  <w:shd w:val="clear" w:color="auto" w:fill="auto"/>
                  <w:noWrap w:val="0"/>
                  <w:vAlign w:val="center"/>
                </w:tcPr>
                <w:p>
                  <w:pPr>
                    <w:widowControl/>
                    <w:adjustRightInd w:val="0"/>
                    <w:snapToGrid w:val="0"/>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自然植被</w:t>
                  </w:r>
                </w:p>
              </w:tc>
              <w:tc>
                <w:tcPr>
                  <w:tcW w:w="3260" w:type="dxa"/>
                  <w:shd w:val="clear" w:color="auto" w:fill="auto"/>
                  <w:noWrap w:val="0"/>
                  <w:vAlign w:val="center"/>
                </w:tcPr>
                <w:p>
                  <w:pPr>
                    <w:widowControl/>
                    <w:adjustRightInd w:val="0"/>
                    <w:snapToGrid w:val="0"/>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干热河谷硬叶常绿阔叶林、干热性稀树灌木草丛、</w:t>
                  </w:r>
                  <w:r>
                    <w:rPr>
                      <w:rFonts w:hint="eastAsia" w:ascii="宋体" w:hAnsi="宋体" w:eastAsia="宋体" w:cs="宋体"/>
                      <w:color w:val="auto"/>
                      <w:szCs w:val="21"/>
                    </w:rPr>
                    <w:t>干热河谷次生灌木草丛</w:t>
                  </w:r>
                  <w:r>
                    <w:rPr>
                      <w:rFonts w:hint="eastAsia" w:ascii="Times New Roman" w:hAnsi="Times New Roman" w:eastAsia="宋体" w:cs="Times New Roman"/>
                      <w:color w:val="auto"/>
                      <w:kern w:val="0"/>
                    </w:rPr>
                    <w:t>等自然植被</w:t>
                  </w:r>
                </w:p>
              </w:tc>
              <w:tc>
                <w:tcPr>
                  <w:tcW w:w="2119" w:type="dxa"/>
                  <w:shd w:val="clear" w:color="auto" w:fill="auto"/>
                  <w:noWrap w:val="0"/>
                  <w:vAlign w:val="center"/>
                </w:tcPr>
                <w:p>
                  <w:pPr>
                    <w:widowControl/>
                    <w:adjustRightInd w:val="0"/>
                    <w:snapToGrid w:val="0"/>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项目区及评价范围内</w:t>
                  </w:r>
                </w:p>
              </w:tc>
              <w:tc>
                <w:tcPr>
                  <w:tcW w:w="2009" w:type="dxa"/>
                  <w:shd w:val="clear" w:color="auto" w:fill="auto"/>
                  <w:noWrap w:val="0"/>
                  <w:vAlign w:val="center"/>
                </w:tcPr>
                <w:p>
                  <w:pPr>
                    <w:widowControl/>
                    <w:adjustRightInd w:val="0"/>
                    <w:snapToGrid w:val="0"/>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项目占地及施工造成植被损失及生物量减少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5" w:type="dxa"/>
                  <w:shd w:val="clear" w:color="auto" w:fill="auto"/>
                  <w:noWrap w:val="0"/>
                  <w:vAlign w:val="center"/>
                </w:tcPr>
                <w:p>
                  <w:pPr>
                    <w:widowControl/>
                    <w:adjustRightInd w:val="0"/>
                    <w:snapToGrid w:val="0"/>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植物资源</w:t>
                  </w:r>
                </w:p>
              </w:tc>
              <w:tc>
                <w:tcPr>
                  <w:tcW w:w="3260" w:type="dxa"/>
                  <w:shd w:val="clear" w:color="auto" w:fill="auto"/>
                  <w:noWrap w:val="0"/>
                  <w:vAlign w:val="center"/>
                </w:tcPr>
                <w:p>
                  <w:pPr>
                    <w:widowControl/>
                    <w:adjustRightInd w:val="0"/>
                    <w:snapToGrid w:val="0"/>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蕨类植物8科、11属、13种；裸子植物2科，3属，4种；被子植物63科，181属，222种</w:t>
                  </w:r>
                </w:p>
              </w:tc>
              <w:tc>
                <w:tcPr>
                  <w:tcW w:w="2119" w:type="dxa"/>
                  <w:shd w:val="clear" w:color="auto" w:fill="auto"/>
                  <w:noWrap w:val="0"/>
                  <w:vAlign w:val="center"/>
                </w:tcPr>
                <w:p>
                  <w:pPr>
                    <w:widowControl/>
                    <w:adjustRightInd w:val="0"/>
                    <w:snapToGrid w:val="0"/>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项目区及评价范围内</w:t>
                  </w:r>
                </w:p>
              </w:tc>
              <w:tc>
                <w:tcPr>
                  <w:tcW w:w="2009" w:type="dxa"/>
                  <w:shd w:val="clear" w:color="auto" w:fill="auto"/>
                  <w:noWrap w:val="0"/>
                  <w:vAlign w:val="center"/>
                </w:tcPr>
                <w:p>
                  <w:pPr>
                    <w:widowControl/>
                    <w:adjustRightInd w:val="0"/>
                    <w:snapToGrid w:val="0"/>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项目占地及施工对植物个体的影响</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5" w:type="dxa"/>
                  <w:vMerge w:val="restart"/>
                  <w:shd w:val="clear" w:color="auto" w:fill="auto"/>
                  <w:noWrap w:val="0"/>
                  <w:vAlign w:val="center"/>
                </w:tcPr>
                <w:p>
                  <w:pPr>
                    <w:widowControl/>
                    <w:adjustRightInd w:val="0"/>
                    <w:snapToGrid w:val="0"/>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野生动物</w:t>
                  </w:r>
                </w:p>
              </w:tc>
              <w:tc>
                <w:tcPr>
                  <w:tcW w:w="3260" w:type="dxa"/>
                  <w:shd w:val="clear" w:color="auto" w:fill="auto"/>
                  <w:noWrap w:val="0"/>
                  <w:vAlign w:val="center"/>
                </w:tcPr>
                <w:p>
                  <w:pPr>
                    <w:widowControl/>
                    <w:adjustRightInd w:val="0"/>
                    <w:snapToGrid w:val="0"/>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陆栖脊椎动物75种，</w:t>
                  </w:r>
                </w:p>
              </w:tc>
              <w:tc>
                <w:tcPr>
                  <w:tcW w:w="2119" w:type="dxa"/>
                  <w:shd w:val="clear" w:color="auto" w:fill="auto"/>
                  <w:noWrap w:val="0"/>
                  <w:vAlign w:val="center"/>
                </w:tcPr>
                <w:p>
                  <w:pPr>
                    <w:widowControl/>
                    <w:adjustRightInd w:val="0"/>
                    <w:snapToGrid w:val="0"/>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项目区及评价范围内</w:t>
                  </w:r>
                </w:p>
              </w:tc>
              <w:tc>
                <w:tcPr>
                  <w:tcW w:w="2009" w:type="dxa"/>
                  <w:vMerge w:val="restart"/>
                  <w:shd w:val="clear" w:color="auto" w:fill="auto"/>
                  <w:noWrap w:val="0"/>
                  <w:vAlign w:val="center"/>
                </w:tcPr>
                <w:p>
                  <w:pPr>
                    <w:widowControl/>
                    <w:adjustRightInd w:val="0"/>
                    <w:snapToGrid w:val="0"/>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工程施工造成路域野生动物被动迁移，影响时段为施工期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5" w:type="dxa"/>
                  <w:vMerge w:val="continue"/>
                  <w:shd w:val="clear" w:color="auto" w:fill="auto"/>
                  <w:noWrap w:val="0"/>
                  <w:vAlign w:val="center"/>
                </w:tcPr>
                <w:p>
                  <w:pPr>
                    <w:widowControl/>
                    <w:adjustRightInd w:val="0"/>
                    <w:snapToGrid w:val="0"/>
                    <w:jc w:val="center"/>
                    <w:rPr>
                      <w:rFonts w:ascii="Times New Roman" w:hAnsi="Times New Roman" w:eastAsia="宋体" w:cs="Times New Roman"/>
                      <w:color w:val="auto"/>
                      <w:kern w:val="0"/>
                    </w:rPr>
                  </w:pPr>
                </w:p>
              </w:tc>
              <w:tc>
                <w:tcPr>
                  <w:tcW w:w="3260" w:type="dxa"/>
                  <w:shd w:val="clear" w:color="auto" w:fill="auto"/>
                  <w:noWrap w:val="0"/>
                  <w:vAlign w:val="center"/>
                </w:tcPr>
                <w:p>
                  <w:pPr>
                    <w:widowControl/>
                    <w:adjustRightInd w:val="0"/>
                    <w:snapToGrid w:val="0"/>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云南省Ⅱ级重点保护爬行动物1种：眼镜蛇（</w:t>
                  </w:r>
                  <w:r>
                    <w:rPr>
                      <w:rFonts w:hint="eastAsia" w:ascii="Times New Roman" w:hAnsi="Times New Roman" w:eastAsia="宋体" w:cs="Times New Roman"/>
                      <w:i/>
                      <w:iCs/>
                      <w:color w:val="auto"/>
                      <w:kern w:val="0"/>
                    </w:rPr>
                    <w:t>Naja naja atra</w:t>
                  </w:r>
                  <w:r>
                    <w:rPr>
                      <w:rFonts w:hint="eastAsia" w:ascii="Times New Roman" w:hAnsi="Times New Roman" w:eastAsia="宋体" w:cs="Times New Roman"/>
                      <w:color w:val="auto"/>
                      <w:kern w:val="0"/>
                    </w:rPr>
                    <w:t>）；</w:t>
                  </w:r>
                </w:p>
                <w:p>
                  <w:pPr>
                    <w:widowControl/>
                    <w:adjustRightInd w:val="0"/>
                    <w:snapToGrid w:val="0"/>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国家Ⅱ级重点保护鸟类3种：[黑]鸢（</w:t>
                  </w:r>
                  <w:r>
                    <w:rPr>
                      <w:rFonts w:hint="eastAsia" w:ascii="Times New Roman" w:hAnsi="Times New Roman" w:eastAsia="宋体" w:cs="Times New Roman"/>
                      <w:i/>
                      <w:iCs/>
                      <w:color w:val="auto"/>
                      <w:kern w:val="0"/>
                    </w:rPr>
                    <w:t>Milvus migrans</w:t>
                  </w:r>
                  <w:r>
                    <w:rPr>
                      <w:rFonts w:hint="eastAsia" w:ascii="Times New Roman" w:hAnsi="Times New Roman" w:eastAsia="宋体" w:cs="Times New Roman"/>
                      <w:color w:val="auto"/>
                      <w:kern w:val="0"/>
                    </w:rPr>
                    <w:t>）、红隼（</w:t>
                  </w:r>
                  <w:r>
                    <w:rPr>
                      <w:rFonts w:hint="eastAsia" w:ascii="Times New Roman" w:hAnsi="Times New Roman" w:eastAsia="宋体" w:cs="Times New Roman"/>
                      <w:i/>
                      <w:iCs/>
                      <w:color w:val="auto"/>
                      <w:kern w:val="0"/>
                    </w:rPr>
                    <w:t>Falco tinnunculus</w:t>
                  </w:r>
                  <w:r>
                    <w:rPr>
                      <w:rFonts w:hint="eastAsia" w:ascii="Times New Roman" w:hAnsi="Times New Roman" w:eastAsia="宋体" w:cs="Times New Roman"/>
                      <w:color w:val="auto"/>
                      <w:kern w:val="0"/>
                    </w:rPr>
                    <w:t>）、斑头鸺鹠（</w:t>
                  </w:r>
                  <w:r>
                    <w:rPr>
                      <w:rFonts w:hint="eastAsia" w:ascii="Times New Roman" w:hAnsi="Times New Roman" w:eastAsia="宋体" w:cs="Times New Roman"/>
                      <w:i/>
                      <w:iCs/>
                      <w:color w:val="auto"/>
                      <w:kern w:val="0"/>
                    </w:rPr>
                    <w:t>Glaucidium cuculoides</w:t>
                  </w:r>
                  <w:r>
                    <w:rPr>
                      <w:rFonts w:hint="eastAsia" w:ascii="Times New Roman" w:hAnsi="Times New Roman" w:eastAsia="宋体" w:cs="Times New Roman"/>
                      <w:color w:val="auto"/>
                      <w:kern w:val="0"/>
                    </w:rPr>
                    <w:t>）</w:t>
                  </w:r>
                </w:p>
              </w:tc>
              <w:tc>
                <w:tcPr>
                  <w:tcW w:w="2119" w:type="dxa"/>
                  <w:shd w:val="clear" w:color="auto" w:fill="auto"/>
                  <w:noWrap w:val="0"/>
                  <w:vAlign w:val="center"/>
                </w:tcPr>
                <w:p>
                  <w:pPr>
                    <w:widowControl/>
                    <w:adjustRightInd w:val="0"/>
                    <w:snapToGrid w:val="0"/>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项目区及评价范围内</w:t>
                  </w:r>
                </w:p>
              </w:tc>
              <w:tc>
                <w:tcPr>
                  <w:tcW w:w="2009" w:type="dxa"/>
                  <w:vMerge w:val="continue"/>
                  <w:shd w:val="clear" w:color="auto" w:fill="auto"/>
                  <w:noWrap w:val="0"/>
                  <w:vAlign w:val="center"/>
                </w:tcPr>
                <w:p>
                  <w:pPr>
                    <w:widowControl/>
                    <w:adjustRightInd w:val="0"/>
                    <w:snapToGrid w:val="0"/>
                    <w:jc w:val="center"/>
                    <w:rPr>
                      <w:rFonts w:ascii="Times New Roman" w:hAnsi="Times New Roman" w:eastAsia="宋体" w:cs="Times New Roman"/>
                      <w:color w:val="auto"/>
                      <w:kern w:val="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5" w:type="dxa"/>
                  <w:shd w:val="clear" w:color="auto" w:fill="auto"/>
                  <w:noWrap w:val="0"/>
                  <w:vAlign w:val="center"/>
                </w:tcPr>
                <w:p>
                  <w:pPr>
                    <w:widowControl/>
                    <w:adjustRightInd w:val="0"/>
                    <w:snapToGrid w:val="0"/>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生态敏感区</w:t>
                  </w:r>
                </w:p>
              </w:tc>
              <w:tc>
                <w:tcPr>
                  <w:tcW w:w="3260" w:type="dxa"/>
                  <w:shd w:val="clear" w:color="auto" w:fill="auto"/>
                  <w:noWrap w:val="0"/>
                  <w:vAlign w:val="center"/>
                </w:tcPr>
                <w:p>
                  <w:pPr>
                    <w:widowControl/>
                    <w:adjustRightInd w:val="0"/>
                    <w:snapToGrid w:val="0"/>
                    <w:jc w:val="center"/>
                    <w:rPr>
                      <w:rFonts w:ascii="Times New Roman" w:hAnsi="Times New Roman" w:eastAsia="宋体" w:cs="Times New Roman"/>
                      <w:b/>
                      <w:bCs/>
                      <w:color w:val="auto"/>
                      <w:kern w:val="0"/>
                    </w:rPr>
                  </w:pPr>
                  <w:r>
                    <w:rPr>
                      <w:rFonts w:hint="eastAsia" w:ascii="Times New Roman" w:hAnsi="Times New Roman" w:eastAsia="宋体" w:cs="Times New Roman"/>
                      <w:b/>
                      <w:bCs/>
                      <w:color w:val="auto"/>
                      <w:kern w:val="0"/>
                    </w:rPr>
                    <w:t>元谋土林州级自然保护区</w:t>
                  </w:r>
                </w:p>
                <w:p>
                  <w:pPr>
                    <w:widowControl/>
                    <w:adjustRightInd w:val="0"/>
                    <w:snapToGrid w:val="0"/>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主要保护对象：古人类和古生物化石等古生物遗迹，土林地貌景观、地层剖面和构造剖面等地质遗迹。</w:t>
                  </w:r>
                </w:p>
              </w:tc>
              <w:tc>
                <w:tcPr>
                  <w:tcW w:w="2119" w:type="dxa"/>
                  <w:shd w:val="clear" w:color="auto" w:fill="auto"/>
                  <w:noWrap w:val="0"/>
                  <w:vAlign w:val="center"/>
                </w:tcPr>
                <w:p>
                  <w:pPr>
                    <w:widowControl/>
                    <w:adjustRightInd w:val="0"/>
                    <w:snapToGrid w:val="0"/>
                    <w:jc w:val="center"/>
                    <w:rPr>
                      <w:rFonts w:ascii="Times New Roman" w:hAnsi="Times New Roman" w:eastAsia="宋体" w:cs="Times New Roman"/>
                      <w:color w:val="auto"/>
                      <w:kern w:val="0"/>
                    </w:rPr>
                  </w:pPr>
                  <w:r>
                    <w:rPr>
                      <w:rFonts w:hint="eastAsia" w:ascii="宋体" w:hAnsi="宋体" w:cs="宋体"/>
                      <w:color w:val="auto"/>
                      <w:kern w:val="0"/>
                      <w:szCs w:val="21"/>
                      <w:lang w:val="en-US" w:eastAsia="zh-CN"/>
                    </w:rPr>
                    <w:t>阿郎</w:t>
                  </w:r>
                  <w:r>
                    <w:rPr>
                      <w:rFonts w:hint="eastAsia" w:ascii="宋体" w:hAnsi="宋体" w:cs="宋体"/>
                      <w:color w:val="auto"/>
                      <w:kern w:val="0"/>
                      <w:szCs w:val="21"/>
                    </w:rPr>
                    <w:t>片区</w:t>
                  </w:r>
                  <w:r>
                    <w:rPr>
                      <w:rFonts w:hint="eastAsia"/>
                      <w:color w:val="auto"/>
                      <w:kern w:val="0"/>
                    </w:rPr>
                    <w:t>西北侧，最近处直线距离</w:t>
                  </w:r>
                  <w:r>
                    <w:rPr>
                      <w:rFonts w:hint="eastAsia" w:ascii="Times New Roman" w:eastAsia="宋体"/>
                      <w:color w:val="auto"/>
                      <w:kern w:val="0"/>
                      <w:lang w:val="en-US" w:eastAsia="zh-CN"/>
                    </w:rPr>
                    <w:t>约8000</w:t>
                  </w:r>
                  <w:r>
                    <w:rPr>
                      <w:color w:val="auto"/>
                      <w:kern w:val="0"/>
                    </w:rPr>
                    <w:t>m</w:t>
                  </w:r>
                  <w:r>
                    <w:rPr>
                      <w:rFonts w:hint="eastAsia"/>
                      <w:color w:val="auto"/>
                      <w:kern w:val="0"/>
                    </w:rPr>
                    <w:t>，各类设施不进入自然保护区范围内。</w:t>
                  </w:r>
                </w:p>
              </w:tc>
              <w:tc>
                <w:tcPr>
                  <w:tcW w:w="2009" w:type="dxa"/>
                  <w:shd w:val="clear" w:color="auto" w:fill="auto"/>
                  <w:noWrap w:val="0"/>
                  <w:vAlign w:val="center"/>
                </w:tcPr>
                <w:p>
                  <w:pPr>
                    <w:widowControl/>
                    <w:adjustRightInd w:val="0"/>
                    <w:snapToGrid w:val="0"/>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施工废气、噪声等影响</w:t>
                  </w:r>
                </w:p>
              </w:tc>
            </w:tr>
          </w:tbl>
          <w:p>
            <w:pPr>
              <w:adjustRightInd w:val="0"/>
              <w:snapToGrid w:val="0"/>
              <w:spacing w:line="360" w:lineRule="auto"/>
              <w:rPr>
                <w:rFonts w:hint="eastAsia"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3.12环境空气保护目标</w:t>
            </w:r>
          </w:p>
          <w:p>
            <w:pPr>
              <w:autoSpaceDE w:val="0"/>
              <w:autoSpaceDN w:val="0"/>
              <w:spacing w:line="360" w:lineRule="auto"/>
              <w:ind w:firstLine="480" w:firstLineChars="200"/>
              <w:rPr>
                <w:rFonts w:ascii="Times New Roman" w:hAnsi="Times New Roman" w:eastAsia="宋体" w:cs="Times New Roman"/>
                <w:color w:val="auto"/>
                <w:sz w:val="24"/>
              </w:rPr>
            </w:pPr>
            <w:r>
              <w:rPr>
                <w:rFonts w:hint="default" w:ascii="Times New Roman" w:hAnsi="Times New Roman" w:eastAsia="宋体" w:cs="Times New Roman"/>
                <w:color w:val="auto"/>
                <w:kern w:val="0"/>
                <w:sz w:val="24"/>
                <w:szCs w:val="24"/>
                <w:lang w:bidi="ar"/>
              </w:rPr>
              <w:t>环境空气保护目标是维持项目所在地环境空气质量达到现有的大气环境水平，保护级别为《环境空气质量标准（GB3095-2012）》及其2018年修改单二级标准。</w:t>
            </w:r>
            <w:r>
              <w:rPr>
                <w:rFonts w:hint="eastAsia" w:ascii="Times New Roman" w:hAnsi="Times New Roman" w:eastAsia="宋体" w:cs="Times New Roman"/>
                <w:color w:val="auto"/>
                <w:kern w:val="0"/>
                <w:sz w:val="24"/>
                <w:szCs w:val="24"/>
                <w:lang w:val="en-US" w:eastAsia="zh-CN" w:bidi="ar"/>
              </w:rPr>
              <w:t>大气环境保护目标参照</w:t>
            </w:r>
            <w:r>
              <w:rPr>
                <w:rFonts w:hint="eastAsia" w:ascii="Times New Roman" w:hAnsi="Times New Roman" w:eastAsia="宋体" w:cs="Times New Roman"/>
                <w:snapToGrid w:val="0"/>
                <w:color w:val="auto"/>
                <w:kern w:val="0"/>
                <w:sz w:val="24"/>
                <w:szCs w:val="24"/>
                <w:lang w:val="en-US" w:eastAsia="zh-CN"/>
              </w:rPr>
              <w:t>《建设项目环境影响报告表编制技术指南（污染影响类）》（试行）进行确定。大气环境评价范围主要为项目周边</w:t>
            </w:r>
            <w:r>
              <w:rPr>
                <w:rFonts w:hint="default" w:ascii="Times New Roman" w:hAnsi="Times New Roman" w:eastAsia="宋体" w:cs="Times New Roman"/>
                <w:snapToGrid w:val="0"/>
                <w:color w:val="auto"/>
                <w:kern w:val="0"/>
                <w:sz w:val="24"/>
                <w:szCs w:val="24"/>
                <w:lang w:val="en-US" w:eastAsia="zh-CN"/>
              </w:rPr>
              <w:t>500m</w:t>
            </w:r>
            <w:r>
              <w:rPr>
                <w:rFonts w:hint="eastAsia" w:ascii="Times New Roman" w:hAnsi="Times New Roman" w:eastAsia="宋体" w:cs="Times New Roman"/>
                <w:snapToGrid w:val="0"/>
                <w:color w:val="auto"/>
                <w:kern w:val="0"/>
                <w:sz w:val="24"/>
                <w:szCs w:val="24"/>
                <w:lang w:val="en-US" w:eastAsia="zh-CN"/>
              </w:rPr>
              <w:t>范围内的敏感点。</w:t>
            </w:r>
            <w:r>
              <w:rPr>
                <w:rFonts w:hint="eastAsia" w:ascii="Times New Roman" w:hAnsi="Times New Roman" w:eastAsia="宋体" w:cs="Times New Roman"/>
                <w:color w:val="auto"/>
                <w:sz w:val="24"/>
              </w:rPr>
              <w:t>评价范围内大气环境保护目标分布情况如下：</w:t>
            </w:r>
          </w:p>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表3.12-1  大气环境保护目标一览表</w:t>
            </w:r>
          </w:p>
          <w:tbl>
            <w:tblPr>
              <w:tblStyle w:val="18"/>
              <w:tblW w:w="5046"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1536"/>
              <w:gridCol w:w="1431"/>
              <w:gridCol w:w="555"/>
              <w:gridCol w:w="1452"/>
              <w:gridCol w:w="427"/>
              <w:gridCol w:w="1574"/>
              <w:gridCol w:w="72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10" w:type="pct"/>
                  <w:vMerge w:val="restart"/>
                  <w:noWrap w:val="0"/>
                  <w:vAlign w:val="center"/>
                </w:tcPr>
                <w:p>
                  <w:pPr>
                    <w:widowControl/>
                    <w:adjustRightInd w:val="0"/>
                    <w:snapToGrid w:val="0"/>
                    <w:jc w:val="center"/>
                    <w:rPr>
                      <w:rFonts w:ascii="Times New Roman" w:hAnsi="Times New Roman" w:eastAsia="宋体" w:cs="Times New Roman"/>
                      <w:b/>
                      <w:color w:val="auto"/>
                      <w:kern w:val="0"/>
                    </w:rPr>
                  </w:pPr>
                  <w:r>
                    <w:rPr>
                      <w:rFonts w:ascii="Times New Roman" w:hAnsi="Times New Roman" w:eastAsia="宋体" w:cs="Times New Roman"/>
                      <w:b/>
                      <w:color w:val="auto"/>
                      <w:kern w:val="0"/>
                    </w:rPr>
                    <w:t>保护</w:t>
                  </w:r>
                </w:p>
                <w:p>
                  <w:pPr>
                    <w:widowControl/>
                    <w:adjustRightInd w:val="0"/>
                    <w:snapToGrid w:val="0"/>
                    <w:jc w:val="center"/>
                    <w:rPr>
                      <w:rFonts w:ascii="Times New Roman" w:hAnsi="Times New Roman" w:eastAsia="宋体" w:cs="Times New Roman"/>
                      <w:b/>
                      <w:color w:val="auto"/>
                      <w:kern w:val="0"/>
                    </w:rPr>
                  </w:pPr>
                  <w:r>
                    <w:rPr>
                      <w:rFonts w:ascii="Times New Roman" w:hAnsi="Times New Roman" w:eastAsia="宋体" w:cs="Times New Roman"/>
                      <w:b/>
                      <w:color w:val="auto"/>
                      <w:kern w:val="0"/>
                    </w:rPr>
                    <w:t>目标</w:t>
                  </w:r>
                </w:p>
              </w:tc>
              <w:tc>
                <w:tcPr>
                  <w:tcW w:w="1397" w:type="pct"/>
                  <w:gridSpan w:val="2"/>
                  <w:noWrap w:val="0"/>
                  <w:vAlign w:val="center"/>
                </w:tcPr>
                <w:p>
                  <w:pPr>
                    <w:widowControl/>
                    <w:adjustRightInd w:val="0"/>
                    <w:snapToGrid w:val="0"/>
                    <w:jc w:val="center"/>
                    <w:rPr>
                      <w:rFonts w:ascii="Times New Roman" w:hAnsi="Times New Roman" w:eastAsia="宋体" w:cs="Times New Roman"/>
                      <w:b/>
                      <w:color w:val="auto"/>
                      <w:kern w:val="0"/>
                    </w:rPr>
                  </w:pPr>
                  <w:r>
                    <w:rPr>
                      <w:rFonts w:ascii="Times New Roman" w:hAnsi="Times New Roman" w:eastAsia="宋体" w:cs="Times New Roman"/>
                      <w:b/>
                      <w:color w:val="auto"/>
                      <w:kern w:val="0"/>
                    </w:rPr>
                    <w:t>坐标</w:t>
                  </w:r>
                </w:p>
              </w:tc>
              <w:tc>
                <w:tcPr>
                  <w:tcW w:w="401" w:type="pct"/>
                  <w:vMerge w:val="restart"/>
                  <w:noWrap w:val="0"/>
                  <w:vAlign w:val="center"/>
                </w:tcPr>
                <w:p>
                  <w:pPr>
                    <w:widowControl/>
                    <w:adjustRightInd w:val="0"/>
                    <w:snapToGrid w:val="0"/>
                    <w:jc w:val="center"/>
                    <w:rPr>
                      <w:rFonts w:ascii="Times New Roman" w:hAnsi="Times New Roman" w:eastAsia="宋体" w:cs="Times New Roman"/>
                      <w:b/>
                      <w:color w:val="auto"/>
                      <w:kern w:val="0"/>
                    </w:rPr>
                  </w:pPr>
                  <w:r>
                    <w:rPr>
                      <w:rFonts w:ascii="Times New Roman" w:hAnsi="Times New Roman" w:eastAsia="宋体" w:cs="Times New Roman"/>
                      <w:b/>
                      <w:color w:val="auto"/>
                      <w:kern w:val="0"/>
                    </w:rPr>
                    <w:t>保护对象</w:t>
                  </w:r>
                </w:p>
              </w:tc>
              <w:tc>
                <w:tcPr>
                  <w:tcW w:w="932" w:type="pct"/>
                  <w:vMerge w:val="restart"/>
                  <w:noWrap w:val="0"/>
                  <w:vAlign w:val="center"/>
                </w:tcPr>
                <w:p>
                  <w:pPr>
                    <w:widowControl/>
                    <w:adjustRightInd w:val="0"/>
                    <w:snapToGrid w:val="0"/>
                    <w:jc w:val="center"/>
                    <w:rPr>
                      <w:rFonts w:ascii="Times New Roman" w:hAnsi="Times New Roman" w:eastAsia="宋体" w:cs="Times New Roman"/>
                      <w:b/>
                      <w:color w:val="auto"/>
                      <w:kern w:val="0"/>
                    </w:rPr>
                  </w:pPr>
                  <w:r>
                    <w:rPr>
                      <w:rFonts w:ascii="Times New Roman" w:hAnsi="Times New Roman" w:eastAsia="宋体" w:cs="Times New Roman"/>
                      <w:b/>
                      <w:color w:val="auto"/>
                      <w:kern w:val="0"/>
                    </w:rPr>
                    <w:t>保护内容</w:t>
                  </w:r>
                </w:p>
              </w:tc>
              <w:tc>
                <w:tcPr>
                  <w:tcW w:w="253" w:type="pct"/>
                  <w:vMerge w:val="restart"/>
                  <w:noWrap w:val="0"/>
                  <w:vAlign w:val="center"/>
                </w:tcPr>
                <w:p>
                  <w:pPr>
                    <w:widowControl/>
                    <w:adjustRightInd w:val="0"/>
                    <w:snapToGrid w:val="0"/>
                    <w:jc w:val="center"/>
                    <w:rPr>
                      <w:rFonts w:ascii="Times New Roman" w:hAnsi="Times New Roman" w:eastAsia="宋体" w:cs="Times New Roman"/>
                      <w:b/>
                      <w:color w:val="auto"/>
                      <w:kern w:val="0"/>
                    </w:rPr>
                  </w:pPr>
                  <w:r>
                    <w:rPr>
                      <w:rFonts w:ascii="Times New Roman" w:hAnsi="Times New Roman" w:eastAsia="宋体" w:cs="Times New Roman"/>
                      <w:b/>
                      <w:color w:val="auto"/>
                      <w:kern w:val="0"/>
                    </w:rPr>
                    <w:t>功能区</w:t>
                  </w:r>
                </w:p>
              </w:tc>
              <w:tc>
                <w:tcPr>
                  <w:tcW w:w="1004" w:type="pct"/>
                  <w:vMerge w:val="restart"/>
                  <w:noWrap w:val="0"/>
                  <w:vAlign w:val="center"/>
                </w:tcPr>
                <w:p>
                  <w:pPr>
                    <w:widowControl/>
                    <w:adjustRightInd w:val="0"/>
                    <w:snapToGrid w:val="0"/>
                    <w:jc w:val="center"/>
                    <w:rPr>
                      <w:rFonts w:ascii="Times New Roman" w:hAnsi="Times New Roman" w:eastAsia="宋体" w:cs="Times New Roman"/>
                      <w:b/>
                      <w:color w:val="auto"/>
                      <w:kern w:val="0"/>
                    </w:rPr>
                  </w:pPr>
                  <w:r>
                    <w:rPr>
                      <w:rFonts w:ascii="Times New Roman" w:hAnsi="Times New Roman" w:eastAsia="宋体" w:cs="Times New Roman"/>
                      <w:b/>
                      <w:color w:val="auto"/>
                      <w:kern w:val="0"/>
                    </w:rPr>
                    <w:t>相对</w:t>
                  </w:r>
                  <w:r>
                    <w:rPr>
                      <w:rFonts w:hint="eastAsia" w:ascii="Times New Roman" w:hAnsi="Times New Roman" w:eastAsia="宋体" w:cs="Times New Roman"/>
                      <w:b/>
                      <w:color w:val="auto"/>
                      <w:kern w:val="0"/>
                    </w:rPr>
                    <w:t>场</w:t>
                  </w:r>
                  <w:r>
                    <w:rPr>
                      <w:rFonts w:ascii="Times New Roman" w:hAnsi="Times New Roman" w:eastAsia="宋体" w:cs="Times New Roman"/>
                      <w:b/>
                      <w:color w:val="auto"/>
                      <w:kern w:val="0"/>
                    </w:rPr>
                    <w:t>址方位</w:t>
                  </w:r>
                </w:p>
              </w:tc>
              <w:tc>
                <w:tcPr>
                  <w:tcW w:w="500" w:type="pct"/>
                  <w:vMerge w:val="restart"/>
                  <w:noWrap w:val="0"/>
                  <w:vAlign w:val="center"/>
                </w:tcPr>
                <w:p>
                  <w:pPr>
                    <w:widowControl/>
                    <w:adjustRightInd w:val="0"/>
                    <w:snapToGrid w:val="0"/>
                    <w:jc w:val="center"/>
                    <w:rPr>
                      <w:rFonts w:ascii="Times New Roman" w:hAnsi="Times New Roman" w:eastAsia="宋体" w:cs="Times New Roman"/>
                      <w:b/>
                      <w:color w:val="auto"/>
                      <w:kern w:val="0"/>
                    </w:rPr>
                  </w:pPr>
                  <w:r>
                    <w:rPr>
                      <w:rFonts w:ascii="Times New Roman" w:hAnsi="Times New Roman" w:eastAsia="宋体" w:cs="Times New Roman"/>
                      <w:b/>
                      <w:color w:val="auto"/>
                      <w:kern w:val="0"/>
                    </w:rPr>
                    <w:t>相对场界最近距离/m</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Merge w:val="continue"/>
                  <w:noWrap w:val="0"/>
                  <w:vAlign w:val="center"/>
                </w:tcPr>
                <w:p>
                  <w:pPr>
                    <w:widowControl/>
                    <w:adjustRightInd w:val="0"/>
                    <w:snapToGrid w:val="0"/>
                    <w:jc w:val="center"/>
                    <w:rPr>
                      <w:rFonts w:ascii="Times New Roman" w:hAnsi="Times New Roman" w:eastAsia="宋体" w:cs="Times New Roman"/>
                      <w:b/>
                      <w:color w:val="auto"/>
                      <w:kern w:val="0"/>
                    </w:rPr>
                  </w:pPr>
                </w:p>
              </w:tc>
              <w:tc>
                <w:tcPr>
                  <w:tcW w:w="724" w:type="pct"/>
                  <w:noWrap w:val="0"/>
                  <w:vAlign w:val="center"/>
                </w:tcPr>
                <w:p>
                  <w:pPr>
                    <w:widowControl/>
                    <w:adjustRightInd w:val="0"/>
                    <w:snapToGrid w:val="0"/>
                    <w:jc w:val="center"/>
                    <w:rPr>
                      <w:rFonts w:ascii="Times New Roman" w:hAnsi="Times New Roman" w:eastAsia="宋体" w:cs="Times New Roman"/>
                      <w:b/>
                      <w:color w:val="auto"/>
                      <w:kern w:val="0"/>
                    </w:rPr>
                  </w:pPr>
                  <w:r>
                    <w:rPr>
                      <w:rFonts w:ascii="Times New Roman" w:hAnsi="Times New Roman" w:eastAsia="宋体" w:cs="Times New Roman"/>
                      <w:b/>
                      <w:color w:val="auto"/>
                      <w:kern w:val="0"/>
                    </w:rPr>
                    <w:t>经度°</w:t>
                  </w:r>
                </w:p>
              </w:tc>
              <w:tc>
                <w:tcPr>
                  <w:tcW w:w="673" w:type="pct"/>
                  <w:noWrap w:val="0"/>
                  <w:vAlign w:val="center"/>
                </w:tcPr>
                <w:p>
                  <w:pPr>
                    <w:widowControl/>
                    <w:adjustRightInd w:val="0"/>
                    <w:snapToGrid w:val="0"/>
                    <w:jc w:val="center"/>
                    <w:rPr>
                      <w:rFonts w:ascii="Times New Roman" w:hAnsi="Times New Roman" w:eastAsia="宋体" w:cs="Times New Roman"/>
                      <w:b/>
                      <w:color w:val="auto"/>
                      <w:kern w:val="0"/>
                    </w:rPr>
                  </w:pPr>
                  <w:r>
                    <w:rPr>
                      <w:rFonts w:ascii="Times New Roman" w:hAnsi="Times New Roman" w:eastAsia="宋体" w:cs="Times New Roman"/>
                      <w:b/>
                      <w:color w:val="auto"/>
                      <w:kern w:val="0"/>
                    </w:rPr>
                    <w:t>纬度°</w:t>
                  </w:r>
                </w:p>
              </w:tc>
              <w:tc>
                <w:tcPr>
                  <w:tcW w:w="401" w:type="pct"/>
                  <w:vMerge w:val="continue"/>
                  <w:noWrap w:val="0"/>
                  <w:vAlign w:val="center"/>
                </w:tcPr>
                <w:p>
                  <w:pPr>
                    <w:widowControl/>
                    <w:adjustRightInd w:val="0"/>
                    <w:snapToGrid w:val="0"/>
                    <w:jc w:val="center"/>
                    <w:rPr>
                      <w:rFonts w:ascii="Times New Roman" w:hAnsi="Times New Roman" w:eastAsia="宋体" w:cs="Times New Roman"/>
                      <w:b/>
                      <w:color w:val="auto"/>
                      <w:kern w:val="0"/>
                    </w:rPr>
                  </w:pPr>
                </w:p>
              </w:tc>
              <w:tc>
                <w:tcPr>
                  <w:tcW w:w="932" w:type="pct"/>
                  <w:vMerge w:val="continue"/>
                  <w:noWrap w:val="0"/>
                  <w:vAlign w:val="center"/>
                </w:tcPr>
                <w:p>
                  <w:pPr>
                    <w:widowControl/>
                    <w:adjustRightInd w:val="0"/>
                    <w:snapToGrid w:val="0"/>
                    <w:jc w:val="center"/>
                    <w:rPr>
                      <w:rFonts w:ascii="Times New Roman" w:hAnsi="Times New Roman" w:eastAsia="宋体" w:cs="Times New Roman"/>
                      <w:b/>
                      <w:color w:val="auto"/>
                      <w:kern w:val="0"/>
                    </w:rPr>
                  </w:pPr>
                </w:p>
              </w:tc>
              <w:tc>
                <w:tcPr>
                  <w:tcW w:w="253" w:type="pct"/>
                  <w:vMerge w:val="continue"/>
                  <w:noWrap w:val="0"/>
                  <w:vAlign w:val="center"/>
                </w:tcPr>
                <w:p>
                  <w:pPr>
                    <w:widowControl/>
                    <w:adjustRightInd w:val="0"/>
                    <w:snapToGrid w:val="0"/>
                    <w:jc w:val="center"/>
                    <w:rPr>
                      <w:rFonts w:ascii="Times New Roman" w:hAnsi="Times New Roman" w:eastAsia="宋体" w:cs="Times New Roman"/>
                      <w:b/>
                      <w:color w:val="auto"/>
                      <w:kern w:val="0"/>
                    </w:rPr>
                  </w:pPr>
                </w:p>
              </w:tc>
              <w:tc>
                <w:tcPr>
                  <w:tcW w:w="1004" w:type="pct"/>
                  <w:vMerge w:val="continue"/>
                  <w:noWrap w:val="0"/>
                  <w:vAlign w:val="center"/>
                </w:tcPr>
                <w:p>
                  <w:pPr>
                    <w:widowControl/>
                    <w:adjustRightInd w:val="0"/>
                    <w:snapToGrid w:val="0"/>
                    <w:jc w:val="center"/>
                    <w:rPr>
                      <w:rFonts w:ascii="Times New Roman" w:hAnsi="Times New Roman" w:eastAsia="宋体" w:cs="Times New Roman"/>
                      <w:b/>
                      <w:color w:val="auto"/>
                      <w:kern w:val="0"/>
                    </w:rPr>
                  </w:pPr>
                </w:p>
              </w:tc>
              <w:tc>
                <w:tcPr>
                  <w:tcW w:w="500" w:type="pct"/>
                  <w:vMerge w:val="continue"/>
                  <w:noWrap w:val="0"/>
                  <w:vAlign w:val="center"/>
                </w:tcPr>
                <w:p>
                  <w:pPr>
                    <w:widowControl/>
                    <w:adjustRightInd w:val="0"/>
                    <w:snapToGrid w:val="0"/>
                    <w:jc w:val="center"/>
                    <w:rPr>
                      <w:rFonts w:ascii="Times New Roman" w:hAnsi="Times New Roman" w:eastAsia="宋体" w:cs="Times New Roman"/>
                      <w:b/>
                      <w:color w:val="auto"/>
                      <w:kern w:val="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noWrap w:val="0"/>
                  <w:vAlign w:val="center"/>
                </w:tcPr>
                <w:p>
                  <w:pPr>
                    <w:widowControl/>
                    <w:jc w:val="center"/>
                    <w:textAlignment w:val="center"/>
                    <w:rPr>
                      <w:rFonts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21"/>
                      <w:szCs w:val="18"/>
                      <w:lang w:val="en-US" w:eastAsia="zh-CN" w:bidi="ar"/>
                    </w:rPr>
                    <w:t>丙令哨</w:t>
                  </w:r>
                </w:p>
              </w:tc>
              <w:tc>
                <w:tcPr>
                  <w:tcW w:w="724" w:type="pct"/>
                  <w:noWrap w:val="0"/>
                  <w:vAlign w:val="center"/>
                </w:tcPr>
                <w:p>
                  <w:pPr>
                    <w:keepNext w:val="0"/>
                    <w:keepLines w:val="0"/>
                    <w:pageBreakBefore w:val="0"/>
                    <w:widowControl/>
                    <w:kinsoku/>
                    <w:wordWrap/>
                    <w:overflowPunct/>
                    <w:topLinePunct w:val="0"/>
                    <w:autoSpaceDE/>
                    <w:autoSpaceDN/>
                    <w:bidi w:val="0"/>
                    <w:spacing w:line="340" w:lineRule="exact"/>
                    <w:ind w:firstLine="0" w:firstLineChars="0"/>
                    <w:jc w:val="center"/>
                    <w:textAlignment w:val="center"/>
                    <w:rPr>
                      <w:rFonts w:ascii="Times New Roman" w:hAnsi="Times New Roman" w:eastAsia="宋体" w:cs="Times New Roman"/>
                      <w:color w:val="auto"/>
                      <w:kern w:val="0"/>
                    </w:rPr>
                  </w:pPr>
                  <w:r>
                    <w:rPr>
                      <w:rFonts w:hint="default" w:ascii="Times New Roman" w:hAnsi="Times New Roman" w:eastAsia="宋体" w:cs="Times New Roman"/>
                      <w:color w:val="auto"/>
                      <w:kern w:val="0"/>
                      <w:sz w:val="21"/>
                      <w:szCs w:val="18"/>
                      <w:lang w:bidi="ar"/>
                    </w:rPr>
                    <w:t>101°49′34.33″</w:t>
                  </w:r>
                </w:p>
              </w:tc>
              <w:tc>
                <w:tcPr>
                  <w:tcW w:w="673" w:type="pct"/>
                  <w:noWrap w:val="0"/>
                  <w:vAlign w:val="center"/>
                </w:tcPr>
                <w:p>
                  <w:pPr>
                    <w:keepNext w:val="0"/>
                    <w:keepLines w:val="0"/>
                    <w:pageBreakBefore w:val="0"/>
                    <w:widowControl/>
                    <w:kinsoku/>
                    <w:wordWrap/>
                    <w:overflowPunct/>
                    <w:topLinePunct w:val="0"/>
                    <w:autoSpaceDE/>
                    <w:autoSpaceDN/>
                    <w:bidi w:val="0"/>
                    <w:spacing w:line="340" w:lineRule="exact"/>
                    <w:ind w:firstLine="0" w:firstLineChars="0"/>
                    <w:jc w:val="center"/>
                    <w:textAlignment w:val="center"/>
                    <w:rPr>
                      <w:rFonts w:ascii="Times New Roman" w:hAnsi="Times New Roman" w:eastAsia="宋体" w:cs="Times New Roman"/>
                      <w:color w:val="auto"/>
                      <w:kern w:val="0"/>
                    </w:rPr>
                  </w:pPr>
                  <w:r>
                    <w:rPr>
                      <w:rFonts w:hint="default" w:ascii="Times New Roman" w:hAnsi="Times New Roman" w:eastAsia="宋体" w:cs="Times New Roman"/>
                      <w:color w:val="auto"/>
                      <w:kern w:val="0"/>
                      <w:sz w:val="21"/>
                      <w:szCs w:val="18"/>
                      <w:lang w:bidi="ar"/>
                    </w:rPr>
                    <w:t>25°37′3.52″</w:t>
                  </w:r>
                </w:p>
              </w:tc>
              <w:tc>
                <w:tcPr>
                  <w:tcW w:w="401" w:type="pct"/>
                  <w:noWrap w:val="0"/>
                  <w:vAlign w:val="center"/>
                </w:tcPr>
                <w:p>
                  <w:pPr>
                    <w:widowControl/>
                    <w:adjustRightInd w:val="0"/>
                    <w:snapToGrid w:val="0"/>
                    <w:jc w:val="center"/>
                    <w:rPr>
                      <w:rFonts w:ascii="Times New Roman" w:hAnsi="Times New Roman" w:eastAsia="宋体" w:cs="Times New Roman"/>
                      <w:color w:val="auto"/>
                      <w:kern w:val="0"/>
                    </w:rPr>
                  </w:pPr>
                  <w:r>
                    <w:rPr>
                      <w:rFonts w:ascii="Times New Roman" w:hAnsi="Times New Roman" w:eastAsia="宋体" w:cs="Times New Roman"/>
                      <w:color w:val="auto"/>
                      <w:kern w:val="0"/>
                    </w:rPr>
                    <w:t>居民</w:t>
                  </w:r>
                </w:p>
              </w:tc>
              <w:tc>
                <w:tcPr>
                  <w:tcW w:w="932" w:type="pct"/>
                  <w:noWrap w:val="0"/>
                  <w:vAlign w:val="center"/>
                </w:tcPr>
                <w:p>
                  <w:pPr>
                    <w:widowControl/>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约62</w:t>
                  </w:r>
                  <w:r>
                    <w:rPr>
                      <w:rFonts w:ascii="Times New Roman" w:hAnsi="Times New Roman" w:eastAsia="宋体" w:cs="Times New Roman"/>
                      <w:color w:val="auto"/>
                      <w:kern w:val="0"/>
                      <w:sz w:val="18"/>
                      <w:szCs w:val="18"/>
                      <w:lang w:bidi="ar"/>
                    </w:rPr>
                    <w:t>户</w:t>
                  </w:r>
                  <w:r>
                    <w:rPr>
                      <w:rFonts w:hint="eastAsia" w:ascii="Times New Roman" w:hAnsi="Times New Roman" w:eastAsia="宋体" w:cs="Times New Roman"/>
                      <w:color w:val="auto"/>
                      <w:kern w:val="0"/>
                      <w:sz w:val="18"/>
                      <w:szCs w:val="18"/>
                      <w:lang w:bidi="ar"/>
                    </w:rPr>
                    <w:t>，256人</w:t>
                  </w:r>
                </w:p>
              </w:tc>
              <w:tc>
                <w:tcPr>
                  <w:tcW w:w="253" w:type="pct"/>
                  <w:vMerge w:val="restart"/>
                  <w:noWrap w:val="0"/>
                  <w:vAlign w:val="center"/>
                </w:tcPr>
                <w:p>
                  <w:pPr>
                    <w:widowControl/>
                    <w:adjustRightInd w:val="0"/>
                    <w:snapToGrid w:val="0"/>
                    <w:jc w:val="center"/>
                    <w:rPr>
                      <w:rFonts w:ascii="Times New Roman" w:hAnsi="Times New Roman" w:eastAsia="宋体" w:cs="Times New Roman"/>
                      <w:color w:val="auto"/>
                      <w:kern w:val="0"/>
                    </w:rPr>
                  </w:pPr>
                  <w:r>
                    <w:rPr>
                      <w:rFonts w:ascii="Times New Roman" w:hAnsi="Times New Roman" w:eastAsia="宋体" w:cs="Times New Roman"/>
                      <w:color w:val="auto"/>
                      <w:kern w:val="0"/>
                    </w:rPr>
                    <w:t>二类区</w:t>
                  </w:r>
                </w:p>
              </w:tc>
              <w:tc>
                <w:tcPr>
                  <w:tcW w:w="1004" w:type="pct"/>
                  <w:noWrap w:val="0"/>
                  <w:vAlign w:val="center"/>
                </w:tcPr>
                <w:p>
                  <w:pPr>
                    <w:widowControl/>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沙沟</w:t>
                  </w:r>
                  <w:r>
                    <w:rPr>
                      <w:rFonts w:hint="eastAsia" w:ascii="Times New Roman" w:hAnsi="Times New Roman" w:eastAsia="宋体" w:cs="Times New Roman"/>
                      <w:color w:val="auto"/>
                      <w:kern w:val="0"/>
                      <w:sz w:val="18"/>
                      <w:szCs w:val="18"/>
                      <w:lang w:bidi="ar"/>
                    </w:rPr>
                    <w:t>片区</w:t>
                  </w:r>
                  <w:r>
                    <w:rPr>
                      <w:rFonts w:hint="eastAsia" w:ascii="Times New Roman" w:hAnsi="Times New Roman" w:eastAsia="宋体" w:cs="Times New Roman"/>
                      <w:color w:val="auto"/>
                      <w:kern w:val="0"/>
                      <w:sz w:val="18"/>
                      <w:szCs w:val="18"/>
                      <w:lang w:val="en-US" w:eastAsia="zh-CN" w:bidi="ar"/>
                    </w:rPr>
                    <w:t>东</w:t>
                  </w:r>
                  <w:r>
                    <w:rPr>
                      <w:rFonts w:ascii="Times New Roman" w:hAnsi="Times New Roman" w:eastAsia="宋体" w:cs="Times New Roman"/>
                      <w:color w:val="auto"/>
                      <w:kern w:val="0"/>
                      <w:sz w:val="18"/>
                      <w:szCs w:val="18"/>
                      <w:lang w:bidi="ar"/>
                    </w:rPr>
                    <w:t>侧</w:t>
                  </w:r>
                </w:p>
              </w:tc>
              <w:tc>
                <w:tcPr>
                  <w:tcW w:w="500" w:type="pct"/>
                  <w:noWrap w:val="0"/>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noWrap w:val="0"/>
                  <w:vAlign w:val="center"/>
                </w:tcPr>
                <w:p>
                  <w:pPr>
                    <w:widowControl/>
                    <w:jc w:val="center"/>
                    <w:textAlignment w:val="center"/>
                    <w:rPr>
                      <w:rFonts w:hint="default"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 w:val="21"/>
                      <w:szCs w:val="18"/>
                      <w:lang w:val="en-US" w:eastAsia="zh-CN" w:bidi="ar"/>
                    </w:rPr>
                    <w:t>路古么村</w:t>
                  </w:r>
                </w:p>
              </w:tc>
              <w:tc>
                <w:tcPr>
                  <w:tcW w:w="724" w:type="pct"/>
                  <w:noWrap w:val="0"/>
                  <w:vAlign w:val="center"/>
                </w:tcPr>
                <w:p>
                  <w:pPr>
                    <w:keepNext w:val="0"/>
                    <w:keepLines w:val="0"/>
                    <w:pageBreakBefore w:val="0"/>
                    <w:widowControl/>
                    <w:kinsoku/>
                    <w:wordWrap/>
                    <w:overflowPunct/>
                    <w:topLinePunct w:val="0"/>
                    <w:autoSpaceDE/>
                    <w:autoSpaceDN/>
                    <w:bidi w:val="0"/>
                    <w:spacing w:line="340" w:lineRule="exact"/>
                    <w:ind w:firstLine="0" w:firstLineChars="0"/>
                    <w:jc w:val="center"/>
                    <w:textAlignment w:val="center"/>
                    <w:rPr>
                      <w:rFonts w:hint="default" w:ascii="Times New Roman" w:hAnsi="Times New Roman" w:eastAsia="宋体" w:cs="Times New Roman"/>
                      <w:color w:val="auto"/>
                      <w:kern w:val="0"/>
                      <w:sz w:val="21"/>
                      <w:szCs w:val="18"/>
                      <w:lang w:bidi="ar"/>
                    </w:rPr>
                  </w:pPr>
                  <w:r>
                    <w:rPr>
                      <w:rFonts w:hint="default" w:ascii="Times New Roman" w:hAnsi="Times New Roman" w:eastAsia="宋体" w:cs="Times New Roman"/>
                      <w:color w:val="auto"/>
                      <w:kern w:val="0"/>
                      <w:sz w:val="21"/>
                      <w:szCs w:val="18"/>
                      <w:lang w:bidi="ar"/>
                    </w:rPr>
                    <w:t>101°47′14.984″</w:t>
                  </w:r>
                </w:p>
              </w:tc>
              <w:tc>
                <w:tcPr>
                  <w:tcW w:w="673" w:type="pct"/>
                  <w:noWrap w:val="0"/>
                  <w:vAlign w:val="center"/>
                </w:tcPr>
                <w:p>
                  <w:pPr>
                    <w:keepNext w:val="0"/>
                    <w:keepLines w:val="0"/>
                    <w:pageBreakBefore w:val="0"/>
                    <w:widowControl/>
                    <w:kinsoku/>
                    <w:wordWrap/>
                    <w:overflowPunct/>
                    <w:topLinePunct w:val="0"/>
                    <w:autoSpaceDE/>
                    <w:autoSpaceDN/>
                    <w:bidi w:val="0"/>
                    <w:spacing w:line="340" w:lineRule="exact"/>
                    <w:ind w:firstLine="0" w:firstLineChars="0"/>
                    <w:jc w:val="center"/>
                    <w:textAlignment w:val="center"/>
                    <w:rPr>
                      <w:rFonts w:hint="default" w:ascii="Times New Roman" w:hAnsi="Times New Roman" w:eastAsia="宋体" w:cs="Times New Roman"/>
                      <w:color w:val="auto"/>
                      <w:kern w:val="0"/>
                      <w:sz w:val="21"/>
                      <w:szCs w:val="18"/>
                      <w:lang w:bidi="ar"/>
                    </w:rPr>
                  </w:pPr>
                  <w:r>
                    <w:rPr>
                      <w:rFonts w:hint="default" w:ascii="Times New Roman" w:hAnsi="Times New Roman" w:eastAsia="宋体" w:cs="Times New Roman"/>
                      <w:color w:val="auto"/>
                      <w:kern w:val="0"/>
                      <w:sz w:val="21"/>
                      <w:szCs w:val="18"/>
                      <w:lang w:bidi="ar"/>
                    </w:rPr>
                    <w:t>25°36′53.2</w:t>
                  </w:r>
                  <w:r>
                    <w:rPr>
                      <w:rFonts w:hint="eastAsia" w:ascii="Times New Roman" w:hAnsi="Times New Roman" w:eastAsia="宋体" w:cs="Times New Roman"/>
                      <w:color w:val="auto"/>
                      <w:kern w:val="0"/>
                      <w:sz w:val="21"/>
                      <w:szCs w:val="18"/>
                      <w:lang w:val="en-US" w:eastAsia="zh-CN" w:bidi="ar"/>
                    </w:rPr>
                    <w:t>10</w:t>
                  </w:r>
                  <w:r>
                    <w:rPr>
                      <w:rFonts w:hint="default" w:ascii="Times New Roman" w:hAnsi="Times New Roman" w:eastAsia="宋体" w:cs="Times New Roman"/>
                      <w:color w:val="auto"/>
                      <w:kern w:val="0"/>
                      <w:sz w:val="21"/>
                      <w:szCs w:val="18"/>
                      <w:lang w:bidi="ar"/>
                    </w:rPr>
                    <w:t>″</w:t>
                  </w:r>
                </w:p>
              </w:tc>
              <w:tc>
                <w:tcPr>
                  <w:tcW w:w="401" w:type="pct"/>
                  <w:noWrap w:val="0"/>
                  <w:vAlign w:val="center"/>
                </w:tcPr>
                <w:p>
                  <w:pPr>
                    <w:widowControl/>
                    <w:adjustRightInd w:val="0"/>
                    <w:snapToGrid w:val="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居民</w:t>
                  </w:r>
                </w:p>
              </w:tc>
              <w:tc>
                <w:tcPr>
                  <w:tcW w:w="932" w:type="pct"/>
                  <w:noWrap w:val="0"/>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约41户，144人</w:t>
                  </w:r>
                </w:p>
              </w:tc>
              <w:tc>
                <w:tcPr>
                  <w:tcW w:w="253" w:type="pct"/>
                  <w:vMerge w:val="continue"/>
                  <w:noWrap w:val="0"/>
                  <w:vAlign w:val="center"/>
                </w:tcPr>
                <w:p>
                  <w:pPr>
                    <w:widowControl/>
                    <w:adjustRightInd w:val="0"/>
                    <w:snapToGrid w:val="0"/>
                    <w:jc w:val="center"/>
                    <w:rPr>
                      <w:rFonts w:ascii="Times New Roman" w:hAnsi="Times New Roman" w:eastAsia="宋体" w:cs="Times New Roman"/>
                      <w:color w:val="auto"/>
                      <w:kern w:val="0"/>
                    </w:rPr>
                  </w:pPr>
                </w:p>
              </w:tc>
              <w:tc>
                <w:tcPr>
                  <w:tcW w:w="1004" w:type="pct"/>
                  <w:noWrap w:val="0"/>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沙沟片区13#方阵南侧</w:t>
                  </w:r>
                </w:p>
              </w:tc>
              <w:tc>
                <w:tcPr>
                  <w:tcW w:w="500" w:type="pct"/>
                  <w:noWrap w:val="0"/>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noWrap w:val="0"/>
                  <w:vAlign w:val="center"/>
                </w:tcPr>
                <w:p>
                  <w:pPr>
                    <w:widowControl/>
                    <w:jc w:val="center"/>
                    <w:textAlignment w:val="center"/>
                    <w:rPr>
                      <w:rFonts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21"/>
                      <w:szCs w:val="18"/>
                      <w:lang w:val="en-US" w:eastAsia="zh-CN" w:bidi="ar"/>
                    </w:rPr>
                    <w:t>兰家坟</w:t>
                  </w:r>
                  <w:r>
                    <w:rPr>
                      <w:rFonts w:hint="default" w:ascii="Times New Roman" w:hAnsi="Times New Roman" w:eastAsia="宋体" w:cs="Times New Roman"/>
                      <w:color w:val="auto"/>
                      <w:kern w:val="0"/>
                      <w:sz w:val="21"/>
                      <w:szCs w:val="18"/>
                      <w:lang w:bidi="ar"/>
                    </w:rPr>
                    <w:t>村</w:t>
                  </w:r>
                </w:p>
              </w:tc>
              <w:tc>
                <w:tcPr>
                  <w:tcW w:w="724" w:type="pct"/>
                  <w:noWrap w:val="0"/>
                  <w:vAlign w:val="center"/>
                </w:tcPr>
                <w:p>
                  <w:pPr>
                    <w:keepNext w:val="0"/>
                    <w:keepLines w:val="0"/>
                    <w:pageBreakBefore w:val="0"/>
                    <w:widowControl/>
                    <w:kinsoku/>
                    <w:wordWrap/>
                    <w:overflowPunct/>
                    <w:topLinePunct w:val="0"/>
                    <w:autoSpaceDE/>
                    <w:autoSpaceDN/>
                    <w:bidi w:val="0"/>
                    <w:spacing w:line="340" w:lineRule="exact"/>
                    <w:ind w:firstLine="0" w:firstLineChars="0"/>
                    <w:jc w:val="center"/>
                    <w:textAlignment w:val="center"/>
                    <w:rPr>
                      <w:rFonts w:ascii="Times New Roman" w:hAnsi="Times New Roman" w:eastAsia="宋体" w:cs="Times New Roman"/>
                      <w:color w:val="auto"/>
                      <w:kern w:val="0"/>
                    </w:rPr>
                  </w:pPr>
                  <w:r>
                    <w:rPr>
                      <w:rFonts w:hint="default" w:ascii="Times New Roman" w:hAnsi="Times New Roman" w:eastAsia="宋体" w:cs="Times New Roman"/>
                      <w:color w:val="auto"/>
                      <w:kern w:val="0"/>
                      <w:sz w:val="21"/>
                      <w:szCs w:val="18"/>
                      <w:lang w:bidi="ar"/>
                    </w:rPr>
                    <w:t>101°49′38.32″</w:t>
                  </w:r>
                </w:p>
              </w:tc>
              <w:tc>
                <w:tcPr>
                  <w:tcW w:w="673" w:type="pct"/>
                  <w:noWrap w:val="0"/>
                  <w:vAlign w:val="center"/>
                </w:tcPr>
                <w:p>
                  <w:pPr>
                    <w:keepNext w:val="0"/>
                    <w:keepLines w:val="0"/>
                    <w:pageBreakBefore w:val="0"/>
                    <w:widowControl/>
                    <w:kinsoku/>
                    <w:wordWrap/>
                    <w:overflowPunct/>
                    <w:topLinePunct w:val="0"/>
                    <w:autoSpaceDE/>
                    <w:autoSpaceDN/>
                    <w:bidi w:val="0"/>
                    <w:spacing w:line="340" w:lineRule="exact"/>
                    <w:ind w:firstLine="0" w:firstLineChars="0"/>
                    <w:jc w:val="center"/>
                    <w:textAlignment w:val="center"/>
                    <w:rPr>
                      <w:rFonts w:ascii="Times New Roman" w:hAnsi="Times New Roman" w:eastAsia="宋体" w:cs="Times New Roman"/>
                      <w:color w:val="auto"/>
                      <w:kern w:val="0"/>
                    </w:rPr>
                  </w:pPr>
                  <w:r>
                    <w:rPr>
                      <w:rFonts w:hint="default" w:ascii="Times New Roman" w:hAnsi="Times New Roman" w:eastAsia="宋体" w:cs="Times New Roman"/>
                      <w:color w:val="auto"/>
                      <w:kern w:val="0"/>
                      <w:sz w:val="21"/>
                      <w:szCs w:val="18"/>
                      <w:lang w:bidi="ar"/>
                    </w:rPr>
                    <w:t>25°36′34.02″</w:t>
                  </w:r>
                </w:p>
              </w:tc>
              <w:tc>
                <w:tcPr>
                  <w:tcW w:w="401" w:type="pct"/>
                  <w:noWrap w:val="0"/>
                  <w:vAlign w:val="center"/>
                </w:tcPr>
                <w:p>
                  <w:pPr>
                    <w:widowControl/>
                    <w:adjustRightInd w:val="0"/>
                    <w:snapToGrid w:val="0"/>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居民</w:t>
                  </w:r>
                </w:p>
              </w:tc>
              <w:tc>
                <w:tcPr>
                  <w:tcW w:w="932" w:type="pct"/>
                  <w:noWrap w:val="0"/>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21"/>
                      <w:szCs w:val="18"/>
                      <w:lang w:bidi="ar"/>
                    </w:rPr>
                    <w:t>约</w:t>
                  </w:r>
                  <w:r>
                    <w:rPr>
                      <w:rFonts w:hint="default" w:ascii="Times New Roman" w:hAnsi="Times New Roman" w:eastAsia="宋体" w:cs="Times New Roman"/>
                      <w:color w:val="auto"/>
                      <w:kern w:val="0"/>
                      <w:sz w:val="21"/>
                      <w:szCs w:val="18"/>
                      <w:lang w:val="en-US" w:eastAsia="zh-CN" w:bidi="ar"/>
                    </w:rPr>
                    <w:t>32</w:t>
                  </w:r>
                  <w:r>
                    <w:rPr>
                      <w:rFonts w:hint="default" w:ascii="Times New Roman" w:hAnsi="Times New Roman" w:eastAsia="宋体" w:cs="Times New Roman"/>
                      <w:color w:val="auto"/>
                      <w:kern w:val="0"/>
                      <w:sz w:val="21"/>
                      <w:szCs w:val="18"/>
                      <w:lang w:bidi="ar"/>
                    </w:rPr>
                    <w:t>户</w:t>
                  </w:r>
                  <w:r>
                    <w:rPr>
                      <w:rFonts w:hint="eastAsia" w:ascii="Times New Roman" w:hAnsi="Times New Roman" w:eastAsia="宋体" w:cs="Times New Roman"/>
                      <w:color w:val="auto"/>
                      <w:kern w:val="0"/>
                      <w:sz w:val="21"/>
                      <w:szCs w:val="18"/>
                      <w:lang w:eastAsia="zh-CN" w:bidi="ar"/>
                    </w:rPr>
                    <w:t>，</w:t>
                  </w:r>
                  <w:r>
                    <w:rPr>
                      <w:rFonts w:hint="eastAsia" w:ascii="Times New Roman" w:hAnsi="Times New Roman" w:eastAsia="宋体" w:cs="Times New Roman"/>
                      <w:color w:val="auto"/>
                      <w:kern w:val="0"/>
                      <w:sz w:val="21"/>
                      <w:szCs w:val="18"/>
                      <w:lang w:val="en-US" w:eastAsia="zh-CN" w:bidi="ar"/>
                    </w:rPr>
                    <w:t>112人</w:t>
                  </w:r>
                </w:p>
              </w:tc>
              <w:tc>
                <w:tcPr>
                  <w:tcW w:w="253" w:type="pct"/>
                  <w:vMerge w:val="continue"/>
                  <w:noWrap w:val="0"/>
                  <w:vAlign w:val="center"/>
                </w:tcPr>
                <w:p>
                  <w:pPr>
                    <w:widowControl/>
                    <w:adjustRightInd w:val="0"/>
                    <w:snapToGrid w:val="0"/>
                    <w:jc w:val="center"/>
                    <w:rPr>
                      <w:rFonts w:ascii="Times New Roman" w:hAnsi="Times New Roman" w:eastAsia="宋体" w:cs="Times New Roman"/>
                      <w:color w:val="auto"/>
                      <w:kern w:val="0"/>
                    </w:rPr>
                  </w:pPr>
                </w:p>
              </w:tc>
              <w:tc>
                <w:tcPr>
                  <w:tcW w:w="1004" w:type="pct"/>
                  <w:noWrap w:val="0"/>
                  <w:vAlign w:val="center"/>
                </w:tcPr>
                <w:p>
                  <w:pPr>
                    <w:widowControl/>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升压站东</w:t>
                  </w:r>
                  <w:r>
                    <w:rPr>
                      <w:rFonts w:hint="eastAsia" w:ascii="Times New Roman" w:hAnsi="Times New Roman" w:eastAsia="宋体" w:cs="Times New Roman"/>
                      <w:color w:val="auto"/>
                      <w:kern w:val="0"/>
                      <w:sz w:val="18"/>
                      <w:szCs w:val="18"/>
                      <w:lang w:bidi="ar"/>
                    </w:rPr>
                    <w:t>南</w:t>
                  </w:r>
                  <w:r>
                    <w:rPr>
                      <w:rFonts w:ascii="Times New Roman" w:hAnsi="Times New Roman" w:eastAsia="宋体" w:cs="Times New Roman"/>
                      <w:color w:val="auto"/>
                      <w:kern w:val="0"/>
                      <w:sz w:val="18"/>
                      <w:szCs w:val="18"/>
                      <w:lang w:bidi="ar"/>
                    </w:rPr>
                    <w:t>侧</w:t>
                  </w:r>
                </w:p>
              </w:tc>
              <w:tc>
                <w:tcPr>
                  <w:tcW w:w="500" w:type="pct"/>
                  <w:noWrap w:val="0"/>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469</w:t>
                  </w:r>
                </w:p>
              </w:tc>
            </w:tr>
          </w:tbl>
          <w:p>
            <w:pPr>
              <w:spacing w:before="120" w:beforeLines="50" w:line="360" w:lineRule="auto"/>
              <w:jc w:val="left"/>
              <w:rPr>
                <w:rFonts w:ascii="Times New Roman" w:hAnsi="Times New Roman" w:eastAsia="宋体" w:cs="Times New Roman"/>
                <w:b/>
                <w:color w:val="auto"/>
                <w:kern w:val="0"/>
                <w:sz w:val="28"/>
              </w:rPr>
            </w:pPr>
            <w:r>
              <w:rPr>
                <w:rFonts w:hint="eastAsia" w:ascii="Times New Roman" w:hAnsi="Times New Roman" w:eastAsia="宋体" w:cs="Times New Roman"/>
                <w:b/>
                <w:color w:val="auto"/>
                <w:kern w:val="0"/>
                <w:sz w:val="28"/>
              </w:rPr>
              <w:t>3.13地表水</w:t>
            </w:r>
            <w:r>
              <w:rPr>
                <w:rFonts w:ascii="Times New Roman" w:hAnsi="Times New Roman" w:eastAsia="宋体" w:cs="Times New Roman"/>
                <w:b/>
                <w:color w:val="auto"/>
                <w:kern w:val="0"/>
                <w:sz w:val="28"/>
              </w:rPr>
              <w:t>环境保护目标</w:t>
            </w:r>
          </w:p>
          <w:p>
            <w:pPr>
              <w:spacing w:line="360" w:lineRule="auto"/>
              <w:ind w:firstLine="480" w:firstLineChars="200"/>
              <w:jc w:val="left"/>
              <w:rPr>
                <w:rFonts w:ascii="Times New Roman" w:hAnsi="Times New Roman" w:eastAsia="宋体" w:cs="Times New Roman"/>
                <w:bCs/>
                <w:color w:val="auto"/>
                <w:kern w:val="0"/>
                <w:sz w:val="24"/>
              </w:rPr>
            </w:pPr>
            <w:r>
              <w:rPr>
                <w:rFonts w:hint="eastAsia" w:ascii="Times New Roman" w:hAnsi="Times New Roman" w:cs="Times New Roman"/>
                <w:color w:val="auto"/>
                <w:kern w:val="0"/>
                <w:sz w:val="24"/>
                <w:szCs w:val="24"/>
                <w:lang w:val="en-US" w:eastAsia="zh-CN" w:bidi="ar"/>
              </w:rPr>
              <w:t>根据现状调查，</w:t>
            </w:r>
            <w:r>
              <w:rPr>
                <w:rFonts w:hint="eastAsia" w:ascii="宋体" w:hAnsi="宋体" w:eastAsia="宋体" w:cs="宋体"/>
                <w:color w:val="auto"/>
                <w:kern w:val="0"/>
                <w:sz w:val="24"/>
                <w:lang w:bidi="ar"/>
              </w:rPr>
              <w:t>保护</w:t>
            </w:r>
            <w:r>
              <w:rPr>
                <w:rFonts w:hint="eastAsia" w:ascii="Times New Roman" w:hAnsi="Times New Roman" w:eastAsia="宋体" w:cs="Times New Roman"/>
                <w:color w:val="auto"/>
                <w:sz w:val="24"/>
              </w:rPr>
              <w:t>龙川江、大沙箐、黑山大箐、丙巷河、丙间水库、麻柳水库、勐连水库、丙巷河水库等地表</w:t>
            </w:r>
            <w:r>
              <w:rPr>
                <w:rFonts w:hint="eastAsia" w:ascii="宋体" w:hAnsi="宋体" w:eastAsia="宋体" w:cs="宋体"/>
                <w:color w:val="auto"/>
                <w:kern w:val="0"/>
                <w:sz w:val="24"/>
                <w:lang w:bidi="ar"/>
              </w:rPr>
              <w:t>水环境不因本项目的建设而水质恶化。项目地表丙间箐（丙间河）、丙间水库、麻柳水库执行《地表水环境质量标准》（GB3838-2002）</w:t>
            </w:r>
            <w:r>
              <w:rPr>
                <w:rFonts w:hint="eastAsia" w:ascii="宋体" w:hAnsi="宋体" w:eastAsia="宋体" w:cs="宋体"/>
                <w:color w:val="auto"/>
                <w:sz w:val="24"/>
                <w:szCs w:val="32"/>
              </w:rPr>
              <w:t>Ⅲ</w:t>
            </w:r>
            <w:r>
              <w:rPr>
                <w:rFonts w:hint="eastAsia" w:ascii="宋体" w:hAnsi="宋体" w:eastAsia="宋体" w:cs="宋体"/>
                <w:color w:val="auto"/>
                <w:kern w:val="0"/>
                <w:sz w:val="24"/>
                <w:lang w:bidi="ar"/>
              </w:rPr>
              <w:t>类标准；龙川江、</w:t>
            </w:r>
            <w:r>
              <w:rPr>
                <w:rFonts w:hint="eastAsia" w:ascii="Times New Roman" w:hAnsi="Times New Roman" w:eastAsia="宋体" w:cs="Times New Roman"/>
                <w:color w:val="auto"/>
                <w:sz w:val="24"/>
              </w:rPr>
              <w:t>大沙箐、黑山大箐、丙巷河</w:t>
            </w:r>
            <w:r>
              <w:rPr>
                <w:rFonts w:hint="eastAsia" w:ascii="宋体" w:hAnsi="宋体" w:eastAsia="宋体" w:cs="宋体"/>
                <w:color w:val="auto"/>
                <w:kern w:val="0"/>
                <w:sz w:val="24"/>
                <w:lang w:bidi="ar"/>
              </w:rPr>
              <w:t>等执行《地表水环境质量标准》（GB3838-2002）</w:t>
            </w:r>
            <w:r>
              <w:rPr>
                <w:rFonts w:hint="eastAsia" w:ascii="宋体" w:hAnsi="宋体" w:eastAsia="宋体" w:cs="宋体"/>
                <w:color w:val="auto"/>
                <w:sz w:val="24"/>
                <w:szCs w:val="32"/>
              </w:rPr>
              <w:t>Ⅳ</w:t>
            </w:r>
            <w:r>
              <w:rPr>
                <w:rFonts w:hint="eastAsia" w:ascii="宋体" w:hAnsi="宋体" w:eastAsia="宋体" w:cs="宋体"/>
                <w:color w:val="auto"/>
                <w:kern w:val="0"/>
                <w:sz w:val="24"/>
                <w:lang w:bidi="ar"/>
              </w:rPr>
              <w:t>类标准。</w:t>
            </w:r>
            <w:r>
              <w:rPr>
                <w:rFonts w:hint="eastAsia" w:ascii="Times New Roman" w:hAnsi="Times New Roman" w:eastAsia="宋体" w:cs="Times New Roman"/>
                <w:bCs/>
                <w:color w:val="auto"/>
                <w:kern w:val="0"/>
                <w:sz w:val="24"/>
              </w:rPr>
              <w:t>龙川江在元谋县境内各河段规划水平年水质目标均为Ⅲ类。</w:t>
            </w:r>
          </w:p>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表3.13-1  水环境保护目标一览表</w:t>
            </w:r>
          </w:p>
          <w:tbl>
            <w:tblPr>
              <w:tblStyle w:val="18"/>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1477"/>
              <w:gridCol w:w="1477"/>
              <w:gridCol w:w="447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9" w:type="pct"/>
                  <w:noWrap w:val="0"/>
                  <w:vAlign w:val="center"/>
                </w:tcPr>
                <w:p>
                  <w:pPr>
                    <w:widowControl/>
                    <w:adjustRightInd w:val="0"/>
                    <w:snapToGrid w:val="0"/>
                    <w:jc w:val="center"/>
                    <w:rPr>
                      <w:rFonts w:ascii="Times New Roman" w:hAnsi="Times New Roman" w:eastAsia="宋体" w:cs="Times New Roman"/>
                      <w:b/>
                      <w:color w:val="auto"/>
                      <w:kern w:val="0"/>
                    </w:rPr>
                  </w:pPr>
                  <w:r>
                    <w:rPr>
                      <w:rFonts w:hint="eastAsia" w:ascii="Times New Roman" w:hAnsi="Times New Roman" w:eastAsia="宋体" w:cs="Times New Roman"/>
                      <w:b/>
                      <w:color w:val="auto"/>
                      <w:kern w:val="0"/>
                    </w:rPr>
                    <w:t>序号</w:t>
                  </w:r>
                </w:p>
              </w:tc>
              <w:tc>
                <w:tcPr>
                  <w:tcW w:w="883" w:type="pct"/>
                  <w:noWrap w:val="0"/>
                  <w:vAlign w:val="center"/>
                </w:tcPr>
                <w:p>
                  <w:pPr>
                    <w:widowControl/>
                    <w:adjustRightInd w:val="0"/>
                    <w:snapToGrid w:val="0"/>
                    <w:jc w:val="center"/>
                    <w:rPr>
                      <w:rFonts w:ascii="Times New Roman" w:hAnsi="Times New Roman" w:eastAsia="宋体" w:cs="Times New Roman"/>
                      <w:b/>
                      <w:color w:val="auto"/>
                      <w:kern w:val="0"/>
                    </w:rPr>
                  </w:pPr>
                  <w:r>
                    <w:rPr>
                      <w:rFonts w:hint="eastAsia" w:ascii="Times New Roman" w:hAnsi="Times New Roman" w:eastAsia="宋体" w:cs="Times New Roman"/>
                      <w:b/>
                      <w:color w:val="auto"/>
                      <w:kern w:val="0"/>
                    </w:rPr>
                    <w:t>水体名称</w:t>
                  </w:r>
                </w:p>
              </w:tc>
              <w:tc>
                <w:tcPr>
                  <w:tcW w:w="883" w:type="pct"/>
                  <w:noWrap w:val="0"/>
                  <w:vAlign w:val="center"/>
                </w:tcPr>
                <w:p>
                  <w:pPr>
                    <w:widowControl/>
                    <w:adjustRightInd w:val="0"/>
                    <w:snapToGrid w:val="0"/>
                    <w:jc w:val="center"/>
                    <w:rPr>
                      <w:rFonts w:ascii="Times New Roman" w:hAnsi="Times New Roman" w:eastAsia="宋体" w:cs="Times New Roman"/>
                      <w:b/>
                      <w:color w:val="auto"/>
                      <w:kern w:val="0"/>
                    </w:rPr>
                  </w:pPr>
                  <w:r>
                    <w:rPr>
                      <w:rFonts w:hint="eastAsia" w:ascii="Times New Roman" w:hAnsi="Times New Roman" w:eastAsia="宋体" w:cs="Times New Roman"/>
                      <w:b/>
                      <w:color w:val="auto"/>
                      <w:kern w:val="0"/>
                    </w:rPr>
                    <w:t>执行标准</w:t>
                  </w:r>
                </w:p>
              </w:tc>
              <w:tc>
                <w:tcPr>
                  <w:tcW w:w="2672" w:type="pct"/>
                  <w:noWrap w:val="0"/>
                  <w:vAlign w:val="center"/>
                </w:tcPr>
                <w:p>
                  <w:pPr>
                    <w:widowControl/>
                    <w:adjustRightInd w:val="0"/>
                    <w:snapToGrid w:val="0"/>
                    <w:jc w:val="center"/>
                    <w:rPr>
                      <w:rFonts w:ascii="Times New Roman" w:hAnsi="Times New Roman" w:eastAsia="宋体" w:cs="Times New Roman"/>
                      <w:b/>
                      <w:color w:val="auto"/>
                      <w:kern w:val="0"/>
                    </w:rPr>
                  </w:pPr>
                  <w:r>
                    <w:rPr>
                      <w:rFonts w:hint="eastAsia" w:ascii="Times New Roman" w:hAnsi="Times New Roman" w:eastAsia="宋体" w:cs="Times New Roman"/>
                      <w:b/>
                      <w:color w:val="auto"/>
                      <w:kern w:val="0"/>
                    </w:rPr>
                    <w:t>相对场址方位</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noWrap w:val="0"/>
                  <w:vAlign w:val="center"/>
                </w:tcPr>
                <w:p>
                  <w:pPr>
                    <w:widowControl/>
                    <w:jc w:val="center"/>
                    <w:textAlignment w:val="center"/>
                    <w:rPr>
                      <w:rFonts w:hint="default"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 w:val="21"/>
                      <w:szCs w:val="18"/>
                      <w:lang w:val="en-US" w:eastAsia="zh-CN" w:bidi="ar"/>
                    </w:rPr>
                    <w:t>1</w:t>
                  </w:r>
                </w:p>
              </w:tc>
              <w:tc>
                <w:tcPr>
                  <w:tcW w:w="883" w:type="pct"/>
                  <w:noWrap w:val="0"/>
                  <w:vAlign w:val="center"/>
                </w:tcPr>
                <w:p>
                  <w:pPr>
                    <w:widowControl/>
                    <w:jc w:val="center"/>
                    <w:textAlignment w:val="center"/>
                    <w:rPr>
                      <w:rFonts w:hint="eastAsia"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 w:val="21"/>
                      <w:szCs w:val="18"/>
                      <w:lang w:val="en-US" w:eastAsia="zh-CN" w:bidi="ar"/>
                    </w:rPr>
                    <w:t>龙川江</w:t>
                  </w:r>
                </w:p>
              </w:tc>
              <w:tc>
                <w:tcPr>
                  <w:tcW w:w="883" w:type="pct"/>
                  <w:noWrap w:val="0"/>
                  <w:vAlign w:val="center"/>
                </w:tcPr>
                <w:p>
                  <w:pPr>
                    <w:widowControl/>
                    <w:jc w:val="center"/>
                    <w:textAlignment w:val="center"/>
                    <w:rPr>
                      <w:rFonts w:hint="default"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 w:val="21"/>
                      <w:szCs w:val="18"/>
                      <w:lang w:val="en-US" w:eastAsia="zh-CN" w:bidi="ar"/>
                    </w:rPr>
                    <w:t>Ⅲ类</w:t>
                  </w:r>
                </w:p>
              </w:tc>
              <w:tc>
                <w:tcPr>
                  <w:tcW w:w="2672" w:type="pct"/>
                  <w:noWrap w:val="0"/>
                  <w:vAlign w:val="center"/>
                </w:tcPr>
                <w:p>
                  <w:pPr>
                    <w:widowControl/>
                    <w:jc w:val="center"/>
                    <w:textAlignment w:val="center"/>
                    <w:rPr>
                      <w:rFonts w:hint="eastAsia"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 w:val="21"/>
                      <w:szCs w:val="18"/>
                      <w:lang w:val="en-US" w:eastAsia="zh-CN" w:bidi="ar"/>
                    </w:rPr>
                    <w:t>沙沟片区东侧，最近处约268m；</w:t>
                  </w:r>
                </w:p>
                <w:p>
                  <w:pPr>
                    <w:pStyle w:val="14"/>
                    <w:ind w:left="0" w:leftChars="0" w:right="0" w:rightChars="0" w:firstLine="0" w:firstLineChars="0"/>
                    <w:jc w:val="center"/>
                    <w:rPr>
                      <w:rFonts w:hint="default"/>
                      <w:color w:val="auto"/>
                      <w:lang w:val="en-US" w:eastAsia="zh-CN"/>
                    </w:rPr>
                  </w:pPr>
                  <w:r>
                    <w:rPr>
                      <w:rFonts w:hint="eastAsia" w:ascii="Times New Roman" w:hAnsi="Times New Roman" w:eastAsia="宋体" w:cs="Times New Roman"/>
                      <w:color w:val="auto"/>
                      <w:kern w:val="0"/>
                      <w:sz w:val="21"/>
                      <w:szCs w:val="18"/>
                      <w:lang w:val="en-US" w:eastAsia="zh-CN" w:bidi="ar"/>
                    </w:rPr>
                    <w:t>35kv集电线路跨越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noWrap w:val="0"/>
                  <w:vAlign w:val="center"/>
                </w:tcPr>
                <w:p>
                  <w:pPr>
                    <w:widowControl/>
                    <w:jc w:val="center"/>
                    <w:textAlignment w:val="center"/>
                    <w:rPr>
                      <w:rFonts w:hint="default"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 w:val="21"/>
                      <w:szCs w:val="18"/>
                      <w:lang w:val="en-US" w:eastAsia="zh-CN" w:bidi="ar"/>
                    </w:rPr>
                    <w:t>2</w:t>
                  </w:r>
                </w:p>
              </w:tc>
              <w:tc>
                <w:tcPr>
                  <w:tcW w:w="883" w:type="pct"/>
                  <w:noWrap w:val="0"/>
                  <w:vAlign w:val="center"/>
                </w:tcPr>
                <w:p>
                  <w:pPr>
                    <w:widowControl/>
                    <w:jc w:val="center"/>
                    <w:textAlignment w:val="center"/>
                    <w:rPr>
                      <w:rFonts w:hint="default"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 w:val="21"/>
                      <w:szCs w:val="18"/>
                      <w:lang w:val="en-US" w:eastAsia="zh-CN" w:bidi="ar"/>
                    </w:rPr>
                    <w:t>黑山大箐</w:t>
                  </w:r>
                </w:p>
              </w:tc>
              <w:tc>
                <w:tcPr>
                  <w:tcW w:w="883" w:type="pct"/>
                  <w:noWrap w:val="0"/>
                  <w:vAlign w:val="top"/>
                </w:tcPr>
                <w:p>
                  <w:pPr>
                    <w:widowControl/>
                    <w:jc w:val="center"/>
                    <w:textAlignment w:val="center"/>
                    <w:rPr>
                      <w:rFonts w:hint="default"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 w:val="21"/>
                      <w:szCs w:val="18"/>
                      <w:lang w:val="en-US" w:eastAsia="zh-CN" w:bidi="ar"/>
                    </w:rPr>
                    <w:t>Ⅳ类</w:t>
                  </w:r>
                </w:p>
              </w:tc>
              <w:tc>
                <w:tcPr>
                  <w:tcW w:w="2672" w:type="pct"/>
                  <w:noWrap w:val="0"/>
                  <w:vAlign w:val="center"/>
                </w:tcPr>
                <w:p>
                  <w:pPr>
                    <w:widowControl/>
                    <w:jc w:val="center"/>
                    <w:textAlignment w:val="center"/>
                    <w:rPr>
                      <w:rFonts w:hint="default"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 w:val="21"/>
                      <w:szCs w:val="18"/>
                      <w:lang w:val="en-US" w:eastAsia="zh-CN" w:bidi="ar"/>
                    </w:rPr>
                    <w:t>阿郎片区南</w:t>
                  </w:r>
                  <w:r>
                    <w:rPr>
                      <w:rFonts w:hint="default" w:ascii="Times New Roman" w:hAnsi="Times New Roman" w:eastAsia="宋体" w:cs="Times New Roman"/>
                      <w:color w:val="auto"/>
                      <w:kern w:val="0"/>
                      <w:sz w:val="21"/>
                      <w:szCs w:val="18"/>
                      <w:lang w:val="en-US" w:eastAsia="zh-CN" w:bidi="ar"/>
                    </w:rPr>
                    <w:t>侧</w:t>
                  </w:r>
                  <w:r>
                    <w:rPr>
                      <w:rFonts w:hint="eastAsia" w:ascii="Times New Roman" w:hAnsi="Times New Roman" w:eastAsia="宋体" w:cs="Times New Roman"/>
                      <w:color w:val="auto"/>
                      <w:kern w:val="0"/>
                      <w:sz w:val="21"/>
                      <w:szCs w:val="18"/>
                      <w:lang w:val="en-US" w:eastAsia="zh-CN" w:bidi="ar"/>
                    </w:rPr>
                    <w:t>，最近处约85</w:t>
                  </w:r>
                  <w:r>
                    <w:rPr>
                      <w:rFonts w:hint="default" w:ascii="Times New Roman" w:hAnsi="Times New Roman" w:eastAsia="宋体" w:cs="Times New Roman"/>
                      <w:color w:val="auto"/>
                      <w:kern w:val="0"/>
                      <w:sz w:val="21"/>
                      <w:szCs w:val="18"/>
                      <w:lang w:val="en-US" w:eastAsia="zh-CN" w:bidi="ar"/>
                    </w:rPr>
                    <w:t>m</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noWrap w:val="0"/>
                  <w:vAlign w:val="center"/>
                </w:tcPr>
                <w:p>
                  <w:pPr>
                    <w:widowControl/>
                    <w:jc w:val="center"/>
                    <w:textAlignment w:val="center"/>
                    <w:rPr>
                      <w:rFonts w:hint="default"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 w:val="21"/>
                      <w:szCs w:val="18"/>
                      <w:lang w:val="en-US" w:eastAsia="zh-CN" w:bidi="ar"/>
                    </w:rPr>
                    <w:t>3</w:t>
                  </w:r>
                </w:p>
              </w:tc>
              <w:tc>
                <w:tcPr>
                  <w:tcW w:w="883" w:type="pct"/>
                  <w:noWrap w:val="0"/>
                  <w:vAlign w:val="center"/>
                </w:tcPr>
                <w:p>
                  <w:pPr>
                    <w:widowControl/>
                    <w:jc w:val="center"/>
                    <w:textAlignment w:val="center"/>
                    <w:rPr>
                      <w:rFonts w:hint="default"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 w:val="21"/>
                      <w:szCs w:val="18"/>
                      <w:lang w:val="en-US" w:eastAsia="zh-CN" w:bidi="ar"/>
                    </w:rPr>
                    <w:t>海子哨河</w:t>
                  </w:r>
                </w:p>
              </w:tc>
              <w:tc>
                <w:tcPr>
                  <w:tcW w:w="883" w:type="pct"/>
                  <w:noWrap w:val="0"/>
                  <w:vAlign w:val="top"/>
                </w:tcPr>
                <w:p>
                  <w:pPr>
                    <w:widowControl/>
                    <w:jc w:val="center"/>
                    <w:textAlignment w:val="center"/>
                    <w:rPr>
                      <w:rFonts w:hint="eastAsia"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 w:val="21"/>
                      <w:szCs w:val="18"/>
                      <w:lang w:val="en-US" w:eastAsia="zh-CN" w:bidi="ar"/>
                    </w:rPr>
                    <w:t>Ⅳ类</w:t>
                  </w:r>
                </w:p>
              </w:tc>
              <w:tc>
                <w:tcPr>
                  <w:tcW w:w="2672" w:type="pct"/>
                  <w:noWrap w:val="0"/>
                  <w:vAlign w:val="center"/>
                </w:tcPr>
                <w:p>
                  <w:pPr>
                    <w:widowControl/>
                    <w:ind w:left="0" w:leftChars="0" w:right="0" w:rightChars="0" w:firstLine="0" w:firstLineChars="0"/>
                    <w:jc w:val="center"/>
                    <w:textAlignment w:val="center"/>
                    <w:rPr>
                      <w:rFonts w:hint="eastAsia"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 w:val="21"/>
                      <w:szCs w:val="18"/>
                      <w:lang w:val="en-US" w:eastAsia="zh-CN" w:bidi="ar"/>
                    </w:rPr>
                    <w:t>沙沟片区南侧，最近处约1127m；</w:t>
                  </w:r>
                </w:p>
                <w:p>
                  <w:pPr>
                    <w:pStyle w:val="14"/>
                    <w:ind w:left="0" w:leftChars="0" w:right="0" w:rightChars="0" w:firstLine="0" w:firstLineChars="0"/>
                    <w:jc w:val="center"/>
                    <w:rPr>
                      <w:rFonts w:hint="default"/>
                      <w:color w:val="auto"/>
                      <w:lang w:val="en-US" w:eastAsia="zh-CN"/>
                    </w:rPr>
                  </w:pPr>
                  <w:r>
                    <w:rPr>
                      <w:rFonts w:hint="eastAsia" w:ascii="Times New Roman" w:hAnsi="Times New Roman" w:eastAsia="宋体" w:cs="Times New Roman"/>
                      <w:color w:val="auto"/>
                      <w:kern w:val="0"/>
                      <w:sz w:val="21"/>
                      <w:szCs w:val="18"/>
                      <w:lang w:val="en-US" w:eastAsia="zh-CN" w:bidi="ar"/>
                    </w:rPr>
                    <w:t>35kv集电线路跨越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noWrap w:val="0"/>
                  <w:vAlign w:val="center"/>
                </w:tcPr>
                <w:p>
                  <w:pPr>
                    <w:widowControl/>
                    <w:jc w:val="center"/>
                    <w:textAlignment w:val="center"/>
                    <w:rPr>
                      <w:rFonts w:hint="eastAsia"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 w:val="21"/>
                      <w:szCs w:val="18"/>
                      <w:lang w:val="en-US" w:eastAsia="zh-CN" w:bidi="ar"/>
                    </w:rPr>
                    <w:t>4</w:t>
                  </w:r>
                </w:p>
              </w:tc>
              <w:tc>
                <w:tcPr>
                  <w:tcW w:w="883" w:type="pct"/>
                  <w:noWrap w:val="0"/>
                  <w:vAlign w:val="center"/>
                </w:tcPr>
                <w:p>
                  <w:pPr>
                    <w:widowControl/>
                    <w:jc w:val="center"/>
                    <w:textAlignment w:val="center"/>
                    <w:rPr>
                      <w:rFonts w:hint="eastAsia"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 w:val="21"/>
                      <w:szCs w:val="18"/>
                      <w:lang w:val="en-US" w:eastAsia="zh-CN" w:bidi="ar"/>
                    </w:rPr>
                    <w:t>丙巷河</w:t>
                  </w:r>
                </w:p>
              </w:tc>
              <w:tc>
                <w:tcPr>
                  <w:tcW w:w="883" w:type="pct"/>
                  <w:noWrap w:val="0"/>
                  <w:vAlign w:val="top"/>
                </w:tcPr>
                <w:p>
                  <w:pPr>
                    <w:widowControl/>
                    <w:jc w:val="center"/>
                    <w:textAlignment w:val="center"/>
                    <w:rPr>
                      <w:rFonts w:hint="default"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 w:val="21"/>
                      <w:szCs w:val="18"/>
                      <w:lang w:val="en-US" w:eastAsia="zh-CN" w:bidi="ar"/>
                    </w:rPr>
                    <w:t>Ⅳ类</w:t>
                  </w:r>
                </w:p>
              </w:tc>
              <w:tc>
                <w:tcPr>
                  <w:tcW w:w="2672" w:type="pct"/>
                  <w:noWrap w:val="0"/>
                  <w:vAlign w:val="center"/>
                </w:tcPr>
                <w:p>
                  <w:pPr>
                    <w:widowControl/>
                    <w:jc w:val="center"/>
                    <w:textAlignment w:val="center"/>
                    <w:rPr>
                      <w:rFonts w:hint="eastAsia"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 w:val="21"/>
                      <w:szCs w:val="18"/>
                      <w:lang w:val="en-US" w:eastAsia="zh-CN" w:bidi="ar"/>
                    </w:rPr>
                    <w:t>松树湾片区东南侧，最近处约4254</w:t>
                  </w:r>
                  <w:r>
                    <w:rPr>
                      <w:rFonts w:hint="default" w:ascii="Times New Roman" w:hAnsi="Times New Roman" w:eastAsia="宋体" w:cs="Times New Roman"/>
                      <w:color w:val="auto"/>
                      <w:kern w:val="0"/>
                      <w:sz w:val="21"/>
                      <w:szCs w:val="18"/>
                      <w:lang w:val="en-US" w:eastAsia="zh-CN" w:bidi="ar"/>
                    </w:rPr>
                    <w:t>m</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noWrap w:val="0"/>
                  <w:vAlign w:val="center"/>
                </w:tcPr>
                <w:p>
                  <w:pPr>
                    <w:widowControl/>
                    <w:jc w:val="center"/>
                    <w:textAlignment w:val="center"/>
                    <w:rPr>
                      <w:rFonts w:hint="default"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 w:val="21"/>
                      <w:szCs w:val="18"/>
                      <w:lang w:val="en-US" w:eastAsia="zh-CN" w:bidi="ar"/>
                    </w:rPr>
                    <w:t>5</w:t>
                  </w:r>
                </w:p>
              </w:tc>
              <w:tc>
                <w:tcPr>
                  <w:tcW w:w="883" w:type="pct"/>
                  <w:noWrap w:val="0"/>
                  <w:vAlign w:val="center"/>
                </w:tcPr>
                <w:p>
                  <w:pPr>
                    <w:widowControl/>
                    <w:jc w:val="center"/>
                    <w:textAlignment w:val="center"/>
                    <w:rPr>
                      <w:rFonts w:hint="eastAsia"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 w:val="21"/>
                      <w:szCs w:val="18"/>
                      <w:lang w:val="en-US" w:eastAsia="zh-CN" w:bidi="ar"/>
                    </w:rPr>
                    <w:t>丙间水库饮用水源保护区</w:t>
                  </w:r>
                </w:p>
              </w:tc>
              <w:tc>
                <w:tcPr>
                  <w:tcW w:w="883" w:type="pct"/>
                  <w:noWrap w:val="0"/>
                  <w:vAlign w:val="top"/>
                </w:tcPr>
                <w:p>
                  <w:pPr>
                    <w:widowControl/>
                    <w:jc w:val="center"/>
                    <w:textAlignment w:val="center"/>
                    <w:rPr>
                      <w:rFonts w:hint="eastAsia" w:ascii="Times New Roman" w:hAnsi="Times New Roman" w:eastAsia="宋体" w:cs="Times New Roman"/>
                      <w:color w:val="auto"/>
                      <w:kern w:val="0"/>
                      <w:sz w:val="21"/>
                      <w:szCs w:val="18"/>
                      <w:lang w:val="en-US" w:eastAsia="zh-CN" w:bidi="ar"/>
                    </w:rPr>
                  </w:pPr>
                  <w:r>
                    <w:rPr>
                      <w:rFonts w:hint="default" w:ascii="Times New Roman" w:hAnsi="Times New Roman" w:eastAsia="宋体" w:cs="Times New Roman"/>
                      <w:color w:val="auto"/>
                      <w:kern w:val="0"/>
                      <w:sz w:val="21"/>
                      <w:szCs w:val="18"/>
                      <w:lang w:val="en-US" w:eastAsia="zh-CN" w:bidi="ar"/>
                    </w:rPr>
                    <w:t>饮用二级、农业用水</w:t>
                  </w:r>
                </w:p>
              </w:tc>
              <w:tc>
                <w:tcPr>
                  <w:tcW w:w="2672" w:type="pct"/>
                  <w:noWrap w:val="0"/>
                  <w:vAlign w:val="center"/>
                </w:tcPr>
                <w:p>
                  <w:pPr>
                    <w:widowControl/>
                    <w:jc w:val="center"/>
                    <w:textAlignment w:val="center"/>
                    <w:rPr>
                      <w:rFonts w:hint="default"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 w:val="21"/>
                      <w:szCs w:val="18"/>
                      <w:lang w:val="en-US" w:eastAsia="zh-CN" w:bidi="ar"/>
                    </w:rPr>
                    <w:t>松树湾片区东侧，最近处约1690</w:t>
                  </w:r>
                  <w:r>
                    <w:rPr>
                      <w:rFonts w:hint="default" w:ascii="Times New Roman" w:hAnsi="Times New Roman" w:eastAsia="宋体" w:cs="Times New Roman"/>
                      <w:color w:val="auto"/>
                      <w:kern w:val="0"/>
                      <w:sz w:val="21"/>
                      <w:szCs w:val="18"/>
                      <w:lang w:val="en-US" w:eastAsia="zh-CN" w:bidi="ar"/>
                    </w:rPr>
                    <w:t>m</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noWrap w:val="0"/>
                  <w:vAlign w:val="center"/>
                </w:tcPr>
                <w:p>
                  <w:pPr>
                    <w:widowControl/>
                    <w:jc w:val="center"/>
                    <w:textAlignment w:val="center"/>
                    <w:rPr>
                      <w:rFonts w:hint="default"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 w:val="21"/>
                      <w:szCs w:val="18"/>
                      <w:lang w:val="en-US" w:eastAsia="zh-CN" w:bidi="ar"/>
                    </w:rPr>
                    <w:t>6</w:t>
                  </w:r>
                </w:p>
              </w:tc>
              <w:tc>
                <w:tcPr>
                  <w:tcW w:w="883" w:type="pct"/>
                  <w:noWrap w:val="0"/>
                  <w:vAlign w:val="center"/>
                </w:tcPr>
                <w:p>
                  <w:pPr>
                    <w:widowControl/>
                    <w:jc w:val="center"/>
                    <w:textAlignment w:val="center"/>
                    <w:rPr>
                      <w:rFonts w:hint="default"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 w:val="21"/>
                      <w:szCs w:val="18"/>
                      <w:lang w:val="en-US" w:eastAsia="zh-CN" w:bidi="ar"/>
                    </w:rPr>
                    <w:t>麻柳水库饮用水源保护区</w:t>
                  </w:r>
                </w:p>
              </w:tc>
              <w:tc>
                <w:tcPr>
                  <w:tcW w:w="883" w:type="pct"/>
                  <w:noWrap w:val="0"/>
                  <w:vAlign w:val="top"/>
                </w:tcPr>
                <w:p>
                  <w:pPr>
                    <w:widowControl/>
                    <w:jc w:val="center"/>
                    <w:textAlignment w:val="center"/>
                    <w:rPr>
                      <w:rFonts w:hint="eastAsia" w:ascii="Times New Roman" w:hAnsi="Times New Roman" w:eastAsia="宋体" w:cs="Times New Roman"/>
                      <w:color w:val="auto"/>
                      <w:kern w:val="0"/>
                      <w:sz w:val="21"/>
                      <w:szCs w:val="18"/>
                      <w:lang w:val="en-US" w:eastAsia="zh-CN" w:bidi="ar"/>
                    </w:rPr>
                  </w:pPr>
                  <w:r>
                    <w:rPr>
                      <w:rFonts w:hint="default" w:ascii="Times New Roman" w:hAnsi="Times New Roman" w:eastAsia="宋体" w:cs="Times New Roman"/>
                      <w:color w:val="auto"/>
                      <w:kern w:val="0"/>
                      <w:sz w:val="21"/>
                      <w:szCs w:val="18"/>
                      <w:lang w:val="en-US" w:eastAsia="zh-CN" w:bidi="ar"/>
                    </w:rPr>
                    <w:t>饮用二级、农业用水</w:t>
                  </w:r>
                </w:p>
              </w:tc>
              <w:tc>
                <w:tcPr>
                  <w:tcW w:w="2672" w:type="pct"/>
                  <w:noWrap w:val="0"/>
                  <w:vAlign w:val="center"/>
                </w:tcPr>
                <w:p>
                  <w:pPr>
                    <w:widowControl/>
                    <w:jc w:val="center"/>
                    <w:textAlignment w:val="center"/>
                    <w:rPr>
                      <w:rFonts w:hint="default"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 w:val="21"/>
                      <w:szCs w:val="18"/>
                      <w:lang w:val="en-US" w:eastAsia="zh-CN" w:bidi="ar"/>
                    </w:rPr>
                    <w:t>松树湾片区东侧，最近处约1840</w:t>
                  </w:r>
                  <w:r>
                    <w:rPr>
                      <w:rFonts w:hint="default" w:ascii="Times New Roman" w:hAnsi="Times New Roman" w:eastAsia="宋体" w:cs="Times New Roman"/>
                      <w:color w:val="auto"/>
                      <w:kern w:val="0"/>
                      <w:sz w:val="21"/>
                      <w:szCs w:val="18"/>
                      <w:lang w:val="en-US" w:eastAsia="zh-CN" w:bidi="ar"/>
                    </w:rPr>
                    <w:t>m</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noWrap w:val="0"/>
                  <w:vAlign w:val="center"/>
                </w:tcPr>
                <w:p>
                  <w:pPr>
                    <w:widowControl/>
                    <w:jc w:val="center"/>
                    <w:textAlignment w:val="center"/>
                    <w:rPr>
                      <w:rFonts w:hint="default"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 w:val="21"/>
                      <w:szCs w:val="18"/>
                      <w:lang w:val="en-US" w:eastAsia="zh-CN" w:bidi="ar"/>
                    </w:rPr>
                    <w:t>7</w:t>
                  </w:r>
                </w:p>
              </w:tc>
              <w:tc>
                <w:tcPr>
                  <w:tcW w:w="883" w:type="pct"/>
                  <w:noWrap w:val="0"/>
                  <w:vAlign w:val="center"/>
                </w:tcPr>
                <w:p>
                  <w:pPr>
                    <w:widowControl/>
                    <w:jc w:val="center"/>
                    <w:textAlignment w:val="center"/>
                    <w:rPr>
                      <w:rFonts w:hint="eastAsia"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 w:val="21"/>
                      <w:szCs w:val="18"/>
                      <w:lang w:val="en-US" w:eastAsia="zh-CN" w:bidi="ar"/>
                    </w:rPr>
                    <w:t>丙巷河水库</w:t>
                  </w:r>
                </w:p>
              </w:tc>
              <w:tc>
                <w:tcPr>
                  <w:tcW w:w="883" w:type="pct"/>
                  <w:noWrap w:val="0"/>
                  <w:vAlign w:val="top"/>
                </w:tcPr>
                <w:p>
                  <w:pPr>
                    <w:widowControl/>
                    <w:jc w:val="center"/>
                    <w:textAlignment w:val="center"/>
                    <w:rPr>
                      <w:rFonts w:hint="eastAsia" w:ascii="Times New Roman" w:hAnsi="Times New Roman" w:eastAsia="宋体" w:cs="Times New Roman"/>
                      <w:color w:val="auto"/>
                      <w:kern w:val="0"/>
                      <w:sz w:val="21"/>
                      <w:szCs w:val="18"/>
                      <w:lang w:val="en-US" w:eastAsia="zh-CN" w:bidi="ar"/>
                    </w:rPr>
                  </w:pPr>
                  <w:r>
                    <w:rPr>
                      <w:rFonts w:hint="default" w:ascii="Times New Roman" w:hAnsi="Times New Roman" w:eastAsia="宋体" w:cs="Times New Roman"/>
                      <w:color w:val="auto"/>
                      <w:kern w:val="0"/>
                      <w:sz w:val="21"/>
                      <w:szCs w:val="18"/>
                      <w:lang w:val="en-US" w:eastAsia="zh-CN" w:bidi="ar"/>
                    </w:rPr>
                    <w:t>农业用水、工业用水</w:t>
                  </w:r>
                </w:p>
              </w:tc>
              <w:tc>
                <w:tcPr>
                  <w:tcW w:w="2672" w:type="pct"/>
                  <w:noWrap w:val="0"/>
                  <w:vAlign w:val="center"/>
                </w:tcPr>
                <w:p>
                  <w:pPr>
                    <w:widowControl/>
                    <w:jc w:val="center"/>
                    <w:textAlignment w:val="center"/>
                    <w:rPr>
                      <w:rFonts w:hint="eastAsia" w:ascii="Times New Roman" w:hAnsi="Times New Roman" w:eastAsia="宋体" w:cs="Times New Roman"/>
                      <w:color w:val="auto"/>
                      <w:kern w:val="0"/>
                      <w:sz w:val="21"/>
                      <w:szCs w:val="18"/>
                      <w:lang w:val="en-US" w:eastAsia="zh-CN" w:bidi="ar"/>
                    </w:rPr>
                  </w:pPr>
                  <w:r>
                    <w:rPr>
                      <w:rFonts w:hint="eastAsia" w:ascii="Times New Roman" w:hAnsi="Times New Roman" w:eastAsia="宋体" w:cs="Times New Roman"/>
                      <w:color w:val="auto"/>
                      <w:kern w:val="0"/>
                      <w:sz w:val="21"/>
                      <w:szCs w:val="18"/>
                      <w:lang w:val="en-US" w:eastAsia="zh-CN" w:bidi="ar"/>
                    </w:rPr>
                    <w:t>松树湾片区东南侧，最近处约4254</w:t>
                  </w:r>
                  <w:r>
                    <w:rPr>
                      <w:rFonts w:hint="default" w:ascii="Times New Roman" w:hAnsi="Times New Roman" w:eastAsia="宋体" w:cs="Times New Roman"/>
                      <w:color w:val="auto"/>
                      <w:kern w:val="0"/>
                      <w:sz w:val="21"/>
                      <w:szCs w:val="18"/>
                      <w:lang w:val="en-US" w:eastAsia="zh-CN" w:bidi="ar"/>
                    </w:rPr>
                    <w:t>m</w:t>
                  </w:r>
                </w:p>
              </w:tc>
            </w:tr>
          </w:tbl>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ascii="Times New Roman" w:hAnsi="Times New Roman" w:eastAsia="宋体" w:cs="Times New Roman"/>
                <w:b/>
                <w:bCs/>
                <w:color w:val="auto"/>
                <w:szCs w:val="21"/>
              </w:rPr>
            </w:pPr>
          </w:p>
          <w:p>
            <w:pPr>
              <w:spacing w:before="120" w:beforeLines="50" w:line="360" w:lineRule="auto"/>
              <w:jc w:val="left"/>
              <w:rPr>
                <w:rFonts w:ascii="Times New Roman" w:hAnsi="Times New Roman" w:eastAsia="宋体" w:cs="Times New Roman"/>
                <w:b/>
                <w:color w:val="auto"/>
                <w:kern w:val="0"/>
                <w:sz w:val="28"/>
              </w:rPr>
            </w:pPr>
            <w:r>
              <w:rPr>
                <w:rFonts w:hint="eastAsia" w:ascii="Times New Roman" w:hAnsi="Times New Roman" w:eastAsia="宋体" w:cs="Times New Roman"/>
                <w:b/>
                <w:color w:val="auto"/>
                <w:kern w:val="0"/>
                <w:sz w:val="28"/>
              </w:rPr>
              <w:t>3.14声环境保护目标</w:t>
            </w:r>
          </w:p>
          <w:p>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项目声环境评价范围按用地红线外延200m区域，评价范围内大气环境保护目标分布情况如下：</w:t>
            </w:r>
          </w:p>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表3.14-1  声环境保护目标一览表</w:t>
            </w:r>
          </w:p>
          <w:tbl>
            <w:tblPr>
              <w:tblStyle w:val="18"/>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9"/>
              <w:gridCol w:w="1027"/>
              <w:gridCol w:w="1443"/>
              <w:gridCol w:w="1838"/>
              <w:gridCol w:w="1987"/>
              <w:gridCol w:w="102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21" w:type="pct"/>
                  <w:noWrap w:val="0"/>
                  <w:vAlign w:val="center"/>
                </w:tcPr>
                <w:p>
                  <w:pPr>
                    <w:adjustRightInd w:val="0"/>
                    <w:snapToGrid w:val="0"/>
                    <w:jc w:val="center"/>
                    <w:rPr>
                      <w:rFonts w:ascii="Times New Roman" w:hAnsi="Times New Roman" w:eastAsia="宋体" w:cs="Times New Roman"/>
                      <w:b/>
                      <w:color w:val="auto"/>
                    </w:rPr>
                  </w:pPr>
                  <w:r>
                    <w:rPr>
                      <w:rFonts w:hint="eastAsia" w:ascii="Times New Roman" w:hAnsi="Times New Roman" w:eastAsia="宋体" w:cs="Times New Roman"/>
                      <w:b/>
                      <w:color w:val="auto"/>
                    </w:rPr>
                    <w:t>保护目标</w:t>
                  </w:r>
                </w:p>
              </w:tc>
              <w:tc>
                <w:tcPr>
                  <w:tcW w:w="614" w:type="pct"/>
                  <w:noWrap w:val="0"/>
                  <w:vAlign w:val="center"/>
                </w:tcPr>
                <w:p>
                  <w:pPr>
                    <w:adjustRightInd w:val="0"/>
                    <w:snapToGrid w:val="0"/>
                    <w:jc w:val="center"/>
                    <w:rPr>
                      <w:rFonts w:ascii="Times New Roman" w:hAnsi="Times New Roman" w:eastAsia="宋体" w:cs="Times New Roman"/>
                      <w:b/>
                      <w:color w:val="auto"/>
                    </w:rPr>
                  </w:pPr>
                  <w:r>
                    <w:rPr>
                      <w:rFonts w:ascii="Times New Roman" w:hAnsi="Times New Roman" w:eastAsia="宋体" w:cs="Times New Roman"/>
                      <w:b/>
                      <w:color w:val="auto"/>
                    </w:rPr>
                    <w:t>保护对象</w:t>
                  </w:r>
                </w:p>
              </w:tc>
              <w:tc>
                <w:tcPr>
                  <w:tcW w:w="863" w:type="pct"/>
                  <w:noWrap w:val="0"/>
                  <w:vAlign w:val="center"/>
                </w:tcPr>
                <w:p>
                  <w:pPr>
                    <w:adjustRightInd w:val="0"/>
                    <w:snapToGrid w:val="0"/>
                    <w:jc w:val="center"/>
                    <w:rPr>
                      <w:rFonts w:ascii="Times New Roman" w:hAnsi="Times New Roman" w:eastAsia="宋体" w:cs="Times New Roman"/>
                      <w:b/>
                      <w:color w:val="auto"/>
                    </w:rPr>
                  </w:pPr>
                  <w:r>
                    <w:rPr>
                      <w:rFonts w:ascii="Times New Roman" w:hAnsi="Times New Roman" w:eastAsia="宋体" w:cs="Times New Roman"/>
                      <w:b/>
                      <w:color w:val="auto"/>
                    </w:rPr>
                    <w:t>保护内容</w:t>
                  </w:r>
                </w:p>
              </w:tc>
              <w:tc>
                <w:tcPr>
                  <w:tcW w:w="1099" w:type="pct"/>
                  <w:noWrap w:val="0"/>
                  <w:vAlign w:val="center"/>
                </w:tcPr>
                <w:p>
                  <w:pPr>
                    <w:adjustRightInd w:val="0"/>
                    <w:snapToGrid w:val="0"/>
                    <w:jc w:val="center"/>
                    <w:rPr>
                      <w:rFonts w:ascii="Times New Roman" w:hAnsi="Times New Roman" w:eastAsia="宋体" w:cs="Times New Roman"/>
                      <w:b/>
                      <w:color w:val="auto"/>
                    </w:rPr>
                  </w:pPr>
                  <w:r>
                    <w:rPr>
                      <w:rFonts w:ascii="Times New Roman" w:hAnsi="Times New Roman" w:eastAsia="宋体" w:cs="Times New Roman"/>
                      <w:b/>
                      <w:color w:val="auto"/>
                    </w:rPr>
                    <w:t>保护目标</w:t>
                  </w:r>
                </w:p>
              </w:tc>
              <w:tc>
                <w:tcPr>
                  <w:tcW w:w="1188" w:type="pct"/>
                  <w:noWrap w:val="0"/>
                  <w:vAlign w:val="center"/>
                </w:tcPr>
                <w:p>
                  <w:pPr>
                    <w:adjustRightInd w:val="0"/>
                    <w:snapToGrid w:val="0"/>
                    <w:jc w:val="center"/>
                    <w:rPr>
                      <w:rFonts w:ascii="Times New Roman" w:hAnsi="Times New Roman" w:eastAsia="宋体" w:cs="Times New Roman"/>
                      <w:b/>
                      <w:color w:val="auto"/>
                    </w:rPr>
                  </w:pPr>
                  <w:r>
                    <w:rPr>
                      <w:rFonts w:ascii="Times New Roman" w:hAnsi="Times New Roman" w:eastAsia="宋体" w:cs="Times New Roman"/>
                      <w:b/>
                      <w:color w:val="auto"/>
                    </w:rPr>
                    <w:t>相对厂址方位</w:t>
                  </w:r>
                </w:p>
              </w:tc>
              <w:tc>
                <w:tcPr>
                  <w:tcW w:w="613" w:type="pct"/>
                  <w:noWrap w:val="0"/>
                  <w:vAlign w:val="center"/>
                </w:tcPr>
                <w:p>
                  <w:pPr>
                    <w:adjustRightInd w:val="0"/>
                    <w:snapToGrid w:val="0"/>
                    <w:jc w:val="center"/>
                    <w:rPr>
                      <w:rFonts w:ascii="Times New Roman" w:hAnsi="Times New Roman" w:eastAsia="宋体" w:cs="Times New Roman"/>
                      <w:b/>
                      <w:color w:val="auto"/>
                    </w:rPr>
                  </w:pPr>
                  <w:r>
                    <w:rPr>
                      <w:rFonts w:ascii="Times New Roman" w:hAnsi="Times New Roman" w:eastAsia="宋体" w:cs="Times New Roman"/>
                      <w:b/>
                      <w:color w:val="auto"/>
                    </w:rPr>
                    <w:t>相对厂界距离/m</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noWrap w:val="0"/>
                  <w:vAlign w:val="center"/>
                </w:tcPr>
                <w:p>
                  <w:pPr>
                    <w:adjustRightInd w:val="0"/>
                    <w:snapToGrid w:val="0"/>
                    <w:jc w:val="center"/>
                    <w:rPr>
                      <w:rFonts w:ascii="Times New Roman" w:hAnsi="Times New Roman" w:eastAsia="宋体" w:cs="Times New Roman"/>
                      <w:color w:val="auto"/>
                    </w:rPr>
                  </w:pPr>
                  <w:r>
                    <w:rPr>
                      <w:rFonts w:hint="default" w:ascii="Times New Roman" w:hAnsi="Times New Roman" w:eastAsia="宋体" w:cs="Times New Roman"/>
                      <w:color w:val="auto"/>
                      <w:kern w:val="0"/>
                      <w:sz w:val="21"/>
                      <w:szCs w:val="18"/>
                      <w:lang w:val="en-US" w:eastAsia="zh-CN" w:bidi="ar"/>
                    </w:rPr>
                    <w:t>丙令哨</w:t>
                  </w:r>
                </w:p>
              </w:tc>
              <w:tc>
                <w:tcPr>
                  <w:tcW w:w="614" w:type="pct"/>
                  <w:noWrap w:val="0"/>
                  <w:vAlign w:val="center"/>
                </w:tcPr>
                <w:p>
                  <w:pPr>
                    <w:adjustRightInd w:val="0"/>
                    <w:snapToGrid w:val="0"/>
                    <w:jc w:val="center"/>
                    <w:rPr>
                      <w:rFonts w:ascii="Times New Roman" w:hAnsi="Times New Roman" w:eastAsia="宋体" w:cs="Times New Roman"/>
                      <w:color w:val="auto"/>
                    </w:rPr>
                  </w:pPr>
                  <w:r>
                    <w:rPr>
                      <w:rFonts w:hint="eastAsia" w:ascii="Times New Roman" w:hAnsi="Times New Roman" w:eastAsia="宋体" w:cs="Times New Roman"/>
                      <w:color w:val="auto"/>
                    </w:rPr>
                    <w:t>居民点</w:t>
                  </w:r>
                </w:p>
              </w:tc>
              <w:tc>
                <w:tcPr>
                  <w:tcW w:w="863" w:type="pct"/>
                  <w:noWrap w:val="0"/>
                  <w:vAlign w:val="center"/>
                </w:tcPr>
                <w:p>
                  <w:pPr>
                    <w:adjustRightInd w:val="0"/>
                    <w:snapToGrid w:val="0"/>
                    <w:jc w:val="center"/>
                    <w:rPr>
                      <w:rFonts w:ascii="Times New Roman" w:hAnsi="Times New Roman" w:eastAsia="宋体" w:cs="Times New Roman"/>
                      <w:color w:val="auto"/>
                    </w:rPr>
                  </w:pPr>
                  <w:r>
                    <w:rPr>
                      <w:rFonts w:hint="eastAsia" w:ascii="Times New Roman" w:hAnsi="Times New Roman" w:eastAsia="宋体" w:cs="Times New Roman"/>
                      <w:color w:val="auto"/>
                      <w:kern w:val="0"/>
                      <w:sz w:val="18"/>
                      <w:szCs w:val="18"/>
                      <w:lang w:val="en-US" w:eastAsia="zh-CN" w:bidi="ar"/>
                    </w:rPr>
                    <w:t>约62</w:t>
                  </w:r>
                  <w:r>
                    <w:rPr>
                      <w:rFonts w:ascii="Times New Roman" w:hAnsi="Times New Roman" w:eastAsia="宋体" w:cs="Times New Roman"/>
                      <w:color w:val="auto"/>
                      <w:kern w:val="0"/>
                      <w:sz w:val="18"/>
                      <w:szCs w:val="18"/>
                      <w:lang w:bidi="ar"/>
                    </w:rPr>
                    <w:t>户</w:t>
                  </w:r>
                  <w:r>
                    <w:rPr>
                      <w:rFonts w:hint="eastAsia" w:ascii="Times New Roman" w:hAnsi="Times New Roman" w:eastAsia="宋体" w:cs="Times New Roman"/>
                      <w:color w:val="auto"/>
                      <w:kern w:val="0"/>
                      <w:sz w:val="18"/>
                      <w:szCs w:val="18"/>
                      <w:lang w:bidi="ar"/>
                    </w:rPr>
                    <w:t>，256人</w:t>
                  </w:r>
                </w:p>
              </w:tc>
              <w:tc>
                <w:tcPr>
                  <w:tcW w:w="1099" w:type="pct"/>
                  <w:vMerge w:val="restart"/>
                  <w:noWrap w:val="0"/>
                  <w:vAlign w:val="center"/>
                </w:tcPr>
                <w:p>
                  <w:pPr>
                    <w:adjustRightInd w:val="0"/>
                    <w:snapToGrid w:val="0"/>
                    <w:jc w:val="center"/>
                    <w:rPr>
                      <w:rFonts w:ascii="Times New Roman" w:hAnsi="Times New Roman" w:eastAsia="宋体" w:cs="Times New Roman"/>
                      <w:color w:val="auto"/>
                    </w:rPr>
                  </w:pPr>
                  <w:r>
                    <w:rPr>
                      <w:rFonts w:hint="eastAsia" w:ascii="Times New Roman" w:hAnsi="Times New Roman" w:eastAsia="宋体" w:cs="Times New Roman"/>
                      <w:color w:val="auto"/>
                    </w:rPr>
                    <w:t>《声环境质量标准》（GB9660-2008）2类</w:t>
                  </w:r>
                </w:p>
              </w:tc>
              <w:tc>
                <w:tcPr>
                  <w:tcW w:w="1188" w:type="pct"/>
                  <w:noWrap w:val="0"/>
                  <w:vAlign w:val="center"/>
                </w:tcPr>
                <w:p>
                  <w:pPr>
                    <w:adjustRightInd w:val="0"/>
                    <w:snapToGrid w:val="0"/>
                    <w:jc w:val="center"/>
                    <w:rPr>
                      <w:rFonts w:ascii="Times New Roman" w:hAnsi="Times New Roman" w:eastAsia="宋体" w:cs="Times New Roman"/>
                      <w:color w:val="auto"/>
                    </w:rPr>
                  </w:pPr>
                  <w:r>
                    <w:rPr>
                      <w:rFonts w:hint="eastAsia" w:cs="Times New Roman"/>
                      <w:color w:val="auto"/>
                      <w:kern w:val="0"/>
                      <w:sz w:val="18"/>
                      <w:szCs w:val="18"/>
                      <w:lang w:val="en-US" w:eastAsia="zh-CN" w:bidi="ar"/>
                    </w:rPr>
                    <w:t>沙沟</w:t>
                  </w:r>
                  <w:r>
                    <w:rPr>
                      <w:rFonts w:hint="eastAsia" w:ascii="Times New Roman" w:hAnsi="Times New Roman" w:eastAsia="宋体" w:cs="Times New Roman"/>
                      <w:color w:val="auto"/>
                      <w:kern w:val="0"/>
                      <w:sz w:val="18"/>
                      <w:szCs w:val="18"/>
                      <w:lang w:bidi="ar"/>
                    </w:rPr>
                    <w:t>片区</w:t>
                  </w:r>
                  <w:r>
                    <w:rPr>
                      <w:rFonts w:hint="eastAsia" w:cs="Times New Roman"/>
                      <w:color w:val="auto"/>
                      <w:kern w:val="0"/>
                      <w:sz w:val="18"/>
                      <w:szCs w:val="18"/>
                      <w:lang w:val="en-US" w:eastAsia="zh-CN" w:bidi="ar"/>
                    </w:rPr>
                    <w:t>光伏方阵</w:t>
                  </w:r>
                  <w:r>
                    <w:rPr>
                      <w:rFonts w:hint="eastAsia" w:ascii="Times New Roman" w:hAnsi="Times New Roman" w:eastAsia="宋体" w:cs="Times New Roman"/>
                      <w:color w:val="auto"/>
                      <w:kern w:val="0"/>
                      <w:sz w:val="18"/>
                      <w:szCs w:val="18"/>
                      <w:lang w:bidi="ar"/>
                    </w:rPr>
                    <w:t>东侧</w:t>
                  </w:r>
                </w:p>
              </w:tc>
              <w:tc>
                <w:tcPr>
                  <w:tcW w:w="613" w:type="pct"/>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kern w:val="0"/>
                      <w:lang w:val="en-US" w:eastAsia="zh-CN"/>
                    </w:rPr>
                    <w:t>114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noWrap w:val="0"/>
                  <w:vAlign w:val="center"/>
                </w:tcPr>
                <w:p>
                  <w:pPr>
                    <w:widowControl/>
                    <w:jc w:val="center"/>
                    <w:textAlignment w:val="center"/>
                    <w:rPr>
                      <w:rFonts w:hint="default" w:ascii="宋体" w:hAnsi="宋体" w:cs="宋体"/>
                      <w:bCs/>
                      <w:color w:val="auto"/>
                      <w:kern w:val="0"/>
                      <w:szCs w:val="21"/>
                      <w:lang w:val="en-US" w:eastAsia="zh-CN"/>
                    </w:rPr>
                  </w:pPr>
                  <w:r>
                    <w:rPr>
                      <w:rFonts w:hint="eastAsia" w:ascii="Times New Roman" w:hAnsi="Times New Roman" w:eastAsia="宋体" w:cs="Times New Roman"/>
                      <w:color w:val="auto"/>
                      <w:kern w:val="0"/>
                      <w:sz w:val="21"/>
                      <w:szCs w:val="18"/>
                      <w:lang w:val="en-US" w:eastAsia="zh-CN" w:bidi="ar"/>
                    </w:rPr>
                    <w:t>路古么村</w:t>
                  </w:r>
                </w:p>
              </w:tc>
              <w:tc>
                <w:tcPr>
                  <w:tcW w:w="1027" w:type="dxa"/>
                  <w:noWrap w:val="0"/>
                  <w:vAlign w:val="center"/>
                </w:tcPr>
                <w:p>
                  <w:pPr>
                    <w:widowControl/>
                    <w:adjustRightInd w:val="0"/>
                    <w:snapToGrid w:val="0"/>
                    <w:jc w:val="center"/>
                    <w:rPr>
                      <w:rFonts w:hint="eastAsia" w:cs="Times New Roman"/>
                      <w:color w:val="auto"/>
                      <w:lang w:val="en-US" w:eastAsia="zh-CN"/>
                    </w:rPr>
                  </w:pPr>
                  <w:r>
                    <w:rPr>
                      <w:rFonts w:hint="eastAsia" w:ascii="Times New Roman" w:hAnsi="Times New Roman" w:eastAsia="宋体" w:cs="Times New Roman"/>
                      <w:color w:val="auto"/>
                      <w:kern w:val="0"/>
                      <w:lang w:val="en-US" w:eastAsia="zh-CN"/>
                    </w:rPr>
                    <w:t>居民</w:t>
                  </w:r>
                </w:p>
              </w:tc>
              <w:tc>
                <w:tcPr>
                  <w:tcW w:w="1444" w:type="dxa"/>
                  <w:noWrap w:val="0"/>
                  <w:vAlign w:val="center"/>
                </w:tcPr>
                <w:p>
                  <w:pPr>
                    <w:widowControl/>
                    <w:jc w:val="center"/>
                    <w:textAlignment w:val="center"/>
                    <w:rPr>
                      <w:rFonts w:hint="eastAsia"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约41户，144人</w:t>
                  </w:r>
                </w:p>
              </w:tc>
              <w:tc>
                <w:tcPr>
                  <w:tcW w:w="1099" w:type="pct"/>
                  <w:vMerge w:val="continue"/>
                  <w:noWrap w:val="0"/>
                  <w:vAlign w:val="center"/>
                </w:tcPr>
                <w:p>
                  <w:pPr>
                    <w:adjustRightInd w:val="0"/>
                    <w:snapToGrid w:val="0"/>
                    <w:jc w:val="center"/>
                    <w:rPr>
                      <w:rFonts w:hint="eastAsia" w:ascii="Times New Roman" w:hAnsi="Times New Roman" w:eastAsia="宋体" w:cs="Times New Roman"/>
                      <w:color w:val="auto"/>
                    </w:rPr>
                  </w:pPr>
                </w:p>
              </w:tc>
              <w:tc>
                <w:tcPr>
                  <w:tcW w:w="1987" w:type="dxa"/>
                  <w:noWrap w:val="0"/>
                  <w:vAlign w:val="center"/>
                </w:tcPr>
                <w:p>
                  <w:pPr>
                    <w:widowControl/>
                    <w:jc w:val="center"/>
                    <w:textAlignment w:val="center"/>
                    <w:rPr>
                      <w:rFonts w:hint="eastAsia"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沙沟片区13#方阵南侧</w:t>
                  </w:r>
                </w:p>
              </w:tc>
              <w:tc>
                <w:tcPr>
                  <w:tcW w:w="1026" w:type="dxa"/>
                  <w:noWrap w:val="0"/>
                  <w:vAlign w:val="center"/>
                </w:tcPr>
                <w:p>
                  <w:pPr>
                    <w:widowControl/>
                    <w:jc w:val="center"/>
                    <w:textAlignment w:val="center"/>
                    <w:rPr>
                      <w:rFonts w:hint="eastAsia" w:cs="Times New Roman"/>
                      <w:color w:val="auto"/>
                      <w:kern w:val="0"/>
                      <w:lang w:val="en-US" w:eastAsia="zh-CN"/>
                    </w:rPr>
                  </w:pPr>
                  <w:r>
                    <w:rPr>
                      <w:rFonts w:hint="eastAsia" w:ascii="Times New Roman" w:hAnsi="Times New Roman" w:eastAsia="宋体" w:cs="Times New Roman"/>
                      <w:color w:val="auto"/>
                      <w:kern w:val="0"/>
                      <w:sz w:val="18"/>
                      <w:szCs w:val="18"/>
                      <w:lang w:val="en-US" w:eastAsia="zh-CN" w:bidi="ar"/>
                    </w:rPr>
                    <w:t>30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noWrap w:val="0"/>
                  <w:vAlign w:val="center"/>
                </w:tcPr>
                <w:p>
                  <w:pPr>
                    <w:adjustRightInd w:val="0"/>
                    <w:snapToGrid w:val="0"/>
                    <w:jc w:val="center"/>
                    <w:rPr>
                      <w:rFonts w:hint="default" w:ascii="宋体" w:hAnsi="宋体" w:eastAsia="宋体" w:cs="宋体"/>
                      <w:bCs/>
                      <w:color w:val="auto"/>
                      <w:kern w:val="0"/>
                      <w:szCs w:val="21"/>
                      <w:lang w:val="en-US" w:eastAsia="zh-CN"/>
                    </w:rPr>
                  </w:pPr>
                  <w:r>
                    <w:rPr>
                      <w:rFonts w:hint="eastAsia" w:ascii="宋体" w:hAnsi="宋体" w:cs="宋体"/>
                      <w:bCs/>
                      <w:color w:val="auto"/>
                      <w:kern w:val="0"/>
                      <w:szCs w:val="21"/>
                      <w:lang w:val="en-US" w:eastAsia="zh-CN"/>
                    </w:rPr>
                    <w:t>山后村</w:t>
                  </w:r>
                </w:p>
              </w:tc>
              <w:tc>
                <w:tcPr>
                  <w:tcW w:w="614" w:type="pct"/>
                  <w:noWrap w:val="0"/>
                  <w:vAlign w:val="center"/>
                </w:tcPr>
                <w:p>
                  <w:pPr>
                    <w:adjustRightInd w:val="0"/>
                    <w:snapToGrid w:val="0"/>
                    <w:jc w:val="center"/>
                    <w:rPr>
                      <w:rFonts w:hint="eastAsia" w:ascii="Times New Roman" w:hAnsi="Times New Roman" w:eastAsia="宋体" w:cs="Times New Roman"/>
                      <w:color w:val="auto"/>
                      <w:lang w:val="en-US" w:eastAsia="zh-CN"/>
                    </w:rPr>
                  </w:pPr>
                  <w:r>
                    <w:rPr>
                      <w:rFonts w:hint="eastAsia" w:cs="Times New Roman"/>
                      <w:color w:val="auto"/>
                      <w:lang w:val="en-US" w:eastAsia="zh-CN"/>
                    </w:rPr>
                    <w:t>居民点</w:t>
                  </w:r>
                </w:p>
              </w:tc>
              <w:tc>
                <w:tcPr>
                  <w:tcW w:w="863" w:type="pct"/>
                  <w:noWrap w:val="0"/>
                  <w:vAlign w:val="center"/>
                </w:tcPr>
                <w:p>
                  <w:pPr>
                    <w:adjustRightInd w:val="0"/>
                    <w:snapToGrid w:val="0"/>
                    <w:jc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约128户548</w:t>
                  </w:r>
                </w:p>
              </w:tc>
              <w:tc>
                <w:tcPr>
                  <w:tcW w:w="1099" w:type="pct"/>
                  <w:vMerge w:val="continue"/>
                  <w:noWrap w:val="0"/>
                  <w:vAlign w:val="center"/>
                </w:tcPr>
                <w:p>
                  <w:pPr>
                    <w:adjustRightInd w:val="0"/>
                    <w:snapToGrid w:val="0"/>
                    <w:jc w:val="center"/>
                    <w:rPr>
                      <w:rFonts w:hint="eastAsia" w:ascii="Times New Roman" w:hAnsi="Times New Roman" w:eastAsia="宋体" w:cs="Times New Roman"/>
                      <w:color w:val="auto"/>
                    </w:rPr>
                  </w:pPr>
                </w:p>
              </w:tc>
              <w:tc>
                <w:tcPr>
                  <w:tcW w:w="1188" w:type="pct"/>
                  <w:noWrap w:val="0"/>
                  <w:vAlign w:val="center"/>
                </w:tcPr>
                <w:p>
                  <w:pPr>
                    <w:adjustRightInd w:val="0"/>
                    <w:snapToGrid w:val="0"/>
                    <w:jc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松树湾片区集电线路东侧</w:t>
                  </w:r>
                </w:p>
              </w:tc>
              <w:tc>
                <w:tcPr>
                  <w:tcW w:w="613" w:type="pct"/>
                  <w:noWrap w:val="0"/>
                  <w:vAlign w:val="center"/>
                </w:tcPr>
                <w:p>
                  <w:pPr>
                    <w:adjustRightInd w:val="0"/>
                    <w:snapToGrid w:val="0"/>
                    <w:jc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148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noWrap w:val="0"/>
                  <w:vAlign w:val="center"/>
                </w:tcPr>
                <w:p>
                  <w:pPr>
                    <w:adjustRightInd w:val="0"/>
                    <w:snapToGrid w:val="0"/>
                    <w:jc w:val="center"/>
                    <w:rPr>
                      <w:rFonts w:hint="default" w:ascii="宋体" w:hAnsi="宋体" w:eastAsia="宋体" w:cs="宋体"/>
                      <w:bCs/>
                      <w:color w:val="auto"/>
                      <w:kern w:val="0"/>
                      <w:szCs w:val="21"/>
                      <w:lang w:val="en-US" w:eastAsia="zh-CN"/>
                    </w:rPr>
                  </w:pPr>
                  <w:r>
                    <w:rPr>
                      <w:rFonts w:hint="eastAsia" w:ascii="宋体" w:hAnsi="宋体" w:cs="宋体"/>
                      <w:bCs/>
                      <w:color w:val="auto"/>
                      <w:kern w:val="0"/>
                      <w:szCs w:val="21"/>
                      <w:lang w:val="en-US" w:eastAsia="zh-CN"/>
                    </w:rPr>
                    <w:t>小月旧村</w:t>
                  </w:r>
                </w:p>
              </w:tc>
              <w:tc>
                <w:tcPr>
                  <w:tcW w:w="614" w:type="pct"/>
                  <w:noWrap w:val="0"/>
                  <w:vAlign w:val="center"/>
                </w:tcPr>
                <w:p>
                  <w:pPr>
                    <w:adjustRightInd w:val="0"/>
                    <w:snapToGrid w:val="0"/>
                    <w:jc w:val="center"/>
                    <w:rPr>
                      <w:rFonts w:hint="eastAsia" w:ascii="Times New Roman" w:hAnsi="Times New Roman" w:eastAsia="宋体" w:cs="Times New Roman"/>
                      <w:color w:val="auto"/>
                      <w:lang w:val="en-US" w:eastAsia="zh-CN"/>
                    </w:rPr>
                  </w:pPr>
                  <w:r>
                    <w:rPr>
                      <w:rFonts w:hint="eastAsia" w:cs="Times New Roman"/>
                      <w:color w:val="auto"/>
                      <w:lang w:val="en-US" w:eastAsia="zh-CN"/>
                    </w:rPr>
                    <w:t>居民点</w:t>
                  </w:r>
                </w:p>
              </w:tc>
              <w:tc>
                <w:tcPr>
                  <w:tcW w:w="863" w:type="pct"/>
                  <w:noWrap w:val="0"/>
                  <w:vAlign w:val="center"/>
                </w:tcPr>
                <w:p>
                  <w:pPr>
                    <w:adjustRightInd w:val="0"/>
                    <w:snapToGrid w:val="0"/>
                    <w:jc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约43户，172人</w:t>
                  </w:r>
                </w:p>
              </w:tc>
              <w:tc>
                <w:tcPr>
                  <w:tcW w:w="1099" w:type="pct"/>
                  <w:vMerge w:val="continue"/>
                  <w:noWrap w:val="0"/>
                  <w:vAlign w:val="center"/>
                </w:tcPr>
                <w:p>
                  <w:pPr>
                    <w:adjustRightInd w:val="0"/>
                    <w:snapToGrid w:val="0"/>
                    <w:jc w:val="center"/>
                    <w:rPr>
                      <w:rFonts w:hint="eastAsia" w:ascii="Times New Roman" w:hAnsi="Times New Roman" w:eastAsia="宋体" w:cs="Times New Roman"/>
                      <w:color w:val="auto"/>
                    </w:rPr>
                  </w:pPr>
                </w:p>
              </w:tc>
              <w:tc>
                <w:tcPr>
                  <w:tcW w:w="1188" w:type="pct"/>
                  <w:noWrap w:val="0"/>
                  <w:vAlign w:val="center"/>
                </w:tcPr>
                <w:p>
                  <w:pPr>
                    <w:adjustRightInd w:val="0"/>
                    <w:snapToGrid w:val="0"/>
                    <w:jc w:val="center"/>
                    <w:rPr>
                      <w:rFonts w:hint="eastAsia" w:ascii="Times New Roman" w:hAnsi="Times New Roman" w:eastAsia="宋体" w:cs="Times New Roman"/>
                      <w:color w:val="auto"/>
                      <w:kern w:val="0"/>
                      <w:sz w:val="18"/>
                      <w:szCs w:val="18"/>
                      <w:lang w:bidi="ar"/>
                    </w:rPr>
                  </w:pPr>
                  <w:r>
                    <w:rPr>
                      <w:rFonts w:hint="eastAsia" w:cs="Times New Roman"/>
                      <w:color w:val="auto"/>
                      <w:kern w:val="0"/>
                      <w:sz w:val="18"/>
                      <w:szCs w:val="18"/>
                      <w:lang w:val="en-US" w:eastAsia="zh-CN" w:bidi="ar"/>
                    </w:rPr>
                    <w:t>松树湾片区集电线路南侧</w:t>
                  </w:r>
                </w:p>
              </w:tc>
              <w:tc>
                <w:tcPr>
                  <w:tcW w:w="613" w:type="pct"/>
                  <w:noWrap w:val="0"/>
                  <w:vAlign w:val="center"/>
                </w:tcPr>
                <w:p>
                  <w:pPr>
                    <w:adjustRightInd w:val="0"/>
                    <w:snapToGrid w:val="0"/>
                    <w:jc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174</w:t>
                  </w:r>
                </w:p>
              </w:tc>
            </w:tr>
          </w:tbl>
          <w:p>
            <w:pPr>
              <w:rPr>
                <w:rFonts w:hint="default"/>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noWrap w:val="0"/>
            <w:vAlign w:val="center"/>
          </w:tcPr>
          <w:p>
            <w:pPr>
              <w:ind w:left="0" w:leftChars="0" w:right="0" w:rightChars="0" w:firstLine="0" w:firstLineChars="0"/>
              <w:jc w:val="center"/>
              <w:rPr>
                <w:rFonts w:hint="default" w:ascii="Times New Roman" w:hAnsi="Times New Roman" w:eastAsia="宋体"/>
                <w:color w:val="auto"/>
                <w:sz w:val="24"/>
                <w:lang w:val="en-US" w:eastAsia="zh-CN"/>
              </w:rPr>
            </w:pPr>
            <w:r>
              <w:rPr>
                <w:rFonts w:hint="default" w:ascii="Times New Roman" w:hAnsi="Times New Roman" w:eastAsia="宋体"/>
                <w:color w:val="auto"/>
                <w:sz w:val="24"/>
                <w:lang w:val="en-US" w:eastAsia="zh-CN"/>
              </w:rPr>
              <w:t>评价</w:t>
            </w:r>
          </w:p>
          <w:p>
            <w:pPr>
              <w:ind w:left="0" w:leftChars="0" w:right="0" w:rightChars="0" w:firstLine="0" w:firstLineChars="0"/>
              <w:jc w:val="center"/>
              <w:rPr>
                <w:rFonts w:hint="default" w:ascii="Times New Roman" w:hAnsi="Times New Roman" w:eastAsia="宋体"/>
                <w:color w:val="auto"/>
                <w:sz w:val="24"/>
                <w:lang w:val="en-US" w:eastAsia="zh-CN"/>
              </w:rPr>
            </w:pPr>
            <w:r>
              <w:rPr>
                <w:rFonts w:hint="default" w:ascii="Times New Roman" w:hAnsi="Times New Roman" w:eastAsia="宋体"/>
                <w:color w:val="auto"/>
                <w:sz w:val="24"/>
                <w:lang w:val="en-US" w:eastAsia="zh-CN"/>
              </w:rPr>
              <w:t>标准</w:t>
            </w:r>
          </w:p>
        </w:tc>
        <w:tc>
          <w:tcPr>
            <w:tcW w:w="4750" w:type="pct"/>
            <w:noWrap w:val="0"/>
            <w:vAlign w:val="center"/>
          </w:tcPr>
          <w:p>
            <w:pPr>
              <w:pageBreakBefore w:val="0"/>
              <w:kinsoku/>
              <w:wordWrap/>
              <w:topLinePunct w:val="0"/>
              <w:bidi w:val="0"/>
              <w:adjustRightInd/>
              <w:snapToGrid/>
              <w:spacing w:line="360" w:lineRule="auto"/>
              <w:ind w:left="0" w:right="0" w:hanging="1431" w:hangingChars="594"/>
              <w:contextualSpacing/>
              <w:textAlignment w:val="auto"/>
              <w:rPr>
                <w:rFonts w:hint="default" w:ascii="Times New Roman" w:hAnsi="Times New Roman" w:eastAsia="宋体" w:cs="Times New Roman"/>
                <w:b/>
                <w:color w:val="auto"/>
                <w:sz w:val="24"/>
                <w:szCs w:val="24"/>
                <w:lang w:val="en-US" w:eastAsia="zh-CN"/>
              </w:rPr>
            </w:pPr>
            <w:r>
              <w:rPr>
                <w:rFonts w:hint="eastAsia" w:cs="Times New Roman"/>
                <w:b/>
                <w:color w:val="auto"/>
                <w:sz w:val="24"/>
                <w:szCs w:val="24"/>
                <w:lang w:val="en-US" w:eastAsia="zh-CN"/>
              </w:rPr>
              <w:t>3.15</w:t>
            </w:r>
            <w:r>
              <w:rPr>
                <w:rFonts w:hint="default" w:ascii="Times New Roman" w:hAnsi="Times New Roman" w:eastAsia="宋体" w:cs="Times New Roman"/>
                <w:b/>
                <w:color w:val="auto"/>
                <w:sz w:val="24"/>
                <w:szCs w:val="24"/>
                <w:lang w:val="en-US" w:eastAsia="zh-CN"/>
              </w:rPr>
              <w:t>环境质量标准：</w:t>
            </w:r>
          </w:p>
          <w:p>
            <w:pPr>
              <w:pageBreakBefore w:val="0"/>
              <w:kinsoku/>
              <w:wordWrap/>
              <w:topLinePunct w:val="0"/>
              <w:bidi w:val="0"/>
              <w:adjustRightInd/>
              <w:snapToGrid/>
              <w:spacing w:line="360" w:lineRule="auto"/>
              <w:ind w:left="0" w:right="0" w:hanging="1431" w:hangingChars="594"/>
              <w:contextualSpacing/>
              <w:textAlignment w:val="auto"/>
              <w:rPr>
                <w:rFonts w:hint="default" w:ascii="Times New Roman" w:hAnsi="Times New Roman" w:eastAsia="宋体" w:cs="Times New Roman"/>
                <w:b/>
                <w:color w:val="auto"/>
                <w:sz w:val="24"/>
                <w:szCs w:val="24"/>
              </w:rPr>
            </w:pPr>
            <w:r>
              <w:rPr>
                <w:rFonts w:hint="eastAsia" w:cs="Times New Roman"/>
                <w:b/>
                <w:color w:val="auto"/>
                <w:sz w:val="24"/>
                <w:szCs w:val="24"/>
                <w:lang w:val="en-US" w:eastAsia="zh-CN"/>
              </w:rPr>
              <w:t>3.15.</w:t>
            </w:r>
            <w:r>
              <w:rPr>
                <w:rFonts w:hint="default" w:ascii="Times New Roman" w:hAnsi="Times New Roman" w:eastAsia="宋体" w:cs="Times New Roman"/>
                <w:b/>
                <w:color w:val="auto"/>
                <w:sz w:val="24"/>
                <w:szCs w:val="24"/>
                <w:lang w:val="en-US" w:eastAsia="zh-CN"/>
              </w:rPr>
              <w:t>1</w:t>
            </w:r>
            <w:r>
              <w:rPr>
                <w:rFonts w:hint="default" w:ascii="Times New Roman" w:hAnsi="Times New Roman" w:eastAsia="宋体" w:cs="Times New Roman"/>
                <w:b/>
                <w:color w:val="auto"/>
                <w:sz w:val="24"/>
                <w:szCs w:val="24"/>
              </w:rPr>
              <w:t>大气环境</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项目位</w:t>
            </w:r>
            <w:r>
              <w:rPr>
                <w:rFonts w:hint="eastAsia" w:ascii="Times New Roman" w:hAnsi="Times New Roman" w:cs="Times New Roman"/>
                <w:color w:val="auto"/>
                <w:kern w:val="2"/>
                <w:sz w:val="24"/>
                <w:szCs w:val="24"/>
                <w:lang w:val="en-US" w:eastAsia="zh-CN" w:bidi="ar-SA"/>
              </w:rPr>
              <w:t>元谋县物茂乡</w:t>
            </w:r>
            <w:r>
              <w:rPr>
                <w:rFonts w:hint="default" w:ascii="Times New Roman" w:hAnsi="Times New Roman" w:eastAsia="宋体" w:cs="Times New Roman"/>
                <w:color w:val="auto"/>
                <w:kern w:val="2"/>
                <w:sz w:val="24"/>
                <w:szCs w:val="24"/>
                <w:lang w:val="en-US" w:eastAsia="zh-CN" w:bidi="ar-SA"/>
              </w:rPr>
              <w:t>，环境空气质量执行《环境空气质量标准》（GB3095-2012）及修改单中二类区二级标准。标准值见表3-1</w:t>
            </w:r>
            <w:r>
              <w:rPr>
                <w:rFonts w:hint="eastAsia" w:ascii="Times New Roman" w:hAnsi="Times New Roman" w:eastAsia="宋体"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b/>
                <w:color w:val="auto"/>
                <w:szCs w:val="24"/>
                <w:lang w:val="zh-CN" w:eastAsia="zh-CN"/>
              </w:rPr>
            </w:pPr>
            <w:r>
              <w:rPr>
                <w:rFonts w:hint="default" w:ascii="Times New Roman" w:hAnsi="Times New Roman" w:eastAsia="宋体" w:cs="Times New Roman"/>
                <w:b/>
                <w:color w:val="auto"/>
                <w:szCs w:val="24"/>
                <w:lang w:val="zh-CN" w:eastAsia="zh-CN"/>
              </w:rPr>
              <w:t xml:space="preserve"> 表</w:t>
            </w:r>
            <w:r>
              <w:rPr>
                <w:rFonts w:hint="default" w:ascii="Times New Roman" w:hAnsi="Times New Roman" w:eastAsia="宋体" w:cs="Times New Roman"/>
                <w:b/>
                <w:color w:val="auto"/>
                <w:szCs w:val="24"/>
                <w:lang w:val="en-US" w:eastAsia="zh-CN"/>
              </w:rPr>
              <w:t>3-</w:t>
            </w:r>
            <w:r>
              <w:rPr>
                <w:rFonts w:hint="eastAsia" w:ascii="Times New Roman" w:hAnsi="Times New Roman" w:eastAsia="宋体" w:cs="Times New Roman"/>
                <w:b/>
                <w:color w:val="auto"/>
                <w:szCs w:val="24"/>
                <w:lang w:val="en-US" w:eastAsia="zh-CN"/>
              </w:rPr>
              <w:t>11</w:t>
            </w:r>
            <w:r>
              <w:rPr>
                <w:rFonts w:hint="default" w:ascii="Times New Roman" w:hAnsi="Times New Roman" w:eastAsia="宋体" w:cs="Times New Roman"/>
                <w:b/>
                <w:color w:val="auto"/>
                <w:szCs w:val="24"/>
                <w:lang w:val="zh-CN" w:eastAsia="zh-CN"/>
              </w:rPr>
              <w:t xml:space="preserve">  环境空气质量标准限值    单位：μg/m</w:t>
            </w:r>
            <w:r>
              <w:rPr>
                <w:rFonts w:hint="default" w:ascii="Times New Roman" w:hAnsi="Times New Roman" w:eastAsia="宋体" w:cs="Times New Roman"/>
                <w:b/>
                <w:color w:val="auto"/>
                <w:szCs w:val="24"/>
                <w:vertAlign w:val="superscript"/>
                <w:lang w:val="zh-CN" w:eastAsia="zh-CN"/>
              </w:rPr>
              <w:t>3</w:t>
            </w:r>
          </w:p>
          <w:tbl>
            <w:tblPr>
              <w:tblStyle w:val="18"/>
              <w:tblW w:w="4998" w:type="pct"/>
              <w:tblInd w:w="-1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8"/>
              <w:gridCol w:w="2226"/>
              <w:gridCol w:w="2534"/>
              <w:gridCol w:w="199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956"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污染物项目</w:t>
                  </w:r>
                </w:p>
              </w:tc>
              <w:tc>
                <w:tcPr>
                  <w:tcW w:w="1332"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取值时间</w:t>
                  </w:r>
                </w:p>
              </w:tc>
              <w:tc>
                <w:tcPr>
                  <w:tcW w:w="1516"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浓度限值</w:t>
                  </w:r>
                </w:p>
              </w:tc>
              <w:tc>
                <w:tcPr>
                  <w:tcW w:w="1194"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标准来源</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6" w:type="pct"/>
                  <w:vMerge w:val="restar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TSP</w:t>
                  </w:r>
                </w:p>
              </w:tc>
              <w:tc>
                <w:tcPr>
                  <w:tcW w:w="1332"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年平均</w:t>
                  </w:r>
                </w:p>
              </w:tc>
              <w:tc>
                <w:tcPr>
                  <w:tcW w:w="1516"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200</w:t>
                  </w:r>
                </w:p>
              </w:tc>
              <w:tc>
                <w:tcPr>
                  <w:tcW w:w="1194" w:type="pct"/>
                  <w:vMerge w:val="restar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《环境空气质量标准》（GB3098-2012）二级标准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6" w:type="pct"/>
                  <w:vMerge w:val="continue"/>
                  <w:tcBorders>
                    <w:tl2br w:val="nil"/>
                    <w:tr2bl w:val="nil"/>
                  </w:tcBorders>
                  <w:noWrap w:val="0"/>
                  <w:vAlign w:val="center"/>
                </w:tcPr>
                <w:p>
                  <w:pPr>
                    <w:pageBreakBefore w:val="0"/>
                    <w:widowControl/>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1332"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24小时平均</w:t>
                  </w:r>
                </w:p>
              </w:tc>
              <w:tc>
                <w:tcPr>
                  <w:tcW w:w="1516"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300</w:t>
                  </w:r>
                </w:p>
              </w:tc>
              <w:tc>
                <w:tcPr>
                  <w:tcW w:w="1194" w:type="pct"/>
                  <w:vMerge w:val="continue"/>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6" w:type="pct"/>
                  <w:vMerge w:val="restar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1332"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年平均</w:t>
                  </w:r>
                </w:p>
              </w:tc>
              <w:tc>
                <w:tcPr>
                  <w:tcW w:w="1516"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60</w:t>
                  </w:r>
                </w:p>
              </w:tc>
              <w:tc>
                <w:tcPr>
                  <w:tcW w:w="1194" w:type="pct"/>
                  <w:vMerge w:val="continue"/>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956" w:type="pct"/>
                  <w:vMerge w:val="continue"/>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1332"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24小时平均</w:t>
                  </w:r>
                </w:p>
              </w:tc>
              <w:tc>
                <w:tcPr>
                  <w:tcW w:w="1516"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150</w:t>
                  </w:r>
                </w:p>
              </w:tc>
              <w:tc>
                <w:tcPr>
                  <w:tcW w:w="1194" w:type="pct"/>
                  <w:vMerge w:val="continue"/>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956" w:type="pct"/>
                  <w:vMerge w:val="continue"/>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1332"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1小时平均</w:t>
                  </w:r>
                </w:p>
              </w:tc>
              <w:tc>
                <w:tcPr>
                  <w:tcW w:w="1516"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500</w:t>
                  </w:r>
                </w:p>
              </w:tc>
              <w:tc>
                <w:tcPr>
                  <w:tcW w:w="1194" w:type="pct"/>
                  <w:vMerge w:val="continue"/>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956" w:type="pct"/>
                  <w:vMerge w:val="restar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2</w:t>
                  </w:r>
                </w:p>
              </w:tc>
              <w:tc>
                <w:tcPr>
                  <w:tcW w:w="1332"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年平均</w:t>
                  </w:r>
                </w:p>
              </w:tc>
              <w:tc>
                <w:tcPr>
                  <w:tcW w:w="1516"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40</w:t>
                  </w:r>
                </w:p>
              </w:tc>
              <w:tc>
                <w:tcPr>
                  <w:tcW w:w="1194" w:type="pct"/>
                  <w:vMerge w:val="continue"/>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956" w:type="pct"/>
                  <w:vMerge w:val="continue"/>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1332"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24小时平均</w:t>
                  </w:r>
                </w:p>
              </w:tc>
              <w:tc>
                <w:tcPr>
                  <w:tcW w:w="1516"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80</w:t>
                  </w:r>
                </w:p>
              </w:tc>
              <w:tc>
                <w:tcPr>
                  <w:tcW w:w="1194" w:type="pct"/>
                  <w:vMerge w:val="continue"/>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956" w:type="pct"/>
                  <w:vMerge w:val="continue"/>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1332"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1小时平均</w:t>
                  </w:r>
                </w:p>
              </w:tc>
              <w:tc>
                <w:tcPr>
                  <w:tcW w:w="1516"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200</w:t>
                  </w:r>
                </w:p>
              </w:tc>
              <w:tc>
                <w:tcPr>
                  <w:tcW w:w="1194" w:type="pct"/>
                  <w:vMerge w:val="continue"/>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956" w:type="pct"/>
                  <w:vMerge w:val="restar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CO</w:t>
                  </w:r>
                </w:p>
              </w:tc>
              <w:tc>
                <w:tcPr>
                  <w:tcW w:w="1332"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24小时平均</w:t>
                  </w:r>
                </w:p>
              </w:tc>
              <w:tc>
                <w:tcPr>
                  <w:tcW w:w="1516"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4000</w:t>
                  </w:r>
                </w:p>
              </w:tc>
              <w:tc>
                <w:tcPr>
                  <w:tcW w:w="1194" w:type="pct"/>
                  <w:vMerge w:val="continue"/>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956" w:type="pct"/>
                  <w:vMerge w:val="continue"/>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1332"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小时平均</w:t>
                  </w:r>
                </w:p>
              </w:tc>
              <w:tc>
                <w:tcPr>
                  <w:tcW w:w="1516"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10000</w:t>
                  </w:r>
                </w:p>
              </w:tc>
              <w:tc>
                <w:tcPr>
                  <w:tcW w:w="1194" w:type="pct"/>
                  <w:vMerge w:val="continue"/>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956" w:type="pct"/>
                  <w:vMerge w:val="restar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p>
              </w:tc>
              <w:tc>
                <w:tcPr>
                  <w:tcW w:w="1332"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日最大8小时平均</w:t>
                  </w:r>
                </w:p>
              </w:tc>
              <w:tc>
                <w:tcPr>
                  <w:tcW w:w="1516"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160</w:t>
                  </w:r>
                </w:p>
              </w:tc>
              <w:tc>
                <w:tcPr>
                  <w:tcW w:w="1194" w:type="pct"/>
                  <w:vMerge w:val="continue"/>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956" w:type="pct"/>
                  <w:vMerge w:val="continue"/>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1332"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1小时平均</w:t>
                  </w:r>
                </w:p>
              </w:tc>
              <w:tc>
                <w:tcPr>
                  <w:tcW w:w="1516"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200</w:t>
                  </w:r>
                </w:p>
              </w:tc>
              <w:tc>
                <w:tcPr>
                  <w:tcW w:w="1194" w:type="pct"/>
                  <w:vMerge w:val="continue"/>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956" w:type="pct"/>
                  <w:vMerge w:val="restar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p>
              </w:tc>
              <w:tc>
                <w:tcPr>
                  <w:tcW w:w="1332"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年平均</w:t>
                  </w:r>
                </w:p>
              </w:tc>
              <w:tc>
                <w:tcPr>
                  <w:tcW w:w="1516"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70</w:t>
                  </w:r>
                </w:p>
              </w:tc>
              <w:tc>
                <w:tcPr>
                  <w:tcW w:w="1194" w:type="pct"/>
                  <w:vMerge w:val="continue"/>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956" w:type="pct"/>
                  <w:vMerge w:val="continue"/>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1332"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24小时平均</w:t>
                  </w:r>
                </w:p>
              </w:tc>
              <w:tc>
                <w:tcPr>
                  <w:tcW w:w="1516"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150</w:t>
                  </w:r>
                </w:p>
              </w:tc>
              <w:tc>
                <w:tcPr>
                  <w:tcW w:w="1194" w:type="pct"/>
                  <w:vMerge w:val="continue"/>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956" w:type="pct"/>
                  <w:vMerge w:val="restar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2.5</w:t>
                  </w:r>
                </w:p>
              </w:tc>
              <w:tc>
                <w:tcPr>
                  <w:tcW w:w="1332"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年平均</w:t>
                  </w:r>
                </w:p>
              </w:tc>
              <w:tc>
                <w:tcPr>
                  <w:tcW w:w="1516"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35</w:t>
                  </w:r>
                </w:p>
              </w:tc>
              <w:tc>
                <w:tcPr>
                  <w:tcW w:w="1194" w:type="pct"/>
                  <w:vMerge w:val="continue"/>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956" w:type="pct"/>
                  <w:vMerge w:val="continue"/>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1332"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24小时平均</w:t>
                  </w:r>
                </w:p>
              </w:tc>
              <w:tc>
                <w:tcPr>
                  <w:tcW w:w="1516" w:type="pct"/>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75</w:t>
                  </w:r>
                </w:p>
              </w:tc>
              <w:tc>
                <w:tcPr>
                  <w:tcW w:w="1194" w:type="pct"/>
                  <w:vMerge w:val="continue"/>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5000" w:type="pct"/>
                  <w:gridSpan w:val="4"/>
                  <w:tcBorders>
                    <w:tl2br w:val="nil"/>
                    <w:tr2bl w:val="nil"/>
                  </w:tcBorders>
                  <w:noWrap w:val="0"/>
                  <w:vAlign w:val="center"/>
                </w:tcPr>
                <w:p>
                  <w:pPr>
                    <w:pageBreakBefore w:val="0"/>
                    <w:kinsoku/>
                    <w:wordWrap/>
                    <w:topLinePunct w:val="0"/>
                    <w:bidi w:val="0"/>
                    <w:adjustRightInd/>
                    <w:snapToGrid/>
                    <w:spacing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注：TSP 1小时平均按照24小时平均的3倍计算，即300×3=900μg/m</w:t>
                  </w:r>
                  <w:r>
                    <w:rPr>
                      <w:rFonts w:hint="default" w:ascii="Times New Roman" w:hAnsi="Times New Roman" w:cs="Times New Roman"/>
                      <w:color w:val="auto"/>
                      <w:sz w:val="21"/>
                      <w:szCs w:val="21"/>
                      <w:vertAlign w:val="superscript"/>
                    </w:rPr>
                    <w:t>3</w:t>
                  </w:r>
                </w:p>
              </w:tc>
            </w:tr>
          </w:tbl>
          <w:p>
            <w:pPr>
              <w:pageBreakBefore w:val="0"/>
              <w:kinsoku/>
              <w:wordWrap/>
              <w:topLinePunct w:val="0"/>
              <w:bidi w:val="0"/>
              <w:adjustRightInd/>
              <w:snapToGrid/>
              <w:spacing w:line="360" w:lineRule="auto"/>
              <w:ind w:left="0" w:right="0" w:hanging="36" w:hangingChars="15"/>
              <w:contextualSpacing/>
              <w:textAlignment w:val="auto"/>
              <w:rPr>
                <w:rFonts w:hint="default" w:ascii="Times New Roman" w:hAnsi="Times New Roman" w:eastAsia="宋体" w:cs="Times New Roman"/>
                <w:b/>
                <w:color w:val="auto"/>
                <w:sz w:val="24"/>
                <w:szCs w:val="24"/>
              </w:rPr>
            </w:pPr>
            <w:r>
              <w:rPr>
                <w:rFonts w:hint="eastAsia" w:cs="Times New Roman"/>
                <w:b/>
                <w:color w:val="auto"/>
                <w:sz w:val="24"/>
                <w:szCs w:val="24"/>
                <w:lang w:val="en-US" w:eastAsia="zh-CN"/>
              </w:rPr>
              <w:t>3.15.</w:t>
            </w: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rPr>
              <w:t>水环境</w:t>
            </w:r>
          </w:p>
          <w:p>
            <w:pPr>
              <w:adjustRightInd w:val="0"/>
              <w:snapToGrid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szCs w:val="24"/>
                <w:lang w:val="en-US" w:eastAsia="zh-CN"/>
              </w:rPr>
              <w:t>项目区域附近地表水体</w:t>
            </w:r>
            <w:r>
              <w:rPr>
                <w:rFonts w:hint="default" w:ascii="Times New Roman" w:hAnsi="Times New Roman" w:cs="Times New Roman"/>
                <w:color w:val="auto"/>
                <w:kern w:val="0"/>
                <w:sz w:val="24"/>
              </w:rPr>
              <w:t>主要有</w:t>
            </w:r>
            <w:r>
              <w:rPr>
                <w:rFonts w:hint="default" w:ascii="Times New Roman" w:hAnsi="Times New Roman" w:cs="Times New Roman"/>
                <w:color w:val="auto"/>
                <w:sz w:val="24"/>
              </w:rPr>
              <w:t>龙川江、黑山大箐、丙巷河、</w:t>
            </w:r>
            <w:r>
              <w:rPr>
                <w:rFonts w:hint="eastAsia" w:cs="Times New Roman"/>
                <w:color w:val="auto"/>
                <w:sz w:val="24"/>
                <w:lang w:val="en-US" w:eastAsia="zh-CN"/>
              </w:rPr>
              <w:t>海子哨河、</w:t>
            </w:r>
            <w:r>
              <w:rPr>
                <w:rFonts w:hint="default" w:ascii="Times New Roman" w:hAnsi="Times New Roman" w:cs="Times New Roman"/>
                <w:color w:val="auto"/>
                <w:sz w:val="24"/>
              </w:rPr>
              <w:t>丙间水库、麻柳水库等</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kern w:val="0"/>
                <w:sz w:val="24"/>
              </w:rPr>
              <w:t>本工程占地不涉及水体，项目区域分布的地表水</w:t>
            </w:r>
            <w:r>
              <w:rPr>
                <w:rFonts w:hint="default" w:ascii="Times New Roman" w:hAnsi="Times New Roman" w:cs="Times New Roman"/>
                <w:color w:val="auto"/>
                <w:kern w:val="0"/>
                <w:sz w:val="24"/>
                <w:lang w:bidi="ar"/>
              </w:rPr>
              <w:t>环境不</w:t>
            </w:r>
            <w:r>
              <w:rPr>
                <w:rFonts w:hint="default" w:ascii="Times New Roman" w:hAnsi="Times New Roman" w:cs="Times New Roman"/>
                <w:color w:val="auto"/>
                <w:kern w:val="0"/>
                <w:sz w:val="24"/>
                <w:lang w:val="en-US" w:eastAsia="zh-CN" w:bidi="ar"/>
              </w:rPr>
              <w:t>会</w:t>
            </w:r>
            <w:r>
              <w:rPr>
                <w:rFonts w:hint="default" w:ascii="Times New Roman" w:hAnsi="Times New Roman" w:cs="Times New Roman"/>
                <w:color w:val="auto"/>
                <w:kern w:val="0"/>
                <w:sz w:val="24"/>
                <w:lang w:bidi="ar"/>
              </w:rPr>
              <w:t>因本项目的建设而水质恶化</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kern w:val="0"/>
                <w:sz w:val="24"/>
                <w:lang w:bidi="ar"/>
              </w:rPr>
              <w:t>项目地表丙间箐（丙间河）、丙间水库、麻柳水库执行《地表水环境质量标准》（GB3838-2002）</w:t>
            </w:r>
            <w:r>
              <w:rPr>
                <w:rFonts w:hint="default" w:ascii="Times New Roman" w:hAnsi="Times New Roman" w:eastAsia="宋体" w:cs="Times New Roman"/>
                <w:color w:val="auto"/>
                <w:sz w:val="24"/>
                <w:szCs w:val="32"/>
              </w:rPr>
              <w:t>Ⅲ</w:t>
            </w:r>
            <w:r>
              <w:rPr>
                <w:rFonts w:hint="default" w:ascii="Times New Roman" w:hAnsi="Times New Roman" w:eastAsia="宋体" w:cs="Times New Roman"/>
                <w:color w:val="auto"/>
                <w:kern w:val="0"/>
                <w:sz w:val="24"/>
                <w:lang w:bidi="ar"/>
              </w:rPr>
              <w:t>类标准；龙川江、</w:t>
            </w:r>
            <w:r>
              <w:rPr>
                <w:rFonts w:hint="default" w:ascii="Times New Roman" w:hAnsi="Times New Roman" w:eastAsia="宋体" w:cs="Times New Roman"/>
                <w:color w:val="auto"/>
                <w:sz w:val="24"/>
              </w:rPr>
              <w:t>黑山大箐、</w:t>
            </w:r>
            <w:r>
              <w:rPr>
                <w:rFonts w:hint="eastAsia" w:cs="Times New Roman"/>
                <w:color w:val="auto"/>
                <w:sz w:val="24"/>
                <w:lang w:val="en-US" w:eastAsia="zh-CN"/>
              </w:rPr>
              <w:t>海子哨河、</w:t>
            </w:r>
            <w:r>
              <w:rPr>
                <w:rFonts w:hint="default" w:ascii="Times New Roman" w:hAnsi="Times New Roman" w:eastAsia="宋体" w:cs="Times New Roman"/>
                <w:color w:val="auto"/>
                <w:sz w:val="24"/>
              </w:rPr>
              <w:t>丙巷河</w:t>
            </w:r>
            <w:r>
              <w:rPr>
                <w:rFonts w:hint="default" w:ascii="Times New Roman" w:hAnsi="Times New Roman" w:eastAsia="宋体" w:cs="Times New Roman"/>
                <w:color w:val="auto"/>
                <w:kern w:val="0"/>
                <w:sz w:val="24"/>
                <w:lang w:bidi="ar"/>
              </w:rPr>
              <w:t>等执行《地表水环境质量标准》（GB3838-2002）</w:t>
            </w:r>
            <w:r>
              <w:rPr>
                <w:rFonts w:hint="default" w:ascii="Times New Roman" w:hAnsi="Times New Roman" w:eastAsia="宋体" w:cs="Times New Roman"/>
                <w:color w:val="auto"/>
                <w:sz w:val="24"/>
                <w:szCs w:val="32"/>
              </w:rPr>
              <w:t>Ⅳ</w:t>
            </w:r>
            <w:r>
              <w:rPr>
                <w:rFonts w:hint="default" w:ascii="Times New Roman" w:hAnsi="Times New Roman" w:eastAsia="宋体" w:cs="Times New Roman"/>
                <w:color w:val="auto"/>
                <w:kern w:val="0"/>
                <w:sz w:val="24"/>
                <w:lang w:bidi="ar"/>
              </w:rPr>
              <w:t>类标准。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jc w:val="both"/>
              <w:textAlignment w:val="auto"/>
              <w:outlineLvl w:val="9"/>
              <w:rPr>
                <w:rFonts w:hint="default" w:ascii="Times New Roman" w:hAnsi="Times New Roman" w:eastAsia="宋体" w:cs="Times New Roman"/>
                <w:color w:val="auto"/>
                <w:sz w:val="24"/>
                <w:lang w:val="en-US"/>
              </w:rPr>
            </w:pPr>
            <w:r>
              <w:rPr>
                <w:rFonts w:hint="default" w:ascii="Times New Roman" w:hAnsi="Times New Roman" w:eastAsia="宋体" w:cs="Times New Roman"/>
                <w:iCs/>
                <w:color w:val="auto"/>
                <w:sz w:val="24"/>
              </w:rPr>
              <w:t>《地表水环境质量标准》（GB3838-2002）具体指标标准值见表3- 9。</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b/>
                <w:color w:val="auto"/>
                <w:szCs w:val="24"/>
                <w:lang w:val="zh-CN" w:eastAsia="zh-CN"/>
              </w:rPr>
            </w:pPr>
            <w:r>
              <w:rPr>
                <w:rFonts w:hint="default" w:ascii="Times New Roman" w:hAnsi="Times New Roman" w:eastAsia="宋体" w:cs="Times New Roman"/>
                <w:b/>
                <w:color w:val="auto"/>
                <w:szCs w:val="24"/>
                <w:lang w:val="zh-CN" w:eastAsia="zh-CN"/>
              </w:rPr>
              <w:t>表3-</w:t>
            </w:r>
            <w:r>
              <w:rPr>
                <w:rFonts w:hint="eastAsia" w:ascii="Times New Roman" w:hAnsi="Times New Roman" w:eastAsia="宋体" w:cs="Times New Roman"/>
                <w:b/>
                <w:color w:val="auto"/>
                <w:szCs w:val="24"/>
                <w:lang w:val="en-US" w:eastAsia="zh-CN"/>
              </w:rPr>
              <w:t>12</w:t>
            </w:r>
            <w:r>
              <w:rPr>
                <w:rFonts w:hint="default" w:ascii="Times New Roman" w:hAnsi="Times New Roman" w:eastAsia="宋体" w:cs="Times New Roman"/>
                <w:b/>
                <w:color w:val="auto"/>
                <w:szCs w:val="24"/>
                <w:lang w:val="zh-CN" w:eastAsia="zh-CN"/>
              </w:rPr>
              <w:t xml:space="preserve">   地表水环境质量标准单位：mg/L</w:t>
            </w:r>
          </w:p>
          <w:tbl>
            <w:tblPr>
              <w:tblStyle w:val="18"/>
              <w:tblW w:w="4997"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893"/>
              <w:gridCol w:w="982"/>
              <w:gridCol w:w="982"/>
              <w:gridCol w:w="868"/>
              <w:gridCol w:w="967"/>
              <w:gridCol w:w="1898"/>
              <w:gridCol w:w="100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jc w:val="center"/>
              </w:trPr>
              <w:tc>
                <w:tcPr>
                  <w:tcW w:w="4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项目</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pH（无量纲）</w:t>
                  </w:r>
                </w:p>
              </w:tc>
              <w:tc>
                <w:tcPr>
                  <w:tcW w:w="5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高锰酸盐指数</w:t>
                  </w:r>
                </w:p>
              </w:tc>
              <w:tc>
                <w:tcPr>
                  <w:tcW w:w="5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CODcr</w:t>
                  </w: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BOD</w:t>
                  </w:r>
                  <w:r>
                    <w:rPr>
                      <w:rFonts w:hint="eastAsia" w:ascii="Times New Roman" w:hAnsi="Times New Roman" w:eastAsia="宋体" w:cs="宋体"/>
                      <w:color w:val="auto"/>
                      <w:kern w:val="0"/>
                      <w:sz w:val="21"/>
                      <w:szCs w:val="21"/>
                      <w:vertAlign w:val="subscript"/>
                    </w:rPr>
                    <w:t>5</w:t>
                  </w: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NH</w:t>
                  </w:r>
                  <w:r>
                    <w:rPr>
                      <w:rFonts w:hint="eastAsia" w:ascii="Times New Roman" w:hAnsi="Times New Roman" w:eastAsia="宋体" w:cs="宋体"/>
                      <w:color w:val="auto"/>
                      <w:kern w:val="0"/>
                      <w:sz w:val="21"/>
                      <w:szCs w:val="21"/>
                      <w:vertAlign w:val="subscript"/>
                    </w:rPr>
                    <w:t>3</w:t>
                  </w:r>
                  <w:r>
                    <w:rPr>
                      <w:rFonts w:hint="eastAsia" w:ascii="Times New Roman" w:hAnsi="Times New Roman" w:eastAsia="宋体" w:cs="宋体"/>
                      <w:color w:val="auto"/>
                      <w:kern w:val="0"/>
                      <w:sz w:val="21"/>
                      <w:szCs w:val="21"/>
                    </w:rPr>
                    <w:t>-N</w:t>
                  </w:r>
                </w:p>
              </w:tc>
              <w:tc>
                <w:tcPr>
                  <w:tcW w:w="11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TP</w:t>
                  </w:r>
                </w:p>
              </w:tc>
              <w:tc>
                <w:tcPr>
                  <w:tcW w:w="6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石油类</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Ⅲ类</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6~9</w:t>
                  </w:r>
                </w:p>
              </w:tc>
              <w:tc>
                <w:tcPr>
                  <w:tcW w:w="5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≤6</w:t>
                  </w:r>
                </w:p>
              </w:tc>
              <w:tc>
                <w:tcPr>
                  <w:tcW w:w="5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≤20</w:t>
                  </w: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≤4</w:t>
                  </w: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≤1.0</w:t>
                  </w:r>
                </w:p>
              </w:tc>
              <w:tc>
                <w:tcPr>
                  <w:tcW w:w="11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≤0.2（湖、库0.05）</w:t>
                  </w:r>
                </w:p>
              </w:tc>
              <w:tc>
                <w:tcPr>
                  <w:tcW w:w="6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≤0.05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Ⅳ类</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6~9</w:t>
                  </w:r>
                </w:p>
              </w:tc>
              <w:tc>
                <w:tcPr>
                  <w:tcW w:w="5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≤10</w:t>
                  </w:r>
                </w:p>
              </w:tc>
              <w:tc>
                <w:tcPr>
                  <w:tcW w:w="5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≤30</w:t>
                  </w: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≤6</w:t>
                  </w: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≤1.5</w:t>
                  </w:r>
                </w:p>
              </w:tc>
              <w:tc>
                <w:tcPr>
                  <w:tcW w:w="11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≤0.3（湖、库0.1）</w:t>
                  </w:r>
                </w:p>
              </w:tc>
              <w:tc>
                <w:tcPr>
                  <w:tcW w:w="6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≤0.5</w:t>
                  </w:r>
                </w:p>
              </w:tc>
            </w:tr>
          </w:tbl>
          <w:p>
            <w:pPr>
              <w:keepNext w:val="0"/>
              <w:keepLines w:val="0"/>
              <w:pageBreakBefore w:val="0"/>
              <w:widowControl w:val="0"/>
              <w:kinsoku/>
              <w:wordWrap/>
              <w:overflowPunct/>
              <w:topLinePunct w:val="0"/>
              <w:autoSpaceDE/>
              <w:autoSpaceDN/>
              <w:bidi w:val="0"/>
              <w:adjustRightInd/>
              <w:snapToGrid/>
              <w:spacing w:line="360" w:lineRule="auto"/>
              <w:ind w:right="0"/>
              <w:contextualSpacing/>
              <w:textAlignment w:val="auto"/>
              <w:rPr>
                <w:rFonts w:hint="default" w:ascii="Times New Roman" w:hAnsi="Times New Roman" w:eastAsia="宋体" w:cs="Times New Roman"/>
                <w:b/>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contextualSpacing/>
              <w:textAlignment w:val="auto"/>
              <w:rPr>
                <w:rFonts w:hint="default" w:ascii="Times New Roman" w:hAnsi="Times New Roman" w:eastAsia="宋体" w:cs="Times New Roman"/>
                <w:b/>
                <w:color w:val="auto"/>
                <w:sz w:val="24"/>
                <w:szCs w:val="24"/>
              </w:rPr>
            </w:pPr>
            <w:r>
              <w:rPr>
                <w:rFonts w:hint="eastAsia" w:cs="Times New Roman"/>
                <w:b/>
                <w:color w:val="auto"/>
                <w:sz w:val="24"/>
                <w:szCs w:val="24"/>
                <w:lang w:val="en-US" w:eastAsia="zh-CN"/>
              </w:rPr>
              <w:t>3.15.3</w:t>
            </w:r>
            <w:r>
              <w:rPr>
                <w:rFonts w:hint="default" w:ascii="Times New Roman" w:hAnsi="Times New Roman" w:eastAsia="宋体" w:cs="Times New Roman"/>
                <w:b/>
                <w:color w:val="auto"/>
                <w:sz w:val="24"/>
                <w:szCs w:val="24"/>
              </w:rPr>
              <w:t>声环境</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contextualSpacing/>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rPr>
              <w:t>执行GB3096-2008《声环境质量标准》2类区标准。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b/>
                <w:color w:val="auto"/>
                <w:szCs w:val="24"/>
                <w:lang w:val="zh-CN" w:eastAsia="zh-CN"/>
              </w:rPr>
            </w:pPr>
            <w:r>
              <w:rPr>
                <w:rFonts w:hint="default" w:ascii="Times New Roman" w:hAnsi="Times New Roman" w:eastAsia="宋体" w:cs="Times New Roman"/>
                <w:b/>
                <w:color w:val="auto"/>
                <w:szCs w:val="24"/>
                <w:lang w:val="zh-CN" w:eastAsia="zh-CN"/>
              </w:rPr>
              <w:t>表</w:t>
            </w:r>
            <w:r>
              <w:rPr>
                <w:rFonts w:hint="default" w:ascii="Times New Roman" w:hAnsi="Times New Roman" w:eastAsia="宋体" w:cs="Times New Roman"/>
                <w:b/>
                <w:color w:val="auto"/>
                <w:szCs w:val="24"/>
                <w:lang w:val="en-US" w:eastAsia="zh-CN"/>
              </w:rPr>
              <w:t>3</w:t>
            </w:r>
            <w:r>
              <w:rPr>
                <w:rFonts w:hint="default" w:ascii="Times New Roman" w:hAnsi="Times New Roman" w:eastAsia="宋体" w:cs="Times New Roman"/>
                <w:b/>
                <w:color w:val="auto"/>
                <w:szCs w:val="24"/>
                <w:lang w:val="zh-CN" w:eastAsia="zh-CN"/>
              </w:rPr>
              <w:t>-</w:t>
            </w:r>
            <w:r>
              <w:rPr>
                <w:rFonts w:hint="eastAsia" w:ascii="Times New Roman" w:hAnsi="Times New Roman" w:eastAsia="宋体" w:cs="Times New Roman"/>
                <w:b/>
                <w:color w:val="auto"/>
                <w:szCs w:val="24"/>
                <w:lang w:val="en-US" w:eastAsia="zh-CN"/>
              </w:rPr>
              <w:t xml:space="preserve">13 </w:t>
            </w:r>
            <w:r>
              <w:rPr>
                <w:rFonts w:hint="default" w:ascii="Times New Roman" w:hAnsi="Times New Roman" w:eastAsia="宋体" w:cs="Times New Roman"/>
                <w:b/>
                <w:color w:val="auto"/>
                <w:szCs w:val="24"/>
                <w:lang w:val="zh-CN" w:eastAsia="zh-CN"/>
              </w:rPr>
              <w:t xml:space="preserve"> 声环境质量标准  单位：dB(A)</w:t>
            </w:r>
          </w:p>
          <w:tbl>
            <w:tblPr>
              <w:tblStyle w:val="18"/>
              <w:tblW w:w="836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2858"/>
              <w:gridCol w:w="353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48" w:hRule="atLeast"/>
                <w:jc w:val="center"/>
              </w:trPr>
              <w:tc>
                <w:tcPr>
                  <w:tcW w:w="1971" w:type="dxa"/>
                  <w:tcBorders>
                    <w:tl2br w:val="nil"/>
                    <w:tr2bl w:val="nil"/>
                  </w:tcBorders>
                  <w:noWrap w:val="0"/>
                  <w:vAlign w:val="center"/>
                </w:tcPr>
                <w:p>
                  <w:pPr>
                    <w:pageBreakBefore w:val="0"/>
                    <w:widowControl/>
                    <w:kinsoku/>
                    <w:wordWrap/>
                    <w:topLinePunct w:val="0"/>
                    <w:bidi w:val="0"/>
                    <w:adjustRightInd/>
                    <w:snapToGrid/>
                    <w:spacing w:line="240" w:lineRule="auto"/>
                    <w:ind w:left="0" w:right="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2858" w:type="dxa"/>
                  <w:tcBorders>
                    <w:tl2br w:val="nil"/>
                    <w:tr2bl w:val="nil"/>
                  </w:tcBorders>
                  <w:noWrap w:val="0"/>
                  <w:vAlign w:val="center"/>
                </w:tcPr>
                <w:p>
                  <w:pPr>
                    <w:pageBreakBefore w:val="0"/>
                    <w:widowControl/>
                    <w:kinsoku/>
                    <w:wordWrap/>
                    <w:topLinePunct w:val="0"/>
                    <w:bidi w:val="0"/>
                    <w:adjustRightInd/>
                    <w:snapToGrid/>
                    <w:spacing w:line="240" w:lineRule="auto"/>
                    <w:ind w:left="0" w:right="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3538" w:type="dxa"/>
                  <w:tcBorders>
                    <w:tl2br w:val="nil"/>
                    <w:tr2bl w:val="nil"/>
                  </w:tcBorders>
                  <w:noWrap w:val="0"/>
                  <w:vAlign w:val="center"/>
                </w:tcPr>
                <w:p>
                  <w:pPr>
                    <w:pageBreakBefore w:val="0"/>
                    <w:widowControl/>
                    <w:kinsoku/>
                    <w:wordWrap/>
                    <w:topLinePunct w:val="0"/>
                    <w:bidi w:val="0"/>
                    <w:adjustRightInd/>
                    <w:snapToGrid/>
                    <w:spacing w:line="240" w:lineRule="auto"/>
                    <w:ind w:left="0" w:right="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971" w:type="dxa"/>
                  <w:tcBorders>
                    <w:tl2br w:val="nil"/>
                    <w:tr2bl w:val="nil"/>
                  </w:tcBorders>
                  <w:noWrap w:val="0"/>
                  <w:vAlign w:val="center"/>
                </w:tcPr>
                <w:p>
                  <w:pPr>
                    <w:pageBreakBefore w:val="0"/>
                    <w:widowControl/>
                    <w:kinsoku/>
                    <w:wordWrap/>
                    <w:topLinePunct w:val="0"/>
                    <w:bidi w:val="0"/>
                    <w:adjustRightInd/>
                    <w:snapToGrid/>
                    <w:spacing w:line="240" w:lineRule="auto"/>
                    <w:ind w:left="0" w:right="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2类</w:t>
                  </w:r>
                </w:p>
              </w:tc>
              <w:tc>
                <w:tcPr>
                  <w:tcW w:w="2858" w:type="dxa"/>
                  <w:tcBorders>
                    <w:tl2br w:val="nil"/>
                    <w:tr2bl w:val="nil"/>
                  </w:tcBorders>
                  <w:noWrap w:val="0"/>
                  <w:vAlign w:val="center"/>
                </w:tcPr>
                <w:p>
                  <w:pPr>
                    <w:pageBreakBefore w:val="0"/>
                    <w:widowControl/>
                    <w:kinsoku/>
                    <w:wordWrap/>
                    <w:topLinePunct w:val="0"/>
                    <w:bidi w:val="0"/>
                    <w:adjustRightInd/>
                    <w:snapToGrid/>
                    <w:spacing w:line="240" w:lineRule="auto"/>
                    <w:ind w:left="0" w:right="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3538" w:type="dxa"/>
                  <w:tcBorders>
                    <w:tl2br w:val="nil"/>
                    <w:tr2bl w:val="nil"/>
                  </w:tcBorders>
                  <w:noWrap w:val="0"/>
                  <w:vAlign w:val="center"/>
                </w:tcPr>
                <w:p>
                  <w:pPr>
                    <w:pageBreakBefore w:val="0"/>
                    <w:widowControl/>
                    <w:kinsoku/>
                    <w:wordWrap/>
                    <w:topLinePunct w:val="0"/>
                    <w:bidi w:val="0"/>
                    <w:adjustRightInd/>
                    <w:snapToGrid/>
                    <w:spacing w:line="240" w:lineRule="auto"/>
                    <w:ind w:left="0" w:right="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r>
          </w:tbl>
          <w:p>
            <w:pPr>
              <w:keepNext w:val="0"/>
              <w:keepLines w:val="0"/>
              <w:pageBreakBefore w:val="0"/>
              <w:widowControl w:val="0"/>
              <w:kinsoku/>
              <w:wordWrap/>
              <w:overflowPunct/>
              <w:topLinePunct w:val="0"/>
              <w:autoSpaceDE/>
              <w:autoSpaceDN/>
              <w:bidi w:val="0"/>
              <w:adjustRightInd/>
              <w:snapToGrid/>
              <w:spacing w:line="360" w:lineRule="auto"/>
              <w:ind w:left="0" w:right="0" w:hanging="1176" w:hangingChars="488"/>
              <w:contextualSpacing/>
              <w:textAlignment w:val="auto"/>
              <w:rPr>
                <w:rFonts w:hint="default" w:ascii="Times New Roman" w:hAnsi="Times New Roman" w:eastAsia="宋体" w:cs="Times New Roman"/>
                <w:b/>
                <w:color w:val="auto"/>
                <w:sz w:val="24"/>
                <w:szCs w:val="24"/>
              </w:rPr>
            </w:pPr>
            <w:r>
              <w:rPr>
                <w:rFonts w:hint="eastAsia" w:cs="Times New Roman"/>
                <w:b/>
                <w:color w:val="auto"/>
                <w:sz w:val="24"/>
                <w:szCs w:val="24"/>
                <w:lang w:val="en-US" w:eastAsia="zh-CN"/>
              </w:rPr>
              <w:t>3.16</w:t>
            </w:r>
            <w:r>
              <w:rPr>
                <w:rFonts w:hint="default" w:ascii="Times New Roman" w:hAnsi="Times New Roman" w:eastAsia="宋体" w:cs="Times New Roman"/>
                <w:b/>
                <w:color w:val="auto"/>
                <w:sz w:val="24"/>
                <w:szCs w:val="24"/>
                <w:lang w:val="en-US" w:eastAsia="zh-CN"/>
              </w:rPr>
              <w:t>污染物排放标准</w:t>
            </w:r>
          </w:p>
          <w:p>
            <w:pPr>
              <w:keepNext w:val="0"/>
              <w:keepLines w:val="0"/>
              <w:pageBreakBefore w:val="0"/>
              <w:widowControl w:val="0"/>
              <w:kinsoku/>
              <w:wordWrap/>
              <w:overflowPunct/>
              <w:topLinePunct w:val="0"/>
              <w:autoSpaceDE/>
              <w:autoSpaceDN/>
              <w:bidi w:val="0"/>
              <w:adjustRightInd/>
              <w:snapToGrid/>
              <w:spacing w:line="360" w:lineRule="auto"/>
              <w:ind w:left="0" w:right="0" w:hanging="1193" w:hangingChars="495"/>
              <w:contextualSpacing/>
              <w:textAlignment w:val="auto"/>
              <w:rPr>
                <w:rFonts w:hint="default" w:ascii="Times New Roman" w:hAnsi="Times New Roman" w:eastAsia="宋体" w:cs="Times New Roman"/>
                <w:b/>
                <w:color w:val="auto"/>
                <w:sz w:val="24"/>
                <w:szCs w:val="24"/>
              </w:rPr>
            </w:pPr>
            <w:r>
              <w:rPr>
                <w:rFonts w:hint="eastAsia" w:cs="Times New Roman"/>
                <w:b/>
                <w:color w:val="auto"/>
                <w:sz w:val="24"/>
                <w:szCs w:val="24"/>
                <w:lang w:val="en-US" w:eastAsia="zh-CN"/>
              </w:rPr>
              <w:t>3.16.1</w:t>
            </w:r>
            <w:r>
              <w:rPr>
                <w:rFonts w:hint="default" w:ascii="Times New Roman" w:hAnsi="Times New Roman" w:eastAsia="宋体" w:cs="Times New Roman"/>
                <w:b/>
                <w:color w:val="auto"/>
                <w:sz w:val="24"/>
                <w:szCs w:val="24"/>
              </w:rPr>
              <w:t>废水</w:t>
            </w:r>
          </w:p>
          <w:p>
            <w:pPr>
              <w:keepNext w:val="0"/>
              <w:keepLines w:val="0"/>
              <w:pageBreakBefore w:val="0"/>
              <w:widowControl w:val="0"/>
              <w:kinsoku/>
              <w:wordWrap w:val="0"/>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施工期：项目施工废水经沉淀处理后回用于施工现场洒水降尘，不外排。</w:t>
            </w:r>
          </w:p>
          <w:p>
            <w:pPr>
              <w:keepNext w:val="0"/>
              <w:keepLines w:val="0"/>
              <w:pageBreakBefore w:val="0"/>
              <w:widowControl w:val="0"/>
              <w:kinsoku/>
              <w:wordWrap w:val="0"/>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运营期：升压站食堂废水经隔油池预处理后，连同其它生活污水经化粪池处理后，一同进入一体化污水处理站处理达到《城市污水再生利用城市杂用水水质》（GB/T18920-2020）中绿化标准后回用于升压站内绿化</w:t>
            </w:r>
            <w:r>
              <w:rPr>
                <w:rFonts w:hint="eastAsia" w:ascii="Times New Roman" w:hAnsi="Times New Roman" w:eastAsia="宋体" w:cs="Times New Roman"/>
                <w:color w:val="auto"/>
                <w:kern w:val="2"/>
                <w:sz w:val="24"/>
                <w:szCs w:val="24"/>
                <w:lang w:val="en-US" w:eastAsia="zh-CN" w:bidi="ar-SA"/>
              </w:rPr>
              <w:t>、洒水降尘</w:t>
            </w:r>
            <w:r>
              <w:rPr>
                <w:rFonts w:hint="default" w:ascii="Times New Roman" w:hAnsi="Times New Roman" w:eastAsia="宋体" w:cs="Times New Roman"/>
                <w:color w:val="auto"/>
                <w:kern w:val="2"/>
                <w:sz w:val="24"/>
                <w:szCs w:val="24"/>
                <w:lang w:val="en-US" w:eastAsia="zh-CN" w:bidi="ar-SA"/>
              </w:rPr>
              <w:t>，不外排。执行标准值如下：</w:t>
            </w:r>
          </w:p>
          <w:p>
            <w:pPr>
              <w:widowControl w:val="0"/>
              <w:spacing w:before="24" w:beforeLines="0" w:after="24" w:afterLines="0" w:line="240" w:lineRule="auto"/>
              <w:jc w:val="center"/>
              <w:rPr>
                <w:rFonts w:hint="default" w:ascii="Times New Roman" w:hAnsi="Times New Roman" w:eastAsia="宋体" w:cs="Times New Roman"/>
                <w:b/>
                <w:color w:val="auto"/>
                <w:kern w:val="2"/>
                <w:sz w:val="21"/>
                <w:szCs w:val="24"/>
                <w:lang w:val="zh-CN" w:eastAsia="zh-CN" w:bidi="ar-SA"/>
              </w:rPr>
            </w:pPr>
            <w:r>
              <w:rPr>
                <w:rFonts w:hint="default" w:ascii="Times New Roman" w:hAnsi="Times New Roman" w:eastAsia="宋体" w:cs="Times New Roman"/>
                <w:b/>
                <w:color w:val="auto"/>
                <w:kern w:val="2"/>
                <w:sz w:val="21"/>
                <w:szCs w:val="24"/>
                <w:lang w:val="zh-CN" w:eastAsia="zh-CN" w:bidi="ar-SA"/>
              </w:rPr>
              <w:t>表3-1</w:t>
            </w:r>
            <w:r>
              <w:rPr>
                <w:rFonts w:hint="eastAsia" w:ascii="Times New Roman" w:hAnsi="Times New Roman" w:eastAsia="宋体" w:cs="Times New Roman"/>
                <w:b/>
                <w:color w:val="auto"/>
                <w:kern w:val="2"/>
                <w:sz w:val="21"/>
                <w:szCs w:val="24"/>
                <w:lang w:val="en-US" w:eastAsia="zh-CN" w:bidi="ar-SA"/>
              </w:rPr>
              <w:t>4</w:t>
            </w:r>
            <w:r>
              <w:rPr>
                <w:rFonts w:hint="default" w:ascii="Times New Roman" w:hAnsi="Times New Roman" w:eastAsia="宋体" w:cs="Times New Roman"/>
                <w:b/>
                <w:color w:val="auto"/>
                <w:kern w:val="2"/>
                <w:sz w:val="21"/>
                <w:szCs w:val="24"/>
                <w:lang w:val="zh-CN" w:eastAsia="zh-CN" w:bidi="ar-SA"/>
              </w:rPr>
              <w:t xml:space="preserve">  城市污水再生利用城市杂用水水质单位：mg/L</w:t>
            </w:r>
          </w:p>
          <w:tbl>
            <w:tblPr>
              <w:tblStyle w:val="18"/>
              <w:tblW w:w="5000" w:type="pct"/>
              <w:tblInd w:w="-1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73"/>
              <w:gridCol w:w="544"/>
              <w:gridCol w:w="696"/>
              <w:gridCol w:w="786"/>
              <w:gridCol w:w="776"/>
              <w:gridCol w:w="560"/>
              <w:gridCol w:w="595"/>
              <w:gridCol w:w="966"/>
              <w:gridCol w:w="1758"/>
              <w:gridCol w:w="48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59" w:type="pct"/>
                  <w:vMerge w:val="restart"/>
                  <w:tcBorders>
                    <w:tl2br w:val="nil"/>
                    <w:tr2bl w:val="nil"/>
                  </w:tcBorders>
                  <w:noWrap w:val="0"/>
                  <w:vAlign w:val="center"/>
                </w:tcPr>
                <w:p>
                  <w:pPr>
                    <w:widowControl w:val="0"/>
                    <w:spacing w:beforeLines="0" w:afterLines="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绿化用水</w:t>
                  </w:r>
                </w:p>
              </w:tc>
              <w:tc>
                <w:tcPr>
                  <w:tcW w:w="472"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pH（无量纲）</w:t>
                  </w:r>
                </w:p>
              </w:tc>
              <w:tc>
                <w:tcPr>
                  <w:tcW w:w="332"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色度</w:t>
                  </w:r>
                </w:p>
              </w:tc>
              <w:tc>
                <w:tcPr>
                  <w:tcW w:w="42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嗅</w:t>
                  </w:r>
                </w:p>
              </w:tc>
              <w:tc>
                <w:tcPr>
                  <w:tcW w:w="477"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溶解性总固体</w:t>
                  </w:r>
                </w:p>
              </w:tc>
              <w:tc>
                <w:tcPr>
                  <w:tcW w:w="471"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341"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3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溶解氧</w:t>
                  </w:r>
                </w:p>
              </w:tc>
              <w:tc>
                <w:tcPr>
                  <w:tcW w:w="584"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阴离子表面活性剂</w:t>
                  </w:r>
                </w:p>
              </w:tc>
              <w:tc>
                <w:tcPr>
                  <w:tcW w:w="101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大肠埃希氏</w:t>
                  </w:r>
                  <w:r>
                    <w:rPr>
                      <w:rFonts w:hint="eastAsia" w:ascii="Times New Roman" w:hAnsi="Times New Roman" w:eastAsia="宋体" w:cs="Times New Roman"/>
                      <w:color w:val="auto"/>
                      <w:sz w:val="21"/>
                      <w:szCs w:val="21"/>
                      <w:lang w:val="en-US" w:eastAsia="zh-CN"/>
                    </w:rPr>
                    <w:t>菌</w:t>
                  </w:r>
                  <w:r>
                    <w:rPr>
                      <w:rFonts w:hint="default" w:ascii="Times New Roman" w:hAnsi="Times New Roman" w:eastAsia="宋体" w:cs="Times New Roman"/>
                      <w:color w:val="auto"/>
                      <w:sz w:val="21"/>
                      <w:szCs w:val="21"/>
                    </w:rPr>
                    <w:t>（MPN/100mL）</w:t>
                  </w:r>
                </w:p>
              </w:tc>
              <w:tc>
                <w:tcPr>
                  <w:tcW w:w="261"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59" w:type="pct"/>
                  <w:vMerge w:val="continue"/>
                  <w:tcBorders>
                    <w:tl2br w:val="nil"/>
                    <w:tr2bl w:val="nil"/>
                  </w:tcBorders>
                  <w:noWrap w:val="0"/>
                  <w:vAlign w:val="center"/>
                </w:tcPr>
                <w:p>
                  <w:pPr>
                    <w:widowControl w:val="0"/>
                    <w:spacing w:beforeLines="0" w:afterLines="0" w:line="240" w:lineRule="auto"/>
                    <w:jc w:val="center"/>
                    <w:rPr>
                      <w:rFonts w:hint="default" w:ascii="Times New Roman" w:hAnsi="Times New Roman" w:eastAsia="宋体" w:cs="Times New Roman"/>
                      <w:color w:val="auto"/>
                      <w:kern w:val="2"/>
                      <w:sz w:val="21"/>
                      <w:szCs w:val="21"/>
                      <w:lang w:val="en-US" w:eastAsia="zh-CN" w:bidi="ar-SA"/>
                    </w:rPr>
                  </w:pPr>
                </w:p>
              </w:tc>
              <w:tc>
                <w:tcPr>
                  <w:tcW w:w="472"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332"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42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无不快感</w:t>
                  </w:r>
                </w:p>
              </w:tc>
              <w:tc>
                <w:tcPr>
                  <w:tcW w:w="477"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471"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341"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362"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84"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01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不应检出</w:t>
                  </w:r>
                </w:p>
              </w:tc>
              <w:tc>
                <w:tcPr>
                  <w:tcW w:w="261"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r>
          </w:tbl>
          <w:p>
            <w:pPr>
              <w:keepNext w:val="0"/>
              <w:keepLines w:val="0"/>
              <w:pageBreakBefore w:val="0"/>
              <w:widowControl w:val="0"/>
              <w:kinsoku/>
              <w:wordWrap/>
              <w:overflowPunct/>
              <w:topLinePunct w:val="0"/>
              <w:autoSpaceDE/>
              <w:autoSpaceDN/>
              <w:bidi w:val="0"/>
              <w:adjustRightInd/>
              <w:snapToGrid/>
              <w:spacing w:line="360" w:lineRule="auto"/>
              <w:ind w:left="0" w:right="0"/>
              <w:contextualSpacing/>
              <w:textAlignment w:val="auto"/>
              <w:rPr>
                <w:rFonts w:hint="default" w:ascii="Times New Roman" w:hAnsi="Times New Roman" w:eastAsia="宋体" w:cs="Times New Roman"/>
                <w:b/>
                <w:color w:val="auto"/>
                <w:sz w:val="24"/>
                <w:szCs w:val="24"/>
              </w:rPr>
            </w:pPr>
            <w:r>
              <w:rPr>
                <w:rFonts w:hint="eastAsia" w:cs="Times New Roman"/>
                <w:b/>
                <w:color w:val="auto"/>
                <w:sz w:val="24"/>
                <w:szCs w:val="24"/>
                <w:lang w:val="en-US" w:eastAsia="zh-CN"/>
              </w:rPr>
              <w:t>3.16.2</w:t>
            </w:r>
            <w:r>
              <w:rPr>
                <w:rFonts w:hint="default" w:ascii="Times New Roman" w:hAnsi="Times New Roman" w:eastAsia="宋体" w:cs="Times New Roman"/>
                <w:b/>
                <w:color w:val="auto"/>
                <w:sz w:val="24"/>
                <w:szCs w:val="24"/>
              </w:rPr>
              <w:t>大气污染物</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施工期：无组织排放执行《大气污染物综合排放标准》（GB16297-1996），即颗粒物：周界外浓度最高点≤1.0mg/m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运营期：升压站食饮油烟排放执行《饮食油烟排放标准》（GB18483-2001）表2中的小型标准。</w:t>
            </w:r>
          </w:p>
          <w:p>
            <w:pPr>
              <w:adjustRightInd w:val="0"/>
              <w:snapToGrid w:val="0"/>
              <w:spacing w:line="240" w:lineRule="auto"/>
              <w:ind w:firstLine="200"/>
              <w:jc w:val="center"/>
              <w:rPr>
                <w:rFonts w:hint="default" w:ascii="Times New Roman" w:hAnsi="Times New Roman" w:eastAsia="宋体" w:cs="Times New Roman"/>
                <w:b/>
                <w:color w:val="auto"/>
                <w:kern w:val="2"/>
                <w:sz w:val="21"/>
                <w:szCs w:val="24"/>
                <w:lang w:val="zh-CN" w:eastAsia="zh-CN" w:bidi="ar-SA"/>
              </w:rPr>
            </w:pPr>
            <w:r>
              <w:rPr>
                <w:rFonts w:hint="default" w:ascii="Times New Roman" w:hAnsi="Times New Roman" w:eastAsia="宋体" w:cs="Times New Roman"/>
                <w:b/>
                <w:color w:val="auto"/>
                <w:kern w:val="2"/>
                <w:sz w:val="21"/>
                <w:szCs w:val="24"/>
                <w:lang w:val="zh-CN" w:eastAsia="zh-CN" w:bidi="ar-SA"/>
              </w:rPr>
              <w:t>表3-1</w:t>
            </w:r>
            <w:r>
              <w:rPr>
                <w:rFonts w:hint="eastAsia" w:ascii="Times New Roman" w:hAnsi="Times New Roman" w:eastAsia="宋体" w:cs="Times New Roman"/>
                <w:b/>
                <w:color w:val="auto"/>
                <w:kern w:val="2"/>
                <w:sz w:val="21"/>
                <w:szCs w:val="24"/>
                <w:lang w:val="en-US" w:eastAsia="zh-CN" w:bidi="ar-SA"/>
              </w:rPr>
              <w:t xml:space="preserve">5 </w:t>
            </w:r>
            <w:r>
              <w:rPr>
                <w:rFonts w:hint="default" w:ascii="Times New Roman" w:hAnsi="Times New Roman" w:eastAsia="宋体" w:cs="Times New Roman"/>
                <w:b/>
                <w:color w:val="auto"/>
                <w:kern w:val="2"/>
                <w:sz w:val="21"/>
                <w:szCs w:val="24"/>
                <w:lang w:val="zh-CN" w:eastAsia="zh-CN" w:bidi="ar-SA"/>
              </w:rPr>
              <w:t xml:space="preserve">  饮食业油烟排放标准</w:t>
            </w:r>
          </w:p>
          <w:tbl>
            <w:tblPr>
              <w:tblStyle w:val="18"/>
              <w:tblW w:w="5000" w:type="pct"/>
              <w:tblInd w:w="-1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7"/>
              <w:gridCol w:w="135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4191"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规模</w:t>
                  </w:r>
                </w:p>
              </w:tc>
              <w:tc>
                <w:tcPr>
                  <w:tcW w:w="809"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小型</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1"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油烟最高允许排放浓度（mg/m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tc>
              <w:tc>
                <w:tcPr>
                  <w:tcW w:w="809"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1"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净化设施最低去除效率（%）</w:t>
                  </w:r>
                </w:p>
              </w:tc>
              <w:tc>
                <w:tcPr>
                  <w:tcW w:w="809"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60</w:t>
                  </w:r>
                </w:p>
              </w:tc>
            </w:tr>
          </w:tbl>
          <w:p>
            <w:pPr>
              <w:keepNext w:val="0"/>
              <w:keepLines w:val="0"/>
              <w:pageBreakBefore w:val="0"/>
              <w:widowControl w:val="0"/>
              <w:kinsoku/>
              <w:wordWrap/>
              <w:overflowPunct/>
              <w:topLinePunct w:val="0"/>
              <w:autoSpaceDE/>
              <w:autoSpaceDN/>
              <w:bidi w:val="0"/>
              <w:adjustRightInd/>
              <w:snapToGrid/>
              <w:spacing w:line="360" w:lineRule="auto"/>
              <w:ind w:left="0" w:right="0"/>
              <w:contextualSpacing/>
              <w:textAlignment w:val="auto"/>
              <w:rPr>
                <w:rFonts w:hint="default" w:ascii="Times New Roman" w:hAnsi="Times New Roman" w:eastAsia="宋体" w:cs="Times New Roman"/>
                <w:b/>
                <w:color w:val="auto"/>
                <w:sz w:val="24"/>
                <w:szCs w:val="24"/>
              </w:rPr>
            </w:pPr>
            <w:r>
              <w:rPr>
                <w:rFonts w:hint="eastAsia" w:cs="Times New Roman"/>
                <w:b/>
                <w:color w:val="auto"/>
                <w:sz w:val="24"/>
                <w:szCs w:val="24"/>
                <w:lang w:val="en-US" w:eastAsia="zh-CN"/>
              </w:rPr>
              <w:t>3.16.3</w:t>
            </w:r>
            <w:r>
              <w:rPr>
                <w:rFonts w:hint="default" w:ascii="Times New Roman" w:hAnsi="Times New Roman" w:eastAsia="宋体" w:cs="Times New Roman"/>
                <w:b/>
                <w:color w:val="auto"/>
                <w:sz w:val="24"/>
                <w:szCs w:val="24"/>
              </w:rPr>
              <w:t>噪声</w:t>
            </w:r>
          </w:p>
          <w:p>
            <w:pPr>
              <w:widowControl w:val="0"/>
              <w:spacing w:beforeLines="0" w:afterLines="0" w:line="360" w:lineRule="auto"/>
              <w:ind w:firstLine="480" w:firstLineChars="200"/>
              <w:jc w:val="both"/>
              <w:rPr>
                <w:rFonts w:hint="default" w:ascii="Times New Roman" w:hAnsi="Times New Roman" w:eastAsia="宋体" w:cs="Times New Roman"/>
                <w:b/>
                <w:color w:val="auto"/>
                <w:kern w:val="2"/>
                <w:sz w:val="21"/>
                <w:szCs w:val="24"/>
                <w:lang w:val="zh-CN" w:eastAsia="zh-CN" w:bidi="ar-SA"/>
              </w:rPr>
            </w:pPr>
            <w:r>
              <w:rPr>
                <w:rFonts w:hint="default" w:ascii="Times New Roman" w:hAnsi="Times New Roman" w:eastAsia="宋体" w:cs="Times New Roman"/>
                <w:color w:val="auto"/>
                <w:kern w:val="2"/>
                <w:sz w:val="24"/>
                <w:szCs w:val="24"/>
                <w:lang w:val="en-US" w:eastAsia="zh-CN" w:bidi="ar-SA"/>
              </w:rPr>
              <w:t>施工期：执行《建筑施工场界环境噪声排放标准》（GB12523-2011）</w:t>
            </w:r>
          </w:p>
          <w:p>
            <w:pPr>
              <w:widowControl w:val="0"/>
              <w:spacing w:beforeLines="0" w:afterLines="0" w:line="240" w:lineRule="auto"/>
              <w:ind w:firstLine="422" w:firstLineChars="200"/>
              <w:jc w:val="center"/>
              <w:rPr>
                <w:rFonts w:hint="default" w:ascii="Times New Roman" w:hAnsi="Times New Roman" w:eastAsia="宋体" w:cs="Times New Roman"/>
                <w:b/>
                <w:color w:val="auto"/>
                <w:kern w:val="2"/>
                <w:sz w:val="21"/>
                <w:szCs w:val="24"/>
                <w:lang w:val="zh-CN" w:eastAsia="zh-CN" w:bidi="ar-SA"/>
              </w:rPr>
            </w:pPr>
            <w:r>
              <w:rPr>
                <w:rFonts w:hint="default" w:ascii="Times New Roman" w:hAnsi="Times New Roman" w:eastAsia="宋体" w:cs="Times New Roman"/>
                <w:b/>
                <w:color w:val="auto"/>
                <w:kern w:val="2"/>
                <w:sz w:val="21"/>
                <w:szCs w:val="24"/>
                <w:lang w:val="zh-CN" w:eastAsia="zh-CN" w:bidi="ar-SA"/>
              </w:rPr>
              <w:t>表3-</w:t>
            </w:r>
            <w:r>
              <w:rPr>
                <w:rFonts w:hint="default"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t>6</w:t>
            </w:r>
            <w:r>
              <w:rPr>
                <w:rFonts w:hint="default" w:ascii="Times New Roman" w:hAnsi="Times New Roman" w:eastAsia="宋体" w:cs="Times New Roman"/>
                <w:b/>
                <w:color w:val="auto"/>
                <w:kern w:val="2"/>
                <w:sz w:val="21"/>
                <w:szCs w:val="24"/>
                <w:lang w:val="en-US" w:eastAsia="zh-CN" w:bidi="ar-SA"/>
              </w:rPr>
              <w:t xml:space="preserve">   </w:t>
            </w:r>
            <w:r>
              <w:rPr>
                <w:rFonts w:hint="default" w:ascii="Times New Roman" w:hAnsi="Times New Roman" w:eastAsia="宋体" w:cs="Times New Roman"/>
                <w:b/>
                <w:color w:val="auto"/>
                <w:kern w:val="2"/>
                <w:sz w:val="21"/>
                <w:szCs w:val="24"/>
                <w:lang w:val="zh-CN" w:eastAsia="zh-CN" w:bidi="ar-SA"/>
              </w:rPr>
              <w:t>建筑施工场界噪声排放标准单位：dB(A)</w:t>
            </w:r>
          </w:p>
          <w:tbl>
            <w:tblPr>
              <w:tblStyle w:val="18"/>
              <w:tblW w:w="5000" w:type="pct"/>
              <w:tblInd w:w="-1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9"/>
              <w:gridCol w:w="2531"/>
              <w:gridCol w:w="253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1973"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时段</w:t>
                  </w:r>
                </w:p>
              </w:tc>
              <w:tc>
                <w:tcPr>
                  <w:tcW w:w="1514"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昼间</w:t>
                  </w:r>
                </w:p>
              </w:tc>
              <w:tc>
                <w:tcPr>
                  <w:tcW w:w="1513"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夜间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73"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标准值</w:t>
                  </w:r>
                </w:p>
              </w:tc>
              <w:tc>
                <w:tcPr>
                  <w:tcW w:w="1514"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70</w:t>
                  </w:r>
                </w:p>
              </w:tc>
              <w:tc>
                <w:tcPr>
                  <w:tcW w:w="1513"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55</w:t>
                  </w:r>
                </w:p>
              </w:tc>
            </w:tr>
          </w:tbl>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运营期：执行《工业企业厂界环境噪声排放标准》（GB12348-2008）2类标准。</w:t>
            </w:r>
          </w:p>
          <w:p>
            <w:pPr>
              <w:widowControl w:val="0"/>
              <w:spacing w:beforeLines="0" w:afterLines="0" w:line="240" w:lineRule="auto"/>
              <w:ind w:firstLine="422" w:firstLineChars="200"/>
              <w:jc w:val="center"/>
              <w:rPr>
                <w:rFonts w:hint="default" w:ascii="Times New Roman" w:hAnsi="Times New Roman" w:eastAsia="宋体" w:cs="Times New Roman"/>
                <w:b/>
                <w:color w:val="auto"/>
                <w:kern w:val="2"/>
                <w:sz w:val="21"/>
                <w:szCs w:val="24"/>
                <w:lang w:val="zh-CN" w:eastAsia="zh-CN" w:bidi="ar-SA"/>
              </w:rPr>
            </w:pPr>
            <w:r>
              <w:rPr>
                <w:rFonts w:hint="default" w:ascii="Times New Roman" w:hAnsi="Times New Roman" w:eastAsia="宋体" w:cs="Times New Roman"/>
                <w:b/>
                <w:color w:val="auto"/>
                <w:kern w:val="2"/>
                <w:sz w:val="21"/>
                <w:szCs w:val="24"/>
                <w:lang w:val="zh-CN" w:eastAsia="zh-CN" w:bidi="ar-SA"/>
              </w:rPr>
              <w:t>表3-</w:t>
            </w:r>
            <w:r>
              <w:rPr>
                <w:rFonts w:hint="default"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t>7</w:t>
            </w:r>
            <w:r>
              <w:rPr>
                <w:rFonts w:hint="default" w:ascii="Times New Roman" w:hAnsi="Times New Roman" w:eastAsia="宋体" w:cs="Times New Roman"/>
                <w:b/>
                <w:color w:val="auto"/>
                <w:kern w:val="2"/>
                <w:sz w:val="21"/>
                <w:szCs w:val="24"/>
                <w:lang w:val="en-US" w:eastAsia="zh-CN" w:bidi="ar-SA"/>
              </w:rPr>
              <w:t xml:space="preserve">  </w:t>
            </w:r>
            <w:r>
              <w:rPr>
                <w:rFonts w:hint="default" w:ascii="Times New Roman" w:hAnsi="Times New Roman" w:eastAsia="宋体" w:cs="Times New Roman"/>
                <w:b/>
                <w:color w:val="auto"/>
                <w:kern w:val="2"/>
                <w:sz w:val="21"/>
                <w:szCs w:val="24"/>
                <w:lang w:val="zh-CN" w:eastAsia="zh-CN" w:bidi="ar-SA"/>
              </w:rPr>
              <w:t xml:space="preserve"> 工业企业厂界环境噪声排放标准单位：dB(A)</w:t>
            </w:r>
          </w:p>
          <w:tbl>
            <w:tblPr>
              <w:tblStyle w:val="18"/>
              <w:tblW w:w="5000"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0"/>
              <w:gridCol w:w="2510"/>
              <w:gridCol w:w="251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1997"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时段</w:t>
                  </w:r>
                </w:p>
              </w:tc>
              <w:tc>
                <w:tcPr>
                  <w:tcW w:w="1501"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昼间</w:t>
                  </w:r>
                </w:p>
              </w:tc>
              <w:tc>
                <w:tcPr>
                  <w:tcW w:w="1501"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夜间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997"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标准值</w:t>
                  </w:r>
                </w:p>
              </w:tc>
              <w:tc>
                <w:tcPr>
                  <w:tcW w:w="1501"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60</w:t>
                  </w:r>
                </w:p>
              </w:tc>
              <w:tc>
                <w:tcPr>
                  <w:tcW w:w="1501"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50</w:t>
                  </w:r>
                </w:p>
              </w:tc>
            </w:tr>
          </w:tbl>
          <w:p>
            <w:pPr>
              <w:keepNext w:val="0"/>
              <w:keepLines w:val="0"/>
              <w:pageBreakBefore w:val="0"/>
              <w:widowControl w:val="0"/>
              <w:kinsoku/>
              <w:wordWrap/>
              <w:overflowPunct/>
              <w:topLinePunct w:val="0"/>
              <w:autoSpaceDE/>
              <w:autoSpaceDN/>
              <w:bidi w:val="0"/>
              <w:adjustRightInd/>
              <w:snapToGrid/>
              <w:spacing w:beforeLines="0" w:afterLines="0" w:line="360" w:lineRule="auto"/>
              <w:jc w:val="both"/>
              <w:textAlignment w:val="auto"/>
              <w:rPr>
                <w:rFonts w:hint="default" w:ascii="Times New Roman" w:hAnsi="Times New Roman" w:eastAsia="宋体" w:cs="Times New Roman"/>
                <w:b/>
                <w:color w:val="auto"/>
                <w:kern w:val="2"/>
                <w:sz w:val="24"/>
                <w:szCs w:val="24"/>
                <w:lang w:val="en-US" w:eastAsia="zh-CN" w:bidi="ar-SA"/>
              </w:rPr>
            </w:pPr>
            <w:r>
              <w:rPr>
                <w:rFonts w:hint="eastAsia" w:cs="Times New Roman"/>
                <w:b/>
                <w:color w:val="auto"/>
                <w:kern w:val="2"/>
                <w:sz w:val="24"/>
                <w:szCs w:val="24"/>
                <w:lang w:val="en-US" w:eastAsia="zh-CN" w:bidi="ar-SA"/>
              </w:rPr>
              <w:t>3.16.4</w:t>
            </w:r>
            <w:r>
              <w:rPr>
                <w:rFonts w:hint="default" w:ascii="Times New Roman" w:hAnsi="Times New Roman" w:eastAsia="宋体" w:cs="Times New Roman"/>
                <w:b/>
                <w:color w:val="auto"/>
                <w:kern w:val="2"/>
                <w:sz w:val="24"/>
                <w:szCs w:val="24"/>
                <w:lang w:val="en-US" w:eastAsia="zh-CN" w:bidi="ar-SA"/>
              </w:rPr>
              <w:t>工频电场、工频磁场</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本项目属于交流输变电项目，工作频率为50Hz，根据《电磁环境控制限值》（GB8702-2014），工频电场采用公众曝露电场强度控制限值4KV/m；工频磁场采用公众曝露磁感应强度控制限值100μT为评价标准。</w:t>
            </w:r>
          </w:p>
          <w:p>
            <w:pPr>
              <w:keepNext w:val="0"/>
              <w:keepLines w:val="0"/>
              <w:pageBreakBefore w:val="0"/>
              <w:widowControl w:val="0"/>
              <w:kinsoku/>
              <w:wordWrap/>
              <w:overflowPunct/>
              <w:topLinePunct w:val="0"/>
              <w:autoSpaceDE/>
              <w:autoSpaceDN/>
              <w:bidi w:val="0"/>
              <w:adjustRightInd/>
              <w:snapToGrid/>
              <w:spacing w:beforeLines="0" w:afterLines="0" w:line="360" w:lineRule="auto"/>
              <w:jc w:val="both"/>
              <w:textAlignment w:val="auto"/>
              <w:rPr>
                <w:rFonts w:hint="default" w:ascii="Times New Roman" w:hAnsi="Times New Roman" w:eastAsia="宋体" w:cs="Times New Roman"/>
                <w:b/>
                <w:color w:val="auto"/>
                <w:kern w:val="2"/>
                <w:sz w:val="24"/>
                <w:szCs w:val="24"/>
                <w:lang w:val="en-US" w:eastAsia="zh-CN" w:bidi="ar-SA"/>
              </w:rPr>
            </w:pPr>
            <w:r>
              <w:rPr>
                <w:rFonts w:hint="eastAsia" w:cs="Times New Roman"/>
                <w:b/>
                <w:color w:val="auto"/>
                <w:kern w:val="2"/>
                <w:sz w:val="24"/>
                <w:szCs w:val="24"/>
                <w:lang w:val="en-US" w:eastAsia="zh-CN" w:bidi="ar-SA"/>
              </w:rPr>
              <w:t>3.16.5</w:t>
            </w:r>
            <w:r>
              <w:rPr>
                <w:rFonts w:hint="default" w:ascii="Times New Roman" w:hAnsi="Times New Roman" w:eastAsia="宋体" w:cs="Times New Roman"/>
                <w:b/>
                <w:color w:val="auto"/>
                <w:kern w:val="2"/>
                <w:sz w:val="24"/>
                <w:szCs w:val="24"/>
                <w:lang w:val="en-US" w:eastAsia="zh-CN" w:bidi="ar-SA"/>
              </w:rPr>
              <w:t>固废标准</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施工期以及运营期产生的固体废弃物，</w:t>
            </w:r>
            <w:r>
              <w:rPr>
                <w:rFonts w:hint="eastAsia" w:ascii="Times New Roman" w:hAnsi="Times New Roman" w:eastAsia="宋体" w:cs="Times New Roman"/>
                <w:color w:val="auto"/>
                <w:kern w:val="2"/>
                <w:sz w:val="24"/>
                <w:szCs w:val="24"/>
                <w:lang w:val="en-US" w:eastAsia="zh-CN" w:bidi="ar-SA"/>
              </w:rPr>
              <w:t>暂存</w:t>
            </w:r>
            <w:r>
              <w:rPr>
                <w:rFonts w:hint="default" w:ascii="Times New Roman" w:hAnsi="Times New Roman" w:eastAsia="宋体" w:cs="Times New Roman"/>
                <w:color w:val="auto"/>
                <w:kern w:val="2"/>
                <w:sz w:val="24"/>
                <w:szCs w:val="24"/>
                <w:lang w:val="en-US" w:eastAsia="zh-CN" w:bidi="ar-SA"/>
              </w:rPr>
              <w:t>过程执行《一般工业固体废物贮存和填埋污染控制标准》</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GB 18599-2020</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要求。</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olor w:val="auto"/>
                <w:sz w:val="24"/>
                <w:lang w:val="en-US" w:eastAsia="zh-CN"/>
              </w:rPr>
            </w:pPr>
            <w:r>
              <w:rPr>
                <w:rFonts w:hint="default" w:ascii="Times New Roman" w:hAnsi="Times New Roman" w:eastAsia="宋体" w:cs="Times New Roman"/>
                <w:color w:val="auto"/>
                <w:kern w:val="2"/>
                <w:sz w:val="24"/>
                <w:szCs w:val="24"/>
                <w:lang w:val="en-US" w:eastAsia="zh-CN" w:bidi="ar-SA"/>
              </w:rPr>
              <w:t>危险废物临时贮存时执行《危险废物贮存污染控制标准》（GB18597-2001）及其修改单（环境保护部公告2013年第36号）相关标准要求。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250" w:type="pct"/>
            <w:noWrap w:val="0"/>
            <w:vAlign w:val="center"/>
          </w:tcPr>
          <w:p>
            <w:pPr>
              <w:ind w:left="0" w:leftChars="0" w:right="0" w:rightChars="0" w:firstLine="0" w:firstLineChars="0"/>
              <w:jc w:val="center"/>
              <w:rPr>
                <w:rFonts w:hint="default" w:ascii="Times New Roman" w:hAnsi="Times New Roman" w:eastAsia="宋体"/>
                <w:color w:val="auto"/>
                <w:sz w:val="24"/>
                <w:lang w:val="en-US" w:eastAsia="zh-CN"/>
              </w:rPr>
            </w:pPr>
            <w:r>
              <w:rPr>
                <w:rFonts w:hint="default" w:ascii="Times New Roman" w:hAnsi="Times New Roman" w:eastAsia="宋体"/>
                <w:color w:val="auto"/>
                <w:sz w:val="24"/>
                <w:lang w:val="en-US" w:eastAsia="zh-CN"/>
              </w:rPr>
              <w:t>总量控制指标</w:t>
            </w:r>
          </w:p>
        </w:tc>
        <w:tc>
          <w:tcPr>
            <w:tcW w:w="475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olor w:val="auto"/>
                <w:sz w:val="24"/>
                <w:lang w:val="en-US" w:eastAsia="zh-CN"/>
              </w:rPr>
            </w:pPr>
            <w:r>
              <w:rPr>
                <w:rFonts w:hint="default" w:ascii="Times New Roman" w:hAnsi="Times New Roman" w:eastAsia="宋体"/>
                <w:color w:val="auto"/>
                <w:sz w:val="24"/>
                <w:lang w:val="en-US" w:eastAsia="zh-CN"/>
              </w:rPr>
              <w:t>根据环境保护部《关于印发&lt;建设项目主要污染物排放总量指标审核及管理暂行办法&gt;的通知》(环发[2014]197号)，需对SO</w:t>
            </w:r>
            <w:r>
              <w:rPr>
                <w:rFonts w:hint="default" w:ascii="Times New Roman" w:hAnsi="Times New Roman" w:eastAsia="宋体"/>
                <w:color w:val="auto"/>
                <w:sz w:val="24"/>
                <w:vertAlign w:val="subscript"/>
                <w:lang w:val="en-US" w:eastAsia="zh-CN"/>
              </w:rPr>
              <w:t>2</w:t>
            </w:r>
            <w:r>
              <w:rPr>
                <w:rFonts w:hint="default" w:ascii="Times New Roman" w:hAnsi="Times New Roman" w:eastAsia="宋体"/>
                <w:color w:val="auto"/>
                <w:sz w:val="24"/>
                <w:lang w:val="en-US" w:eastAsia="zh-CN"/>
              </w:rPr>
              <w:t>、NOx、COD、NH</w:t>
            </w:r>
            <w:r>
              <w:rPr>
                <w:rFonts w:hint="default" w:ascii="Times New Roman" w:hAnsi="Times New Roman" w:eastAsia="宋体"/>
                <w:color w:val="auto"/>
                <w:sz w:val="24"/>
                <w:vertAlign w:val="subscript"/>
                <w:lang w:val="en-US" w:eastAsia="zh-CN"/>
              </w:rPr>
              <w:t>3</w:t>
            </w:r>
            <w:r>
              <w:rPr>
                <w:rFonts w:hint="default" w:ascii="Times New Roman" w:hAnsi="Times New Roman" w:eastAsia="宋体"/>
                <w:color w:val="auto"/>
                <w:sz w:val="24"/>
                <w:lang w:val="en-US" w:eastAsia="zh-CN"/>
              </w:rPr>
              <w:t>-N等污染物进行总量控制。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olor w:val="auto"/>
                <w:sz w:val="24"/>
                <w:lang w:val="en-US" w:eastAsia="zh-CN"/>
              </w:rPr>
            </w:pPr>
            <w:r>
              <w:rPr>
                <w:rFonts w:hint="default" w:ascii="Times New Roman" w:hAnsi="Times New Roman" w:eastAsia="宋体"/>
                <w:color w:val="auto"/>
                <w:sz w:val="24"/>
                <w:lang w:val="en-US" w:eastAsia="zh-CN"/>
              </w:rPr>
              <w:t>本项目运营期生活污水不外排，故本项目无总量控制指标。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250" w:type="pct"/>
            <w:noWrap w:val="0"/>
            <w:vAlign w:val="center"/>
          </w:tcPr>
          <w:p>
            <w:pPr>
              <w:ind w:left="0" w:leftChars="0" w:right="0" w:rightChars="0" w:firstLine="0" w:firstLineChars="0"/>
              <w:jc w:val="center"/>
              <w:rPr>
                <w:rFonts w:hint="default" w:ascii="Times New Roman" w:hAnsi="Times New Roman" w:eastAsia="宋体"/>
                <w:color w:val="auto"/>
                <w:sz w:val="24"/>
                <w:lang w:val="en-US" w:eastAsia="zh-CN"/>
              </w:rPr>
            </w:pPr>
            <w:r>
              <w:rPr>
                <w:rFonts w:hint="default" w:ascii="Times New Roman" w:hAnsi="Times New Roman" w:eastAsia="宋体"/>
                <w:color w:val="auto"/>
                <w:sz w:val="24"/>
                <w:lang w:val="en-US" w:eastAsia="zh-CN"/>
              </w:rPr>
              <w:t>其他</w:t>
            </w:r>
          </w:p>
        </w:tc>
        <w:tc>
          <w:tcPr>
            <w:tcW w:w="475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olor w:val="auto"/>
                <w:sz w:val="24"/>
                <w:lang w:val="en-US" w:eastAsia="zh-CN"/>
              </w:rPr>
            </w:pPr>
            <w:r>
              <w:rPr>
                <w:rFonts w:hint="eastAsia" w:cs="Times New Roman"/>
                <w:color w:val="auto"/>
                <w:sz w:val="24"/>
                <w:lang w:val="en-US" w:eastAsia="zh-CN"/>
              </w:rPr>
              <w:t>无</w:t>
            </w:r>
          </w:p>
        </w:tc>
      </w:tr>
    </w:tbl>
    <w:p>
      <w:pPr>
        <w:rPr>
          <w:rFonts w:hint="default"/>
          <w:lang w:val="en-US" w:eastAsia="zh-CN"/>
        </w:rPr>
      </w:pPr>
      <w:r>
        <w:rPr>
          <w:rFonts w:hint="default"/>
          <w:lang w:val="en-US" w:eastAsia="zh-CN"/>
        </w:rPr>
        <w:br w:type="page"/>
      </w:r>
    </w:p>
    <w:p>
      <w:pPr>
        <w:widowControl/>
        <w:spacing w:before="100" w:beforeAutospacing="1" w:after="100" w:afterAutospacing="1"/>
        <w:jc w:val="center"/>
        <w:outlineLvl w:val="0"/>
        <w:rPr>
          <w:rFonts w:ascii="黑体" w:hAnsi="黑体" w:eastAsia="黑体" w:cs="Times New Roman"/>
          <w:snapToGrid w:val="0"/>
          <w:color w:val="auto"/>
          <w:kern w:val="0"/>
          <w:sz w:val="30"/>
          <w:szCs w:val="30"/>
          <w:lang w:val="en-US" w:eastAsia="zh-CN" w:bidi="ar-SA"/>
        </w:rPr>
      </w:pPr>
      <w:bookmarkStart w:id="17" w:name="_Toc20906"/>
      <w:bookmarkStart w:id="18" w:name="_Toc32549"/>
      <w:r>
        <w:rPr>
          <w:rFonts w:hint="eastAsia" w:ascii="黑体" w:hAnsi="黑体" w:eastAsia="黑体" w:cs="Times New Roman"/>
          <w:snapToGrid w:val="0"/>
          <w:color w:val="auto"/>
          <w:kern w:val="0"/>
          <w:sz w:val="30"/>
          <w:szCs w:val="30"/>
          <w:lang w:val="en-US" w:eastAsia="zh-CN" w:bidi="ar-SA"/>
        </w:rPr>
        <w:t>四、生态环境影响分析</w:t>
      </w:r>
      <w:bookmarkEnd w:id="17"/>
      <w:bookmarkEnd w:id="18"/>
    </w:p>
    <w:tbl>
      <w:tblPr>
        <w:tblStyle w:val="18"/>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83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366" w:type="pct"/>
            <w:noWrap w:val="0"/>
            <w:tcMar>
              <w:left w:w="28" w:type="dxa"/>
              <w:right w:w="28" w:type="dxa"/>
            </w:tcMar>
            <w:vAlign w:val="center"/>
          </w:tcPr>
          <w:p>
            <w:pPr>
              <w:widowControl/>
              <w:adjustRightInd w:val="0"/>
              <w:snapToGrid w:val="0"/>
              <w:spacing w:before="0" w:beforeAutospacing="0" w:after="0" w:afterAutospacing="0"/>
              <w:jc w:val="center"/>
              <w:rPr>
                <w:rFonts w:hint="default" w:ascii="Times New Roman" w:hAnsi="Times New Roman" w:eastAsia="宋体" w:cs="Times New Roman"/>
                <w:bCs/>
                <w:color w:val="auto"/>
                <w:kern w:val="2"/>
                <w:sz w:val="24"/>
                <w:szCs w:val="21"/>
                <w:lang w:val="en-US" w:eastAsia="zh-CN" w:bidi="ar-SA"/>
              </w:rPr>
            </w:pPr>
            <w:bookmarkStart w:id="19" w:name="_Hlk49796138"/>
            <w:r>
              <w:rPr>
                <w:rFonts w:hint="default" w:ascii="Times New Roman" w:hAnsi="Times New Roman" w:eastAsia="宋体" w:cs="Times New Roman"/>
                <w:bCs/>
                <w:color w:val="auto"/>
                <w:spacing w:val="10"/>
                <w:kern w:val="2"/>
                <w:sz w:val="24"/>
                <w:szCs w:val="21"/>
                <w:lang w:val="en-US" w:eastAsia="zh-CN" w:bidi="ar-SA"/>
              </w:rPr>
              <w:t>施工期生态环境影响分析</w:t>
            </w:r>
            <w:bookmarkEnd w:id="19"/>
          </w:p>
        </w:tc>
        <w:tc>
          <w:tcPr>
            <w:tcW w:w="4633" w:type="pct"/>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项目于2022年7月开工建设，2022年7月施工至今</w:t>
            </w:r>
            <w:r>
              <w:rPr>
                <w:rFonts w:hint="default" w:ascii="Times New Roman" w:hAnsi="Times New Roman" w:eastAsia="宋体" w:cs="Times New Roman"/>
                <w:color w:val="auto"/>
                <w:kern w:val="2"/>
                <w:sz w:val="24"/>
                <w:szCs w:val="24"/>
                <w:highlight w:val="none"/>
                <w:lang w:val="zh-CN" w:eastAsia="zh-CN" w:bidi="ar-SA"/>
              </w:rPr>
              <w:t>未造成任何环境污染事故，未发生环境纠纷，未收到过任何环保投诉</w:t>
            </w:r>
            <w:r>
              <w:rPr>
                <w:rFonts w:hint="eastAsia" w:ascii="Times New Roman" w:hAnsi="Times New Roman" w:eastAsia="宋体" w:cs="Times New Roman"/>
                <w:color w:val="auto"/>
                <w:kern w:val="2"/>
                <w:sz w:val="24"/>
                <w:szCs w:val="24"/>
                <w:highlight w:val="none"/>
                <w:lang w:val="zh-CN" w:eastAsia="zh-CN" w:bidi="ar-SA"/>
              </w:rPr>
              <w:t>，</w:t>
            </w:r>
            <w:r>
              <w:rPr>
                <w:rFonts w:hint="eastAsia" w:ascii="Times New Roman" w:hAnsi="Times New Roman" w:eastAsia="宋体" w:cs="Times New Roman"/>
                <w:color w:val="auto"/>
                <w:kern w:val="2"/>
                <w:sz w:val="24"/>
                <w:szCs w:val="24"/>
                <w:highlight w:val="none"/>
                <w:lang w:val="en-US" w:eastAsia="zh-CN" w:bidi="ar-SA"/>
              </w:rPr>
              <w:t>根据现场踏勘，目前项目正在施工，建设内容未全部建成，故本次评价对施工期已经施工的部分进行回顾性评价，对未施工完的部分内容进行后续施工和运营期环境影响分析。</w:t>
            </w:r>
          </w:p>
          <w:p>
            <w:pPr>
              <w:widowControl w:val="0"/>
              <w:spacing w:beforeLines="0" w:afterLines="0" w:line="360" w:lineRule="auto"/>
              <w:ind w:firstLine="482" w:firstLineChars="200"/>
              <w:jc w:val="both"/>
              <w:rPr>
                <w:rFonts w:hint="default"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（一）</w:t>
            </w:r>
            <w:r>
              <w:rPr>
                <w:rFonts w:hint="default" w:ascii="Times New Roman" w:hAnsi="Times New Roman" w:eastAsia="宋体" w:cs="Times New Roman"/>
                <w:b/>
                <w:color w:val="auto"/>
                <w:kern w:val="2"/>
                <w:sz w:val="24"/>
                <w:szCs w:val="24"/>
                <w:lang w:val="en-US" w:eastAsia="zh-CN" w:bidi="ar-SA"/>
              </w:rPr>
              <w:t>施工期</w:t>
            </w:r>
            <w:r>
              <w:rPr>
                <w:rFonts w:hint="eastAsia" w:ascii="Times New Roman" w:hAnsi="Times New Roman" w:eastAsia="宋体" w:cs="Times New Roman"/>
                <w:b/>
                <w:color w:val="auto"/>
                <w:kern w:val="2"/>
                <w:sz w:val="24"/>
                <w:szCs w:val="24"/>
                <w:lang w:val="en-US" w:eastAsia="zh-CN" w:bidi="ar-SA"/>
              </w:rPr>
              <w:t>回顾性</w:t>
            </w:r>
            <w:r>
              <w:rPr>
                <w:rFonts w:hint="default" w:ascii="Times New Roman" w:hAnsi="Times New Roman" w:eastAsia="宋体" w:cs="Times New Roman"/>
                <w:b/>
                <w:color w:val="auto"/>
                <w:kern w:val="2"/>
                <w:sz w:val="24"/>
                <w:szCs w:val="24"/>
                <w:lang w:val="en-US" w:eastAsia="zh-CN" w:bidi="ar-SA"/>
              </w:rPr>
              <w:t>环境影响分析及措施</w:t>
            </w:r>
          </w:p>
          <w:p>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hint="default" w:ascii="Times New Roman" w:hAnsi="Times New Roman" w:eastAsia="宋体" w:cs="Times New Roman"/>
                <w:b/>
                <w:color w:val="auto"/>
                <w:sz w:val="24"/>
              </w:rPr>
            </w:pPr>
            <w:r>
              <w:rPr>
                <w:rFonts w:hint="eastAsia" w:ascii="Times New Roman" w:hAnsi="Times New Roman" w:eastAsia="宋体" w:cs="Times New Roman"/>
                <w:bCs/>
                <w:color w:val="auto"/>
                <w:spacing w:val="10"/>
                <w:sz w:val="24"/>
                <w:highlight w:val="none"/>
                <w:lang w:val="en-US" w:eastAsia="zh-CN"/>
              </w:rPr>
              <w:t>根据现场踏勘，目前正在施工中，光伏板区电池板完成大部分施工，升压站主体建筑正在进行土建施工，现阶段已设置环保措施为2辆洒水车、各片区施工场地分别设置了1个20m</w:t>
            </w:r>
            <w:r>
              <w:rPr>
                <w:rFonts w:hint="eastAsia" w:ascii="Times New Roman" w:hAnsi="Times New Roman" w:eastAsia="宋体" w:cs="Times New Roman"/>
                <w:bCs/>
                <w:color w:val="auto"/>
                <w:spacing w:val="10"/>
                <w:sz w:val="24"/>
                <w:highlight w:val="none"/>
                <w:vertAlign w:val="superscript"/>
                <w:lang w:val="en-US" w:eastAsia="zh-CN"/>
              </w:rPr>
              <w:t>3</w:t>
            </w:r>
            <w:r>
              <w:rPr>
                <w:rFonts w:hint="eastAsia" w:ascii="Times New Roman" w:hAnsi="Times New Roman" w:eastAsia="宋体" w:cs="Times New Roman"/>
                <w:bCs/>
                <w:color w:val="auto"/>
                <w:spacing w:val="10"/>
                <w:sz w:val="24"/>
                <w:highlight w:val="none"/>
                <w:vertAlign w:val="baseline"/>
                <w:lang w:val="en-US" w:eastAsia="zh-CN"/>
              </w:rPr>
              <w:t>的沉淀池、</w:t>
            </w:r>
            <w:r>
              <w:rPr>
                <w:rFonts w:hint="eastAsia" w:ascii="Times New Roman" w:hAnsi="Times New Roman" w:eastAsia="宋体" w:cs="Times New Roman"/>
                <w:bCs/>
                <w:color w:val="auto"/>
                <w:spacing w:val="10"/>
                <w:sz w:val="24"/>
                <w:highlight w:val="none"/>
                <w:lang w:val="en-US" w:eastAsia="zh-CN"/>
              </w:rPr>
              <w:t>建筑材料临时堆放点设置</w:t>
            </w:r>
            <w:r>
              <w:rPr>
                <w:rFonts w:hint="default" w:ascii="Times New Roman" w:hAnsi="Times New Roman" w:eastAsia="宋体" w:cs="Times New Roman"/>
                <w:bCs/>
                <w:color w:val="auto"/>
                <w:spacing w:val="10"/>
                <w:sz w:val="24"/>
                <w:highlight w:val="none"/>
                <w:lang w:val="en-US" w:eastAsia="zh-CN"/>
              </w:rPr>
              <w:t>苫布</w:t>
            </w:r>
            <w:r>
              <w:rPr>
                <w:rFonts w:hint="eastAsia" w:ascii="Times New Roman" w:hAnsi="Times New Roman" w:eastAsia="宋体" w:cs="Times New Roman"/>
                <w:bCs/>
                <w:color w:val="auto"/>
                <w:spacing w:val="10"/>
                <w:sz w:val="24"/>
                <w:highlight w:val="none"/>
                <w:lang w:val="en-US" w:eastAsia="zh-CN"/>
              </w:rPr>
              <w:t>遮盖措施、施工期开挖的部分土石方已及时回填、运输粉料车辆已采取了覆盖篷布等措施、升压站施工区及光伏板区已设置了排水沟及临时沉砂池、施工弃渣已采取定点堆放，并对渣体边坡进行了修整、施工场地设置了旱厕收集施工人员粪便污水，施工人员生活垃圾设置了临时堆放点，统一收集后运至附近村庄垃圾收集点处理。综上，项目区废水、废气、固废、噪声均有相应防护措施，项目施工对周围环境影响小。</w:t>
            </w:r>
          </w:p>
          <w:p>
            <w:pPr>
              <w:widowControl w:val="0"/>
              <w:spacing w:beforeLines="0" w:afterLines="0" w:line="360" w:lineRule="auto"/>
              <w:ind w:firstLine="482" w:firstLineChars="200"/>
              <w:jc w:val="both"/>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w:t>
            </w:r>
            <w:r>
              <w:rPr>
                <w:rFonts w:hint="eastAsia" w:ascii="Times New Roman" w:hAnsi="Times New Roman" w:eastAsia="宋体" w:cs="Times New Roman"/>
                <w:b/>
                <w:color w:val="auto"/>
                <w:kern w:val="2"/>
                <w:sz w:val="24"/>
                <w:szCs w:val="24"/>
                <w:lang w:val="en-US" w:eastAsia="zh-CN" w:bidi="ar-SA"/>
              </w:rPr>
              <w:t>二</w:t>
            </w:r>
            <w:r>
              <w:rPr>
                <w:rFonts w:hint="default" w:ascii="Times New Roman" w:hAnsi="Times New Roman" w:eastAsia="宋体" w:cs="Times New Roman"/>
                <w:b/>
                <w:color w:val="auto"/>
                <w:kern w:val="2"/>
                <w:sz w:val="24"/>
                <w:szCs w:val="24"/>
                <w:lang w:val="en-US" w:eastAsia="zh-CN" w:bidi="ar-SA"/>
              </w:rPr>
              <w:t>）</w:t>
            </w:r>
            <w:r>
              <w:rPr>
                <w:rFonts w:hint="eastAsia" w:ascii="Times New Roman" w:hAnsi="Times New Roman" w:eastAsia="宋体" w:cs="Times New Roman"/>
                <w:b/>
                <w:color w:val="auto"/>
                <w:kern w:val="2"/>
                <w:sz w:val="24"/>
                <w:szCs w:val="24"/>
                <w:lang w:val="en-US" w:eastAsia="zh-CN" w:bidi="ar-SA"/>
              </w:rPr>
              <w:t>后续</w:t>
            </w:r>
            <w:r>
              <w:rPr>
                <w:rFonts w:hint="default" w:ascii="Times New Roman" w:hAnsi="Times New Roman" w:eastAsia="宋体" w:cs="Times New Roman"/>
                <w:b/>
                <w:color w:val="auto"/>
                <w:kern w:val="2"/>
                <w:sz w:val="24"/>
                <w:szCs w:val="24"/>
                <w:lang w:val="en-US" w:eastAsia="zh-CN" w:bidi="ar-SA"/>
              </w:rPr>
              <w:t>施工环境影响分析</w:t>
            </w:r>
          </w:p>
          <w:p>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hint="eastAsia" w:ascii="Times New Roman" w:hAnsi="Times New Roman" w:eastAsia="宋体" w:cs="Times New Roman"/>
                <w:bCs/>
                <w:color w:val="auto"/>
                <w:spacing w:val="10"/>
                <w:sz w:val="24"/>
                <w:highlight w:val="none"/>
                <w:lang w:val="en-US" w:eastAsia="zh-CN"/>
              </w:rPr>
            </w:pPr>
            <w:r>
              <w:rPr>
                <w:rFonts w:hint="eastAsia" w:ascii="Times New Roman" w:hAnsi="Times New Roman" w:eastAsia="宋体" w:cs="Times New Roman"/>
                <w:bCs/>
                <w:color w:val="auto"/>
                <w:spacing w:val="10"/>
                <w:sz w:val="24"/>
                <w:highlight w:val="none"/>
                <w:lang w:val="en-US" w:eastAsia="zh-CN"/>
              </w:rPr>
              <w:t>项目在用地范围内分片区施工，剩余施工内容</w:t>
            </w:r>
            <w:r>
              <w:rPr>
                <w:rFonts w:hint="default" w:ascii="Times New Roman" w:hAnsi="Times New Roman" w:eastAsia="宋体" w:cs="Times New Roman"/>
                <w:bCs/>
                <w:color w:val="auto"/>
                <w:spacing w:val="10"/>
                <w:sz w:val="24"/>
                <w:highlight w:val="none"/>
                <w:lang w:val="en-US" w:eastAsia="zh-CN"/>
              </w:rPr>
              <w:t>为场内和场外道路施工，太阳能电池阵列区场地平整、基础施工、临时表土堆场、排水沟、临时施工场地、升压站的建设；电缆敷设、集电线路</w:t>
            </w:r>
            <w:r>
              <w:rPr>
                <w:rFonts w:hint="eastAsia" w:ascii="Times New Roman" w:hAnsi="Times New Roman" w:eastAsia="宋体" w:cs="Times New Roman"/>
                <w:bCs/>
                <w:color w:val="auto"/>
                <w:spacing w:val="10"/>
                <w:sz w:val="24"/>
                <w:highlight w:val="none"/>
                <w:lang w:val="en-US" w:eastAsia="zh-CN"/>
              </w:rPr>
              <w:t>敷设</w:t>
            </w:r>
            <w:r>
              <w:rPr>
                <w:rFonts w:hint="default" w:ascii="Times New Roman" w:hAnsi="Times New Roman" w:eastAsia="宋体" w:cs="Times New Roman"/>
                <w:bCs/>
                <w:color w:val="auto"/>
                <w:spacing w:val="10"/>
                <w:sz w:val="24"/>
                <w:highlight w:val="none"/>
                <w:lang w:val="en-US" w:eastAsia="zh-CN"/>
              </w:rPr>
              <w:t>、太阳能电池板及电气设备的安装。项目在道路修建、土石方开挖及回填、建设施工材料运输时将产生粉尘，施工过程中施工机械将产生噪声，建设过程中还将产生建筑垃圾等固体废弃物等，同时施工中将破坏地表植被和产生水土流失等。</w:t>
            </w:r>
          </w:p>
          <w:p>
            <w:pPr>
              <w:adjustRightInd w:val="0"/>
              <w:snapToGrid w:val="0"/>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4.1施工期生态环境影响分析</w:t>
            </w:r>
          </w:p>
          <w:p>
            <w:pPr>
              <w:adjustRightInd w:val="0"/>
              <w:snapToGrid w:val="0"/>
              <w:spacing w:line="360" w:lineRule="auto"/>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4.1.1</w:t>
            </w:r>
            <w:r>
              <w:rPr>
                <w:rFonts w:hint="eastAsia" w:ascii="Times New Roman" w:hAnsi="Times New Roman" w:eastAsia="宋体" w:cs="Times New Roman"/>
                <w:b/>
                <w:color w:val="auto"/>
                <w:kern w:val="0"/>
                <w:sz w:val="24"/>
                <w:lang w:val="en-US" w:eastAsia="zh-CN"/>
              </w:rPr>
              <w:t>生态</w:t>
            </w:r>
            <w:r>
              <w:rPr>
                <w:rFonts w:hint="default" w:ascii="Times New Roman" w:hAnsi="Times New Roman" w:eastAsia="宋体" w:cs="Times New Roman"/>
                <w:b/>
                <w:color w:val="auto"/>
                <w:kern w:val="0"/>
                <w:sz w:val="24"/>
              </w:rPr>
              <w:t>境影响分析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1、施工期生态环境影响</w:t>
            </w:r>
          </w:p>
          <w:p>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hint="default" w:ascii="Times New Roman" w:hAnsi="Times New Roman" w:eastAsia="宋体" w:cs="Times New Roman"/>
                <w:bCs/>
                <w:color w:val="auto"/>
                <w:spacing w:val="10"/>
                <w:sz w:val="24"/>
                <w:highlight w:val="none"/>
                <w:lang w:val="en-US" w:eastAsia="zh-CN"/>
              </w:rPr>
            </w:pPr>
            <w:r>
              <w:rPr>
                <w:rFonts w:hint="default" w:ascii="Times New Roman" w:hAnsi="Times New Roman" w:eastAsia="宋体" w:cs="Times New Roman"/>
                <w:bCs/>
                <w:color w:val="auto"/>
                <w:spacing w:val="10"/>
                <w:sz w:val="24"/>
                <w:highlight w:val="none"/>
                <w:lang w:val="en-US" w:eastAsia="zh-CN"/>
              </w:rPr>
              <w:t>项目施工对附近区域植被的影响主要是表现在土地占用导致土地利用类型的改变，同时地表开挖、清理对地表植被的破坏的影响及水土流失几个方面。</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（1）土地利用类型的改变</w:t>
            </w:r>
          </w:p>
          <w:p>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hint="default" w:ascii="Times New Roman" w:hAnsi="Times New Roman" w:eastAsia="宋体" w:cs="Times New Roman"/>
                <w:bCs/>
                <w:color w:val="auto"/>
                <w:spacing w:val="10"/>
                <w:sz w:val="24"/>
                <w:highlight w:val="none"/>
                <w:lang w:val="en-US" w:eastAsia="zh-CN"/>
              </w:rPr>
            </w:pPr>
            <w:r>
              <w:rPr>
                <w:rFonts w:hint="default" w:ascii="Times New Roman" w:hAnsi="Times New Roman" w:eastAsia="宋体" w:cs="Times New Roman"/>
                <w:bCs/>
                <w:color w:val="auto"/>
                <w:spacing w:val="10"/>
                <w:sz w:val="24"/>
                <w:highlight w:val="none"/>
                <w:lang w:val="en-US" w:eastAsia="zh-CN"/>
              </w:rPr>
              <w:t>1）本项目占用土地类型以林草覆盖率较低的灌木林地、草地为主</w:t>
            </w:r>
            <w:r>
              <w:rPr>
                <w:rFonts w:hint="eastAsia" w:ascii="Times New Roman" w:hAnsi="Times New Roman" w:eastAsia="宋体" w:cs="Times New Roman"/>
                <w:bCs/>
                <w:color w:val="auto"/>
                <w:spacing w:val="10"/>
                <w:sz w:val="24"/>
                <w:highlight w:val="none"/>
                <w:lang w:val="en-US" w:eastAsia="zh-CN"/>
              </w:rPr>
              <w:t>，占地内林地为集体林地</w:t>
            </w:r>
            <w:r>
              <w:rPr>
                <w:rFonts w:hint="default" w:ascii="Times New Roman" w:hAnsi="Times New Roman" w:eastAsia="宋体" w:cs="Times New Roman"/>
                <w:bCs/>
                <w:color w:val="auto"/>
                <w:spacing w:val="10"/>
                <w:sz w:val="24"/>
                <w:highlight w:val="none"/>
                <w:lang w:val="en-US" w:eastAsia="zh-CN"/>
              </w:rPr>
              <w:t>，存在一定的原生水土流失，占用林草覆盖率高、水土保持功能强的有林地面积小，</w:t>
            </w:r>
            <w:r>
              <w:rPr>
                <w:rFonts w:hint="eastAsia" w:ascii="Times New Roman" w:hAnsi="Times New Roman" w:eastAsia="宋体" w:cs="Times New Roman"/>
                <w:bCs/>
                <w:color w:val="auto"/>
                <w:spacing w:val="10"/>
                <w:sz w:val="24"/>
                <w:highlight w:val="none"/>
                <w:lang w:val="en-US" w:eastAsia="zh-CN"/>
              </w:rPr>
              <w:t>项目的建设</w:t>
            </w:r>
            <w:r>
              <w:rPr>
                <w:rFonts w:hint="default" w:ascii="Times New Roman" w:hAnsi="Times New Roman" w:eastAsia="宋体" w:cs="Times New Roman"/>
                <w:bCs/>
                <w:color w:val="auto"/>
                <w:spacing w:val="10"/>
                <w:sz w:val="24"/>
                <w:highlight w:val="none"/>
                <w:lang w:val="en-US" w:eastAsia="zh-CN"/>
              </w:rPr>
              <w:t>较大程度减小了对当地的水土保持和生态环境造成的影响。</w:t>
            </w:r>
          </w:p>
          <w:p>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hint="default" w:ascii="Times New Roman" w:hAnsi="Times New Roman" w:eastAsia="宋体" w:cs="Times New Roman"/>
                <w:bCs/>
                <w:color w:val="auto"/>
                <w:spacing w:val="10"/>
                <w:sz w:val="24"/>
                <w:highlight w:val="none"/>
                <w:lang w:val="en-US" w:eastAsia="zh-CN"/>
              </w:rPr>
            </w:pPr>
            <w:r>
              <w:rPr>
                <w:rFonts w:hint="default" w:ascii="Times New Roman" w:hAnsi="Times New Roman" w:eastAsia="宋体" w:cs="Times New Roman"/>
                <w:bCs/>
                <w:color w:val="auto"/>
                <w:spacing w:val="10"/>
                <w:sz w:val="24"/>
                <w:highlight w:val="none"/>
                <w:lang w:val="en-US" w:eastAsia="zh-CN"/>
              </w:rPr>
              <w:t>2）本项目为</w:t>
            </w:r>
            <w:r>
              <w:rPr>
                <w:rFonts w:hint="eastAsia" w:ascii="Times New Roman" w:hAnsi="Times New Roman" w:eastAsia="宋体" w:cs="Times New Roman"/>
                <w:bCs/>
                <w:color w:val="auto"/>
                <w:spacing w:val="10"/>
                <w:sz w:val="24"/>
                <w:highlight w:val="none"/>
                <w:lang w:val="en-US" w:eastAsia="zh-CN"/>
              </w:rPr>
              <w:t>“农</w:t>
            </w:r>
            <w:r>
              <w:rPr>
                <w:rFonts w:hint="default" w:ascii="Times New Roman" w:hAnsi="Times New Roman" w:eastAsia="宋体" w:cs="Times New Roman"/>
                <w:bCs/>
                <w:color w:val="auto"/>
                <w:spacing w:val="10"/>
                <w:sz w:val="24"/>
                <w:highlight w:val="none"/>
                <w:lang w:val="en-US" w:eastAsia="zh-CN"/>
              </w:rPr>
              <w:t>光互补</w:t>
            </w:r>
            <w:r>
              <w:rPr>
                <w:rFonts w:hint="eastAsia" w:ascii="Times New Roman" w:hAnsi="Times New Roman" w:eastAsia="宋体" w:cs="Times New Roman"/>
                <w:bCs/>
                <w:color w:val="auto"/>
                <w:spacing w:val="10"/>
                <w:sz w:val="24"/>
                <w:highlight w:val="none"/>
                <w:lang w:val="en-US" w:eastAsia="zh-CN"/>
              </w:rPr>
              <w:t>”</w:t>
            </w:r>
            <w:r>
              <w:rPr>
                <w:rFonts w:hint="default" w:ascii="Times New Roman" w:hAnsi="Times New Roman" w:eastAsia="宋体" w:cs="Times New Roman"/>
                <w:bCs/>
                <w:color w:val="auto"/>
                <w:spacing w:val="10"/>
                <w:sz w:val="24"/>
                <w:highlight w:val="none"/>
                <w:lang w:val="en-US" w:eastAsia="zh-CN"/>
              </w:rPr>
              <w:t>式光伏电站，建成后利用光伏支架下部空间以及光伏支架之间间隙种植</w:t>
            </w:r>
            <w:r>
              <w:rPr>
                <w:rFonts w:hint="eastAsia" w:ascii="Times New Roman" w:hAnsi="Times New Roman" w:eastAsia="宋体" w:cs="Times New Roman"/>
                <w:bCs/>
                <w:color w:val="auto"/>
                <w:spacing w:val="10"/>
                <w:sz w:val="24"/>
                <w:highlight w:val="none"/>
                <w:lang w:val="en-US" w:eastAsia="zh-CN"/>
              </w:rPr>
              <w:t>草本类经济作物</w:t>
            </w:r>
            <w:r>
              <w:rPr>
                <w:rFonts w:hint="default" w:ascii="Times New Roman" w:hAnsi="Times New Roman" w:eastAsia="宋体" w:cs="Times New Roman"/>
                <w:bCs/>
                <w:color w:val="auto"/>
                <w:spacing w:val="10"/>
                <w:sz w:val="24"/>
                <w:highlight w:val="none"/>
                <w:lang w:val="en-US" w:eastAsia="zh-CN"/>
              </w:rPr>
              <w:t>、恢复植被，确保不改变占用宜林地的林地性质，对当地的水土保持和生态环境造成的影响能够得到恢复补偿。</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（2）对植被和植物的影响分析</w:t>
            </w:r>
          </w:p>
          <w:p>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hint="default" w:ascii="Times New Roman" w:hAnsi="Times New Roman" w:eastAsia="宋体" w:cs="Times New Roman"/>
                <w:bCs/>
                <w:color w:val="auto"/>
                <w:spacing w:val="10"/>
                <w:sz w:val="24"/>
                <w:highlight w:val="none"/>
                <w:lang w:val="en-US" w:eastAsia="zh-CN"/>
              </w:rPr>
            </w:pPr>
            <w:r>
              <w:rPr>
                <w:rFonts w:hint="default" w:ascii="Times New Roman" w:hAnsi="Times New Roman" w:eastAsia="宋体" w:cs="Times New Roman"/>
                <w:bCs/>
                <w:color w:val="auto"/>
                <w:spacing w:val="10"/>
                <w:sz w:val="24"/>
                <w:highlight w:val="none"/>
                <w:lang w:val="en-US" w:eastAsia="zh-CN"/>
              </w:rPr>
              <w:t>项目建设对地表植被的破坏主要表现在升压站、场内道路、集线电路、支架基础建设过程中对原有的地表进行清理平整过程中对现有的地表植被进行清理，导致原有地表植被不复存在。</w:t>
            </w:r>
          </w:p>
          <w:p>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hint="default" w:ascii="Times New Roman" w:hAnsi="Times New Roman" w:eastAsia="宋体" w:cs="Times New Roman"/>
                <w:bCs/>
                <w:color w:val="auto"/>
                <w:spacing w:val="10"/>
                <w:sz w:val="24"/>
                <w:highlight w:val="none"/>
                <w:lang w:val="en-US" w:eastAsia="zh-CN"/>
              </w:rPr>
            </w:pPr>
            <w:r>
              <w:rPr>
                <w:rFonts w:hint="default" w:ascii="Times New Roman" w:hAnsi="Times New Roman" w:eastAsia="宋体" w:cs="Times New Roman"/>
                <w:bCs/>
                <w:color w:val="auto"/>
                <w:spacing w:val="10"/>
                <w:sz w:val="24"/>
                <w:highlight w:val="none"/>
                <w:lang w:val="en-US" w:eastAsia="zh-CN"/>
              </w:rPr>
              <w:t>由工程分析可知项目所在区植物覆盖率较小，无国家和地方重点保护野生植物分布。项目的建设会对植物生境范围减小，项目区将会架起大量的太阳能光伏组件，这些组件遮光影响大面积的区域。光伏项目实施后，项目区原有的植被会受到较大影响，但由于项目区占地范围内自然条件较差，植物资源较少，现状植被主要是稀树灌草丛和灌丛等，生产力较低，对当地植物资源的数量及利用方式产生影响很小。</w:t>
            </w:r>
          </w:p>
          <w:p>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hint="default" w:ascii="Times New Roman" w:hAnsi="Times New Roman" w:eastAsia="宋体" w:cs="Times New Roman"/>
                <w:bCs/>
                <w:color w:val="auto"/>
                <w:spacing w:val="10"/>
                <w:sz w:val="24"/>
                <w:highlight w:val="none"/>
                <w:lang w:val="en-US" w:eastAsia="zh-CN"/>
              </w:rPr>
            </w:pPr>
            <w:r>
              <w:rPr>
                <w:rFonts w:hint="default" w:ascii="Times New Roman" w:hAnsi="Times New Roman" w:eastAsia="宋体" w:cs="Times New Roman"/>
                <w:bCs/>
                <w:color w:val="auto"/>
                <w:spacing w:val="10"/>
                <w:sz w:val="24"/>
                <w:highlight w:val="none"/>
                <w:lang w:val="en-US" w:eastAsia="zh-CN"/>
              </w:rPr>
              <w:t>项目区植物均为周围环境常见种类，不会造成植物种类灭绝。根据《国家重点保护野生植物名录（第一批）》（1999年），《中国植物红皮书-稀有濒危植物（第一册）》（1992年）、《云南省第一批省级重点保护野生植物名录》（1989年）等资料，评价区内未发现国家级和省级保护植物。拟建项目区内无狭域特有动物和植物，项目建设施工对保护动植物无影响。项目建设期间将对光伏阵列下方及露天空隙进行土地翻整，原有植被将会被部分铲除，建设期间区域植被覆盖率会下降。但随着</w:t>
            </w:r>
            <w:r>
              <w:rPr>
                <w:rFonts w:hint="eastAsia" w:ascii="Times New Roman" w:hAnsi="Times New Roman" w:eastAsia="宋体" w:cs="Times New Roman"/>
                <w:bCs/>
                <w:color w:val="auto"/>
                <w:spacing w:val="10"/>
                <w:sz w:val="24"/>
                <w:highlight w:val="none"/>
                <w:lang w:val="en-US" w:eastAsia="zh-CN"/>
              </w:rPr>
              <w:t>农业</w:t>
            </w:r>
            <w:r>
              <w:rPr>
                <w:rFonts w:hint="default" w:ascii="Times New Roman" w:hAnsi="Times New Roman" w:eastAsia="宋体" w:cs="Times New Roman"/>
                <w:bCs/>
                <w:color w:val="auto"/>
                <w:spacing w:val="10"/>
                <w:sz w:val="24"/>
                <w:highlight w:val="none"/>
                <w:lang w:val="en-US" w:eastAsia="zh-CN"/>
              </w:rPr>
              <w:t>工程实施后，植被覆盖率会得到恢复。</w:t>
            </w:r>
          </w:p>
          <w:p>
            <w:pPr>
              <w:autoSpaceDE w:val="0"/>
              <w:autoSpaceDN w:val="0"/>
              <w:spacing w:line="360" w:lineRule="auto"/>
              <w:ind w:firstLine="482" w:firstLineChars="200"/>
              <w:jc w:val="left"/>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（3）对动物的影响分析</w:t>
            </w:r>
          </w:p>
          <w:p>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hint="default" w:ascii="Times New Roman" w:hAnsi="Times New Roman" w:eastAsia="宋体" w:cs="Times New Roman"/>
                <w:bCs/>
                <w:color w:val="auto"/>
                <w:spacing w:val="10"/>
                <w:sz w:val="24"/>
                <w:highlight w:val="none"/>
                <w:lang w:val="en-US" w:eastAsia="zh-CN"/>
              </w:rPr>
            </w:pPr>
            <w:r>
              <w:rPr>
                <w:rFonts w:hint="default" w:ascii="Times New Roman" w:hAnsi="Times New Roman" w:eastAsia="宋体" w:cs="Times New Roman"/>
                <w:bCs/>
                <w:color w:val="auto"/>
                <w:spacing w:val="10"/>
                <w:sz w:val="24"/>
                <w:highlight w:val="none"/>
                <w:lang w:val="en-US" w:eastAsia="zh-CN"/>
              </w:rPr>
              <w:t>工程对陆生脊椎动物的影响主要表现在施工占地和开挖对生境的破坏，以及施工机械噪声的干扰等。由于爬行动物活动范围狭小，施工占地和开挖将可能破坏蛇目种类的洞穴和栖息地，迫使它们向外迁移寻找新的栖息场所；兽类因活动能力较强，受到施工干扰后将会迁移到较远的安全地带，场区无大型兽类的活动踪迹，主要为啮齿类小型种类，该类动物受到影响后会远离项目区至其他山体进行觅食。鸟类具有较强的趋避能力，会飞离项目区，重新寻找周边新的适宜生境和栖息地，因此，电站施工和运行不会造成当地鸟类物种灭绝或数量锐减，也不会造成鸟类多样性的明显降低。</w:t>
            </w:r>
          </w:p>
          <w:p>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hint="default" w:ascii="Times New Roman" w:hAnsi="Times New Roman" w:eastAsia="宋体" w:cs="Times New Roman"/>
                <w:bCs/>
                <w:color w:val="auto"/>
                <w:spacing w:val="10"/>
                <w:sz w:val="24"/>
                <w:highlight w:val="none"/>
                <w:lang w:val="en-US" w:eastAsia="zh-CN"/>
              </w:rPr>
            </w:pPr>
            <w:r>
              <w:rPr>
                <w:rFonts w:hint="default" w:ascii="Times New Roman" w:hAnsi="Times New Roman" w:eastAsia="宋体" w:cs="Times New Roman"/>
                <w:bCs/>
                <w:color w:val="auto"/>
                <w:spacing w:val="10"/>
                <w:sz w:val="24"/>
                <w:highlight w:val="none"/>
                <w:lang w:val="en-US" w:eastAsia="zh-CN"/>
              </w:rPr>
              <w:t>从长远看，陆生脊椎动物的物种多样性不会有可预见的较大变化，动物在施工活动等各种干扰增大的条件下均可以逃离而不致造成个体死亡。动物原来的栖息地丧失迫使动物外迁，但由于当地大多数动物密度不高，且被破坏的栖息地在当地所占比例有限，所以项目建设对区域内野生动物的间接影响并不严重。</w:t>
            </w:r>
          </w:p>
          <w:p>
            <w:pPr>
              <w:keepNext w:val="0"/>
              <w:keepLines w:val="0"/>
              <w:pageBreakBefore w:val="0"/>
              <w:widowControl w:val="0"/>
              <w:kinsoku/>
              <w:wordWrap/>
              <w:overflowPunct/>
              <w:topLinePunct w:val="0"/>
              <w:autoSpaceDE w:val="0"/>
              <w:autoSpaceDN w:val="0"/>
              <w:bidi w:val="0"/>
              <w:adjustRightInd/>
              <w:snapToGrid/>
              <w:spacing w:line="360" w:lineRule="auto"/>
              <w:ind w:firstLine="522" w:firstLineChars="200"/>
              <w:jc w:val="left"/>
              <w:textAlignment w:val="auto"/>
              <w:rPr>
                <w:rFonts w:hint="default" w:ascii="Times New Roman" w:hAnsi="Times New Roman" w:eastAsia="宋体" w:cs="Times New Roman"/>
                <w:b/>
                <w:bCs/>
                <w:snapToGrid w:val="0"/>
                <w:color w:val="auto"/>
                <w:spacing w:val="10"/>
                <w:sz w:val="24"/>
                <w:lang w:val="en-US" w:eastAsia="zh-CN"/>
              </w:rPr>
            </w:pPr>
            <w:r>
              <w:rPr>
                <w:rFonts w:hint="default" w:ascii="Times New Roman" w:hAnsi="Times New Roman" w:eastAsia="宋体" w:cs="Times New Roman"/>
                <w:b/>
                <w:bCs/>
                <w:snapToGrid w:val="0"/>
                <w:color w:val="auto"/>
                <w:spacing w:val="10"/>
                <w:sz w:val="24"/>
                <w:lang w:eastAsia="zh-CN"/>
              </w:rPr>
              <w:t>（</w:t>
            </w:r>
            <w:r>
              <w:rPr>
                <w:rFonts w:hint="default" w:ascii="Times New Roman" w:hAnsi="Times New Roman" w:eastAsia="宋体" w:cs="Times New Roman"/>
                <w:b/>
                <w:bCs/>
                <w:snapToGrid w:val="0"/>
                <w:color w:val="auto"/>
                <w:spacing w:val="10"/>
                <w:sz w:val="24"/>
                <w:lang w:val="en-US" w:eastAsia="zh-CN"/>
              </w:rPr>
              <w:t>4</w:t>
            </w:r>
            <w:r>
              <w:rPr>
                <w:rFonts w:hint="default" w:ascii="Times New Roman" w:hAnsi="Times New Roman" w:eastAsia="宋体" w:cs="Times New Roman"/>
                <w:b/>
                <w:bCs/>
                <w:snapToGrid w:val="0"/>
                <w:color w:val="auto"/>
                <w:spacing w:val="10"/>
                <w:sz w:val="24"/>
                <w:lang w:eastAsia="zh-CN"/>
              </w:rPr>
              <w:t>）</w:t>
            </w:r>
            <w:r>
              <w:rPr>
                <w:rFonts w:hint="default" w:ascii="Times New Roman" w:hAnsi="Times New Roman" w:eastAsia="宋体" w:cs="Times New Roman"/>
                <w:b/>
                <w:bCs/>
                <w:snapToGrid w:val="0"/>
                <w:color w:val="auto"/>
                <w:spacing w:val="10"/>
                <w:sz w:val="24"/>
              </w:rPr>
              <w:t>水土流失影响</w:t>
            </w:r>
            <w:r>
              <w:rPr>
                <w:rFonts w:hint="default" w:ascii="Times New Roman" w:hAnsi="Times New Roman" w:eastAsia="宋体" w:cs="Times New Roman"/>
                <w:b/>
                <w:bCs/>
                <w:snapToGrid w:val="0"/>
                <w:color w:val="auto"/>
                <w:spacing w:val="10"/>
                <w:sz w:val="24"/>
                <w:lang w:val="en-US" w:eastAsia="zh-CN"/>
              </w:rPr>
              <w:t>分析</w:t>
            </w:r>
          </w:p>
          <w:p>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hint="default" w:ascii="Times New Roman" w:hAnsi="Times New Roman" w:eastAsia="宋体" w:cs="Times New Roman"/>
                <w:bCs/>
                <w:color w:val="auto"/>
                <w:spacing w:val="10"/>
                <w:sz w:val="24"/>
                <w:highlight w:val="none"/>
                <w:lang w:val="en-US" w:eastAsia="zh-CN"/>
              </w:rPr>
            </w:pPr>
            <w:r>
              <w:rPr>
                <w:rFonts w:hint="default" w:ascii="Times New Roman" w:hAnsi="Times New Roman" w:eastAsia="宋体" w:cs="Times New Roman"/>
                <w:bCs/>
                <w:color w:val="auto"/>
                <w:spacing w:val="10"/>
                <w:sz w:val="24"/>
                <w:highlight w:val="none"/>
                <w:lang w:val="en-US" w:eastAsia="zh-CN"/>
              </w:rPr>
              <w:t>根据《</w:t>
            </w:r>
            <w:r>
              <w:rPr>
                <w:rFonts w:hint="eastAsia" w:ascii="Times New Roman" w:hAnsi="Times New Roman" w:eastAsia="宋体" w:cs="Times New Roman"/>
                <w:bCs/>
                <w:color w:val="auto"/>
                <w:spacing w:val="10"/>
                <w:sz w:val="24"/>
                <w:highlight w:val="none"/>
                <w:lang w:val="en-US" w:eastAsia="zh-CN"/>
              </w:rPr>
              <w:t>华能元谋马头地光伏电站项目</w:t>
            </w:r>
            <w:r>
              <w:rPr>
                <w:rFonts w:hint="default" w:ascii="Times New Roman" w:hAnsi="Times New Roman" w:eastAsia="宋体" w:cs="Times New Roman"/>
                <w:bCs/>
                <w:color w:val="auto"/>
                <w:spacing w:val="10"/>
                <w:sz w:val="24"/>
                <w:highlight w:val="none"/>
                <w:lang w:val="en-US" w:eastAsia="zh-CN"/>
              </w:rPr>
              <w:t>水土保持方案</w:t>
            </w:r>
            <w:r>
              <w:rPr>
                <w:rFonts w:hint="eastAsia" w:ascii="Times New Roman" w:hAnsi="Times New Roman" w:eastAsia="宋体" w:cs="Times New Roman"/>
                <w:bCs/>
                <w:color w:val="auto"/>
                <w:spacing w:val="10"/>
                <w:sz w:val="24"/>
                <w:highlight w:val="none"/>
                <w:lang w:val="en-US" w:eastAsia="zh-CN"/>
              </w:rPr>
              <w:t>变更</w:t>
            </w:r>
            <w:r>
              <w:rPr>
                <w:rFonts w:hint="default" w:ascii="Times New Roman" w:hAnsi="Times New Roman" w:eastAsia="宋体" w:cs="Times New Roman"/>
                <w:bCs/>
                <w:color w:val="auto"/>
                <w:spacing w:val="10"/>
                <w:sz w:val="24"/>
                <w:highlight w:val="none"/>
                <w:lang w:val="en-US" w:eastAsia="zh-CN"/>
              </w:rPr>
              <w:t>报告书》可知，工程建设造成的水土流失主要类型为水力侵蚀，水土流失的预测时段为项目施工期和自然恢复期；工程建设过程中共</w:t>
            </w:r>
            <w:r>
              <w:rPr>
                <w:rFonts w:hint="eastAsia" w:ascii="Times New Roman" w:hAnsi="Times New Roman" w:eastAsia="宋体" w:cs="Times New Roman"/>
                <w:bCs/>
                <w:color w:val="auto"/>
                <w:spacing w:val="10"/>
                <w:sz w:val="24"/>
                <w:highlight w:val="none"/>
                <w:lang w:val="en-US" w:eastAsia="zh-CN"/>
              </w:rPr>
              <w:t>计开挖土石方19.00万</w:t>
            </w:r>
            <w:r>
              <w:rPr>
                <w:rFonts w:hint="default" w:ascii="Times New Roman" w:hAnsi="Times New Roman" w:eastAsia="宋体" w:cs="Times New Roman"/>
                <w:bCs/>
                <w:color w:val="auto"/>
                <w:spacing w:val="10"/>
                <w:sz w:val="24"/>
                <w:highlight w:val="none"/>
                <w:lang w:val="en-US" w:eastAsia="zh-CN"/>
              </w:rPr>
              <w:t>m</w:t>
            </w:r>
            <w:r>
              <w:rPr>
                <w:rFonts w:hint="default" w:ascii="Times New Roman" w:hAnsi="Times New Roman" w:eastAsia="宋体" w:cs="Times New Roman"/>
                <w:bCs/>
                <w:color w:val="auto"/>
                <w:spacing w:val="10"/>
                <w:sz w:val="24"/>
                <w:highlight w:val="none"/>
                <w:vertAlign w:val="superscript"/>
                <w:lang w:val="en-US" w:eastAsia="zh-CN"/>
              </w:rPr>
              <w:t>3</w:t>
            </w:r>
            <w:r>
              <w:rPr>
                <w:rFonts w:hint="default" w:ascii="Times New Roman" w:hAnsi="Times New Roman" w:eastAsia="宋体" w:cs="Times New Roman"/>
                <w:bCs/>
                <w:color w:val="auto"/>
                <w:spacing w:val="10"/>
                <w:sz w:val="24"/>
                <w:highlight w:val="none"/>
                <w:lang w:val="en-US" w:eastAsia="zh-CN"/>
              </w:rPr>
              <w:t>，</w:t>
            </w:r>
            <w:r>
              <w:rPr>
                <w:rFonts w:hint="eastAsia" w:ascii="Times New Roman" w:hAnsi="Times New Roman" w:eastAsia="宋体" w:cs="Times New Roman"/>
                <w:bCs/>
                <w:color w:val="auto"/>
                <w:spacing w:val="10"/>
                <w:sz w:val="24"/>
                <w:highlight w:val="none"/>
                <w:lang w:val="en-US" w:eastAsia="zh-CN"/>
              </w:rPr>
              <w:t>回填土石方19.60万</w:t>
            </w:r>
            <w:r>
              <w:rPr>
                <w:rFonts w:hint="default" w:ascii="Times New Roman" w:hAnsi="Times New Roman" w:eastAsia="宋体" w:cs="Times New Roman"/>
                <w:bCs/>
                <w:color w:val="auto"/>
                <w:spacing w:val="10"/>
                <w:sz w:val="24"/>
                <w:highlight w:val="none"/>
                <w:lang w:val="en-US" w:eastAsia="zh-CN"/>
              </w:rPr>
              <w:t>m</w:t>
            </w:r>
            <w:r>
              <w:rPr>
                <w:rFonts w:hint="default" w:ascii="Times New Roman" w:hAnsi="Times New Roman" w:eastAsia="宋体" w:cs="Times New Roman"/>
                <w:bCs/>
                <w:color w:val="auto"/>
                <w:spacing w:val="10"/>
                <w:sz w:val="24"/>
                <w:highlight w:val="none"/>
                <w:vertAlign w:val="superscript"/>
                <w:lang w:val="en-US" w:eastAsia="zh-CN"/>
              </w:rPr>
              <w:t>3</w:t>
            </w:r>
            <w:r>
              <w:rPr>
                <w:rFonts w:hint="default" w:ascii="Times New Roman" w:hAnsi="Times New Roman" w:eastAsia="宋体" w:cs="Times New Roman"/>
                <w:bCs/>
                <w:color w:val="auto"/>
                <w:spacing w:val="10"/>
                <w:sz w:val="24"/>
                <w:highlight w:val="none"/>
                <w:lang w:val="en-US" w:eastAsia="zh-CN"/>
              </w:rPr>
              <w:t>，</w:t>
            </w:r>
            <w:r>
              <w:rPr>
                <w:rFonts w:hint="eastAsia" w:ascii="Times New Roman" w:hAnsi="Times New Roman" w:eastAsia="宋体" w:cs="Times New Roman"/>
                <w:bCs/>
                <w:color w:val="auto"/>
                <w:spacing w:val="10"/>
                <w:sz w:val="24"/>
                <w:highlight w:val="none"/>
                <w:lang w:val="en-US" w:eastAsia="zh-CN"/>
              </w:rPr>
              <w:t>项目区内部调运平衡1.14万</w:t>
            </w:r>
            <w:r>
              <w:rPr>
                <w:rFonts w:hint="default" w:ascii="Times New Roman" w:hAnsi="Times New Roman" w:eastAsia="宋体" w:cs="Times New Roman"/>
                <w:bCs/>
                <w:color w:val="auto"/>
                <w:spacing w:val="10"/>
                <w:sz w:val="24"/>
                <w:highlight w:val="none"/>
                <w:lang w:val="en-US" w:eastAsia="zh-CN"/>
              </w:rPr>
              <w:t>m</w:t>
            </w:r>
            <w:r>
              <w:rPr>
                <w:rFonts w:hint="default" w:ascii="Times New Roman" w:hAnsi="Times New Roman" w:eastAsia="宋体" w:cs="Times New Roman"/>
                <w:bCs/>
                <w:color w:val="auto"/>
                <w:spacing w:val="10"/>
                <w:sz w:val="24"/>
                <w:highlight w:val="none"/>
                <w:vertAlign w:val="superscript"/>
                <w:lang w:val="en-US" w:eastAsia="zh-CN"/>
              </w:rPr>
              <w:t>3</w:t>
            </w:r>
            <w:r>
              <w:rPr>
                <w:rFonts w:hint="eastAsia" w:ascii="Times New Roman" w:hAnsi="Times New Roman" w:eastAsia="宋体" w:cs="Times New Roman"/>
                <w:bCs/>
                <w:color w:val="auto"/>
                <w:spacing w:val="10"/>
                <w:sz w:val="24"/>
                <w:highlight w:val="none"/>
                <w:lang w:val="en-US" w:eastAsia="zh-CN"/>
              </w:rPr>
              <w:t>，外借3.17万</w:t>
            </w:r>
            <w:r>
              <w:rPr>
                <w:rFonts w:hint="default" w:ascii="Times New Roman" w:hAnsi="Times New Roman" w:eastAsia="宋体" w:cs="Times New Roman"/>
                <w:bCs/>
                <w:color w:val="auto"/>
                <w:spacing w:val="10"/>
                <w:sz w:val="24"/>
                <w:highlight w:val="none"/>
                <w:lang w:val="en-US" w:eastAsia="zh-CN"/>
              </w:rPr>
              <w:t>m</w:t>
            </w:r>
            <w:r>
              <w:rPr>
                <w:rFonts w:hint="default" w:ascii="Times New Roman" w:hAnsi="Times New Roman" w:eastAsia="宋体" w:cs="Times New Roman"/>
                <w:bCs/>
                <w:color w:val="auto"/>
                <w:spacing w:val="10"/>
                <w:sz w:val="24"/>
                <w:highlight w:val="none"/>
                <w:vertAlign w:val="superscript"/>
                <w:lang w:val="en-US" w:eastAsia="zh-CN"/>
              </w:rPr>
              <w:t>3</w:t>
            </w:r>
            <w:r>
              <w:rPr>
                <w:rFonts w:hint="eastAsia" w:ascii="Times New Roman" w:hAnsi="Times New Roman" w:eastAsia="宋体" w:cs="Times New Roman"/>
                <w:bCs/>
                <w:color w:val="auto"/>
                <w:spacing w:val="10"/>
                <w:sz w:val="24"/>
                <w:highlight w:val="none"/>
                <w:lang w:val="en-US" w:eastAsia="zh-CN"/>
              </w:rPr>
              <w:t>，最终产生弃渣2.57万</w:t>
            </w:r>
            <w:r>
              <w:rPr>
                <w:rFonts w:hint="default" w:ascii="Times New Roman" w:hAnsi="Times New Roman" w:eastAsia="宋体" w:cs="Times New Roman"/>
                <w:bCs/>
                <w:color w:val="auto"/>
                <w:spacing w:val="10"/>
                <w:sz w:val="24"/>
                <w:highlight w:val="none"/>
                <w:lang w:val="en-US" w:eastAsia="zh-CN"/>
              </w:rPr>
              <w:t>m</w:t>
            </w:r>
            <w:r>
              <w:rPr>
                <w:rFonts w:hint="default" w:ascii="Times New Roman" w:hAnsi="Times New Roman" w:eastAsia="宋体" w:cs="Times New Roman"/>
                <w:bCs/>
                <w:color w:val="auto"/>
                <w:spacing w:val="10"/>
                <w:sz w:val="24"/>
                <w:highlight w:val="none"/>
                <w:vertAlign w:val="superscript"/>
                <w:lang w:val="en-US" w:eastAsia="zh-CN"/>
              </w:rPr>
              <w:t>3</w:t>
            </w:r>
            <w:r>
              <w:rPr>
                <w:rFonts w:hint="eastAsia" w:ascii="Times New Roman" w:hAnsi="Times New Roman" w:eastAsia="宋体" w:cs="Times New Roman"/>
                <w:bCs/>
                <w:color w:val="auto"/>
                <w:spacing w:val="10"/>
                <w:sz w:val="24"/>
                <w:highlight w:val="none"/>
                <w:lang w:val="en-US" w:eastAsia="zh-CN"/>
              </w:rPr>
              <w:t>，全部运往弃渣场堆存</w:t>
            </w:r>
            <w:r>
              <w:rPr>
                <w:rFonts w:hint="default" w:ascii="Times New Roman" w:hAnsi="Times New Roman" w:eastAsia="宋体" w:cs="Times New Roman"/>
                <w:bCs/>
                <w:color w:val="auto"/>
                <w:spacing w:val="10"/>
                <w:sz w:val="24"/>
                <w:highlight w:val="none"/>
                <w:lang w:val="en-US" w:eastAsia="zh-CN"/>
              </w:rPr>
              <w:t>。</w:t>
            </w:r>
            <w:r>
              <w:rPr>
                <w:rFonts w:hint="eastAsia" w:ascii="Times New Roman" w:hAnsi="Times New Roman" w:eastAsia="宋体" w:cs="Times New Roman"/>
                <w:bCs/>
                <w:color w:val="auto"/>
                <w:spacing w:val="10"/>
                <w:sz w:val="24"/>
                <w:highlight w:val="none"/>
                <w:lang w:val="en-US" w:eastAsia="zh-CN"/>
              </w:rPr>
              <w:t>本工程</w:t>
            </w:r>
            <w:r>
              <w:rPr>
                <w:rFonts w:hint="default" w:ascii="Times New Roman" w:hAnsi="Times New Roman" w:eastAsia="宋体" w:cs="Times New Roman"/>
                <w:bCs/>
                <w:color w:val="auto"/>
                <w:spacing w:val="10"/>
                <w:sz w:val="24"/>
                <w:highlight w:val="none"/>
                <w:lang w:val="en-US" w:eastAsia="zh-CN"/>
              </w:rPr>
              <w:t>损坏植被面积</w:t>
            </w:r>
            <w:r>
              <w:rPr>
                <w:rFonts w:hint="eastAsia" w:ascii="Times New Roman" w:hAnsi="Times New Roman" w:eastAsia="宋体" w:cs="Times New Roman"/>
                <w:bCs/>
                <w:color w:val="auto"/>
                <w:spacing w:val="10"/>
                <w:sz w:val="24"/>
                <w:highlight w:val="none"/>
                <w:lang w:val="en-US" w:eastAsia="zh-CN"/>
              </w:rPr>
              <w:t>23.21</w:t>
            </w:r>
            <w:r>
              <w:rPr>
                <w:rFonts w:hint="default" w:ascii="Times New Roman" w:hAnsi="Times New Roman" w:eastAsia="宋体" w:cs="Times New Roman"/>
                <w:bCs/>
                <w:color w:val="auto"/>
                <w:spacing w:val="10"/>
                <w:sz w:val="24"/>
                <w:highlight w:val="none"/>
                <w:lang w:val="en-US" w:eastAsia="zh-CN"/>
              </w:rPr>
              <w:t>hm</w:t>
            </w:r>
            <w:r>
              <w:rPr>
                <w:rFonts w:hint="default" w:ascii="Times New Roman" w:hAnsi="Times New Roman" w:eastAsia="宋体" w:cs="Times New Roman"/>
                <w:bCs/>
                <w:color w:val="auto"/>
                <w:spacing w:val="10"/>
                <w:sz w:val="24"/>
                <w:highlight w:val="none"/>
                <w:vertAlign w:val="superscript"/>
                <w:lang w:val="en-US" w:eastAsia="zh-CN"/>
              </w:rPr>
              <w:t>2</w:t>
            </w:r>
            <w:r>
              <w:rPr>
                <w:rFonts w:hint="default" w:ascii="Times New Roman" w:hAnsi="Times New Roman" w:eastAsia="宋体" w:cs="Times New Roman"/>
                <w:bCs/>
                <w:color w:val="auto"/>
                <w:spacing w:val="10"/>
                <w:sz w:val="24"/>
                <w:highlight w:val="none"/>
                <w:lang w:val="en-US" w:eastAsia="zh-CN"/>
              </w:rPr>
              <w:t>；</w:t>
            </w:r>
            <w:r>
              <w:rPr>
                <w:rFonts w:hint="eastAsia" w:ascii="Times New Roman" w:hAnsi="Times New Roman" w:eastAsia="宋体" w:cs="Times New Roman"/>
                <w:bCs/>
                <w:color w:val="auto"/>
                <w:spacing w:val="10"/>
                <w:sz w:val="24"/>
                <w:highlight w:val="none"/>
                <w:lang w:val="en-US" w:eastAsia="zh-CN"/>
              </w:rPr>
              <w:t>工程</w:t>
            </w:r>
            <w:r>
              <w:rPr>
                <w:rFonts w:hint="default" w:ascii="Times New Roman" w:hAnsi="Times New Roman" w:eastAsia="宋体" w:cs="Times New Roman"/>
                <w:bCs/>
                <w:color w:val="auto"/>
                <w:spacing w:val="10"/>
                <w:sz w:val="24"/>
                <w:highlight w:val="none"/>
                <w:lang w:val="en-US" w:eastAsia="zh-CN"/>
              </w:rPr>
              <w:t>扰动</w:t>
            </w:r>
            <w:r>
              <w:rPr>
                <w:rFonts w:hint="eastAsia" w:ascii="Times New Roman" w:hAnsi="Times New Roman" w:eastAsia="宋体" w:cs="Times New Roman"/>
                <w:bCs/>
                <w:color w:val="auto"/>
                <w:spacing w:val="10"/>
                <w:sz w:val="24"/>
                <w:highlight w:val="none"/>
                <w:lang w:val="en-US" w:eastAsia="zh-CN"/>
              </w:rPr>
              <w:t>原地貌、损坏土地</w:t>
            </w:r>
            <w:r>
              <w:rPr>
                <w:rFonts w:hint="default" w:ascii="Times New Roman" w:hAnsi="Times New Roman" w:eastAsia="宋体" w:cs="Times New Roman"/>
                <w:bCs/>
                <w:color w:val="auto"/>
                <w:spacing w:val="10"/>
                <w:sz w:val="24"/>
                <w:highlight w:val="none"/>
                <w:lang w:val="en-US" w:eastAsia="zh-CN"/>
              </w:rPr>
              <w:t>面积为</w:t>
            </w:r>
            <w:r>
              <w:rPr>
                <w:rFonts w:hint="eastAsia" w:ascii="Times New Roman" w:hAnsi="Times New Roman" w:eastAsia="宋体" w:cs="Times New Roman"/>
                <w:bCs/>
                <w:color w:val="auto"/>
                <w:spacing w:val="10"/>
                <w:sz w:val="24"/>
                <w:highlight w:val="none"/>
                <w:lang w:val="en-US" w:eastAsia="zh-CN"/>
              </w:rPr>
              <w:t>26.20</w:t>
            </w:r>
            <w:r>
              <w:rPr>
                <w:rFonts w:hint="default" w:ascii="Times New Roman" w:hAnsi="Times New Roman" w:eastAsia="宋体" w:cs="Times New Roman"/>
                <w:bCs/>
                <w:color w:val="auto"/>
                <w:spacing w:val="10"/>
                <w:sz w:val="24"/>
                <w:highlight w:val="none"/>
                <w:lang w:val="en-US" w:eastAsia="zh-CN"/>
              </w:rPr>
              <w:t>hm</w:t>
            </w:r>
            <w:r>
              <w:rPr>
                <w:rFonts w:hint="default" w:ascii="Times New Roman" w:hAnsi="Times New Roman" w:eastAsia="宋体" w:cs="Times New Roman"/>
                <w:bCs/>
                <w:color w:val="auto"/>
                <w:spacing w:val="10"/>
                <w:sz w:val="24"/>
                <w:highlight w:val="none"/>
                <w:vertAlign w:val="superscript"/>
                <w:lang w:val="en-US" w:eastAsia="zh-CN"/>
              </w:rPr>
              <w:t>2</w:t>
            </w:r>
            <w:r>
              <w:rPr>
                <w:rFonts w:hint="default" w:ascii="Times New Roman" w:hAnsi="Times New Roman" w:eastAsia="宋体" w:cs="Times New Roman"/>
                <w:bCs/>
                <w:color w:val="auto"/>
                <w:spacing w:val="10"/>
                <w:sz w:val="24"/>
                <w:highlight w:val="none"/>
                <w:lang w:val="en-US" w:eastAsia="zh-CN"/>
              </w:rPr>
              <w:t>，分析时段内可能造成水土流失面积为</w:t>
            </w:r>
            <w:r>
              <w:rPr>
                <w:rFonts w:hint="eastAsia" w:ascii="Times New Roman" w:hAnsi="Times New Roman" w:eastAsia="宋体" w:cs="Times New Roman"/>
                <w:bCs/>
                <w:color w:val="auto"/>
                <w:spacing w:val="10"/>
                <w:sz w:val="24"/>
                <w:highlight w:val="none"/>
                <w:lang w:val="en-US" w:eastAsia="zh-CN"/>
              </w:rPr>
              <w:t>26.20</w:t>
            </w:r>
            <w:r>
              <w:rPr>
                <w:rFonts w:hint="default" w:ascii="Times New Roman" w:hAnsi="Times New Roman" w:eastAsia="宋体" w:cs="Times New Roman"/>
                <w:bCs/>
                <w:color w:val="auto"/>
                <w:spacing w:val="10"/>
                <w:sz w:val="24"/>
                <w:highlight w:val="none"/>
                <w:lang w:val="en-US" w:eastAsia="zh-CN"/>
              </w:rPr>
              <w:t>hm</w:t>
            </w:r>
            <w:r>
              <w:rPr>
                <w:rFonts w:hint="default" w:ascii="Times New Roman" w:hAnsi="Times New Roman" w:eastAsia="宋体" w:cs="Times New Roman"/>
                <w:bCs/>
                <w:color w:val="auto"/>
                <w:spacing w:val="10"/>
                <w:sz w:val="24"/>
                <w:highlight w:val="none"/>
                <w:vertAlign w:val="superscript"/>
                <w:lang w:val="en-US" w:eastAsia="zh-CN"/>
              </w:rPr>
              <w:t>2</w:t>
            </w:r>
            <w:r>
              <w:rPr>
                <w:rFonts w:hint="default" w:ascii="Times New Roman" w:hAnsi="Times New Roman" w:eastAsia="宋体" w:cs="Times New Roman"/>
                <w:bCs/>
                <w:color w:val="auto"/>
                <w:spacing w:val="10"/>
                <w:sz w:val="24"/>
                <w:highlight w:val="none"/>
                <w:lang w:val="en-US" w:eastAsia="zh-CN"/>
              </w:rPr>
              <w:t>，施工期可能造成水土流失面积为</w:t>
            </w:r>
            <w:r>
              <w:rPr>
                <w:rFonts w:hint="eastAsia" w:ascii="Times New Roman" w:hAnsi="Times New Roman" w:eastAsia="宋体" w:cs="Times New Roman"/>
                <w:bCs/>
                <w:color w:val="auto"/>
                <w:spacing w:val="10"/>
                <w:sz w:val="24"/>
                <w:highlight w:val="none"/>
                <w:lang w:val="en-US" w:eastAsia="zh-CN"/>
              </w:rPr>
              <w:t>26.20</w:t>
            </w:r>
            <w:r>
              <w:rPr>
                <w:rFonts w:hint="default" w:ascii="Times New Roman" w:hAnsi="Times New Roman" w:eastAsia="宋体" w:cs="Times New Roman"/>
                <w:bCs/>
                <w:color w:val="auto"/>
                <w:spacing w:val="10"/>
                <w:sz w:val="24"/>
                <w:highlight w:val="none"/>
                <w:lang w:val="en-US" w:eastAsia="zh-CN"/>
              </w:rPr>
              <w:t>hm</w:t>
            </w:r>
            <w:r>
              <w:rPr>
                <w:rFonts w:hint="default" w:ascii="Times New Roman" w:hAnsi="Times New Roman" w:eastAsia="宋体" w:cs="Times New Roman"/>
                <w:bCs/>
                <w:color w:val="auto"/>
                <w:spacing w:val="10"/>
                <w:sz w:val="24"/>
                <w:highlight w:val="none"/>
                <w:vertAlign w:val="superscript"/>
                <w:lang w:val="en-US" w:eastAsia="zh-CN"/>
              </w:rPr>
              <w:t>2</w:t>
            </w:r>
            <w:r>
              <w:rPr>
                <w:rFonts w:hint="default" w:ascii="Times New Roman" w:hAnsi="Times New Roman" w:eastAsia="宋体" w:cs="Times New Roman"/>
                <w:bCs/>
                <w:color w:val="auto"/>
                <w:spacing w:val="10"/>
                <w:sz w:val="24"/>
                <w:highlight w:val="none"/>
                <w:lang w:val="en-US" w:eastAsia="zh-CN"/>
              </w:rPr>
              <w:t>，自然恢复期可能造成水土流失面积为</w:t>
            </w:r>
            <w:r>
              <w:rPr>
                <w:rFonts w:hint="eastAsia" w:ascii="Times New Roman" w:hAnsi="Times New Roman" w:eastAsia="宋体" w:cs="Times New Roman"/>
                <w:bCs/>
                <w:color w:val="auto"/>
                <w:spacing w:val="10"/>
                <w:sz w:val="24"/>
                <w:highlight w:val="none"/>
                <w:lang w:val="en-US" w:eastAsia="zh-CN"/>
              </w:rPr>
              <w:t>26.20</w:t>
            </w:r>
            <w:r>
              <w:rPr>
                <w:rFonts w:hint="default" w:ascii="Times New Roman" w:hAnsi="Times New Roman" w:eastAsia="宋体" w:cs="Times New Roman"/>
                <w:bCs/>
                <w:color w:val="auto"/>
                <w:spacing w:val="10"/>
                <w:sz w:val="24"/>
                <w:highlight w:val="none"/>
                <w:lang w:val="en-US" w:eastAsia="zh-CN"/>
              </w:rPr>
              <w:t>hm</w:t>
            </w:r>
            <w:r>
              <w:rPr>
                <w:rFonts w:hint="default" w:ascii="Times New Roman" w:hAnsi="Times New Roman" w:eastAsia="宋体" w:cs="Times New Roman"/>
                <w:bCs/>
                <w:color w:val="auto"/>
                <w:spacing w:val="10"/>
                <w:sz w:val="24"/>
                <w:highlight w:val="none"/>
                <w:vertAlign w:val="superscript"/>
                <w:lang w:val="en-US" w:eastAsia="zh-CN"/>
              </w:rPr>
              <w:t>2</w:t>
            </w:r>
            <w:r>
              <w:rPr>
                <w:rFonts w:hint="default" w:ascii="Times New Roman" w:hAnsi="Times New Roman" w:eastAsia="宋体" w:cs="Times New Roman"/>
                <w:bCs/>
                <w:color w:val="auto"/>
                <w:spacing w:val="10"/>
                <w:sz w:val="24"/>
                <w:highlight w:val="none"/>
                <w:lang w:val="en-US" w:eastAsia="zh-CN"/>
              </w:rPr>
              <w:t>；项目区</w:t>
            </w:r>
            <w:r>
              <w:rPr>
                <w:rFonts w:hint="eastAsia" w:ascii="Times New Roman" w:hAnsi="Times New Roman" w:eastAsia="宋体" w:cs="Times New Roman"/>
                <w:bCs/>
                <w:color w:val="auto"/>
                <w:spacing w:val="10"/>
                <w:sz w:val="24"/>
                <w:highlight w:val="none"/>
                <w:lang w:val="en-US" w:eastAsia="zh-CN"/>
              </w:rPr>
              <w:t>原生水土流失量为654.08t，本项目建设</w:t>
            </w:r>
            <w:r>
              <w:rPr>
                <w:rFonts w:hint="default" w:ascii="Times New Roman" w:hAnsi="Times New Roman" w:eastAsia="宋体" w:cs="Times New Roman"/>
                <w:bCs/>
                <w:color w:val="auto"/>
                <w:spacing w:val="10"/>
                <w:sz w:val="24"/>
                <w:highlight w:val="none"/>
                <w:lang w:val="en-US" w:eastAsia="zh-CN"/>
              </w:rPr>
              <w:t>可能造成的水土流失总量为</w:t>
            </w:r>
            <w:r>
              <w:rPr>
                <w:rFonts w:hint="eastAsia" w:ascii="Times New Roman" w:hAnsi="Times New Roman" w:eastAsia="宋体" w:cs="Times New Roman"/>
                <w:bCs/>
                <w:color w:val="auto"/>
                <w:spacing w:val="10"/>
                <w:sz w:val="24"/>
                <w:highlight w:val="none"/>
                <w:lang w:val="en-US" w:eastAsia="zh-CN"/>
              </w:rPr>
              <w:t>1136.12</w:t>
            </w:r>
            <w:r>
              <w:rPr>
                <w:rFonts w:hint="default" w:ascii="Times New Roman" w:hAnsi="Times New Roman" w:eastAsia="宋体" w:cs="Times New Roman"/>
                <w:bCs/>
                <w:color w:val="auto"/>
                <w:spacing w:val="10"/>
                <w:sz w:val="24"/>
                <w:highlight w:val="none"/>
                <w:lang w:val="en-US" w:eastAsia="zh-CN"/>
              </w:rPr>
              <w:t>t，新增水土流失量为</w:t>
            </w:r>
            <w:r>
              <w:rPr>
                <w:rFonts w:hint="eastAsia" w:ascii="Times New Roman" w:hAnsi="Times New Roman" w:eastAsia="宋体" w:cs="Times New Roman"/>
                <w:bCs/>
                <w:color w:val="auto"/>
                <w:spacing w:val="10"/>
                <w:sz w:val="24"/>
                <w:highlight w:val="none"/>
                <w:lang w:val="en-US" w:eastAsia="zh-CN"/>
              </w:rPr>
              <w:t>482.04</w:t>
            </w:r>
            <w:r>
              <w:rPr>
                <w:rFonts w:hint="default" w:ascii="Times New Roman" w:hAnsi="Times New Roman" w:eastAsia="宋体" w:cs="Times New Roman"/>
                <w:bCs/>
                <w:color w:val="auto"/>
                <w:spacing w:val="10"/>
                <w:sz w:val="24"/>
                <w:highlight w:val="none"/>
                <w:lang w:val="en-US" w:eastAsia="zh-CN"/>
              </w:rPr>
              <w:t>t。</w:t>
            </w:r>
            <w:r>
              <w:rPr>
                <w:rFonts w:hint="eastAsia" w:ascii="Times New Roman" w:hAnsi="Times New Roman" w:eastAsia="宋体" w:cs="Times New Roman"/>
                <w:bCs/>
                <w:color w:val="auto"/>
                <w:spacing w:val="10"/>
                <w:sz w:val="24"/>
                <w:highlight w:val="none"/>
                <w:lang w:val="en-US" w:eastAsia="zh-CN"/>
              </w:rPr>
              <w:t>通过预测分析，场内道路</w:t>
            </w:r>
            <w:r>
              <w:rPr>
                <w:rFonts w:hint="default" w:ascii="Times New Roman" w:hAnsi="Times New Roman" w:eastAsia="宋体" w:cs="Times New Roman"/>
                <w:bCs/>
                <w:color w:val="auto"/>
                <w:spacing w:val="10"/>
                <w:sz w:val="24"/>
                <w:highlight w:val="none"/>
                <w:lang w:val="en-US" w:eastAsia="zh-CN"/>
              </w:rPr>
              <w:t>新增水土流失量占新增水土流失总量的</w:t>
            </w:r>
            <w:r>
              <w:rPr>
                <w:rFonts w:hint="eastAsia" w:ascii="Times New Roman" w:hAnsi="Times New Roman" w:eastAsia="宋体" w:cs="Times New Roman"/>
                <w:bCs/>
                <w:color w:val="auto"/>
                <w:spacing w:val="10"/>
                <w:sz w:val="24"/>
                <w:highlight w:val="none"/>
                <w:lang w:val="en-US" w:eastAsia="zh-CN"/>
              </w:rPr>
              <w:t>82.96</w:t>
            </w:r>
            <w:r>
              <w:rPr>
                <w:rFonts w:hint="default" w:ascii="Times New Roman" w:hAnsi="Times New Roman" w:eastAsia="宋体" w:cs="Times New Roman"/>
                <w:bCs/>
                <w:color w:val="auto"/>
                <w:spacing w:val="10"/>
                <w:sz w:val="24"/>
                <w:highlight w:val="none"/>
                <w:lang w:val="en-US" w:eastAsia="zh-CN"/>
              </w:rPr>
              <w:t>%</w:t>
            </w:r>
            <w:r>
              <w:rPr>
                <w:rFonts w:hint="eastAsia" w:ascii="Times New Roman" w:hAnsi="Times New Roman" w:eastAsia="宋体" w:cs="Times New Roman"/>
                <w:bCs/>
                <w:color w:val="auto"/>
                <w:spacing w:val="10"/>
                <w:sz w:val="24"/>
                <w:highlight w:val="none"/>
                <w:lang w:val="en-US" w:eastAsia="zh-CN"/>
              </w:rPr>
              <w:t>，场内道路为本项目新增水土流失的重点区域</w:t>
            </w:r>
            <w:r>
              <w:rPr>
                <w:rFonts w:hint="default" w:ascii="Times New Roman" w:hAnsi="Times New Roman" w:eastAsia="宋体" w:cs="Times New Roman"/>
                <w:bCs/>
                <w:color w:val="auto"/>
                <w:spacing w:val="10"/>
                <w:sz w:val="24"/>
                <w:highlight w:val="none"/>
                <w:lang w:val="en-US" w:eastAsia="zh-CN"/>
              </w:rPr>
              <w:t>，</w:t>
            </w:r>
            <w:r>
              <w:rPr>
                <w:rFonts w:hint="default" w:ascii="Times New Roman" w:hAnsi="Times New Roman" w:eastAsia="宋体" w:cs="Times New Roman"/>
                <w:b w:val="0"/>
                <w:bCs w:val="0"/>
                <w:snapToGrid w:val="0"/>
                <w:color w:val="auto"/>
                <w:spacing w:val="10"/>
                <w:sz w:val="24"/>
              </w:rPr>
              <w:t>也是监测的重点区域。</w:t>
            </w:r>
          </w:p>
          <w:p>
            <w:pPr>
              <w:autoSpaceDE w:val="0"/>
              <w:autoSpaceDN w:val="0"/>
              <w:spacing w:line="360" w:lineRule="auto"/>
              <w:ind w:firstLine="522" w:firstLineChars="200"/>
              <w:jc w:val="both"/>
              <w:rPr>
                <w:rFonts w:hint="default" w:ascii="Times New Roman" w:hAnsi="Times New Roman" w:eastAsia="宋体" w:cs="Times New Roman"/>
                <w:b/>
                <w:bCs/>
                <w:snapToGrid w:val="0"/>
                <w:color w:val="auto"/>
                <w:spacing w:val="10"/>
                <w:sz w:val="24"/>
                <w:highlight w:val="none"/>
              </w:rPr>
            </w:pPr>
            <w:r>
              <w:rPr>
                <w:rFonts w:hint="default" w:ascii="Times New Roman" w:hAnsi="Times New Roman" w:eastAsia="宋体" w:cs="Times New Roman"/>
                <w:b/>
                <w:bCs/>
                <w:snapToGrid w:val="0"/>
                <w:color w:val="auto"/>
                <w:spacing w:val="10"/>
                <w:sz w:val="24"/>
                <w:highlight w:val="none"/>
              </w:rPr>
              <w:t>1）对区域生态环境的影响</w:t>
            </w:r>
          </w:p>
          <w:p>
            <w:pPr>
              <w:autoSpaceDE w:val="0"/>
              <w:autoSpaceDN w:val="0"/>
              <w:spacing w:line="360" w:lineRule="auto"/>
              <w:ind w:firstLine="52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val="0"/>
                <w:snapToGrid w:val="0"/>
                <w:color w:val="auto"/>
                <w:spacing w:val="10"/>
                <w:sz w:val="24"/>
                <w:highlight w:val="none"/>
              </w:rPr>
              <w:t>项目区原地貌植被主要为</w:t>
            </w:r>
            <w:r>
              <w:rPr>
                <w:rFonts w:hint="default" w:ascii="Times New Roman" w:hAnsi="Times New Roman" w:eastAsia="宋体" w:cs="Times New Roman"/>
                <w:b w:val="0"/>
                <w:bCs w:val="0"/>
                <w:snapToGrid w:val="0"/>
                <w:color w:val="auto"/>
                <w:spacing w:val="10"/>
                <w:sz w:val="24"/>
                <w:highlight w:val="none"/>
                <w:lang w:val="en-US" w:eastAsia="zh-CN"/>
              </w:rPr>
              <w:t>林</w:t>
            </w:r>
            <w:r>
              <w:rPr>
                <w:rFonts w:hint="default" w:ascii="Times New Roman" w:hAnsi="Times New Roman" w:eastAsia="宋体" w:cs="Times New Roman"/>
                <w:b w:val="0"/>
                <w:bCs w:val="0"/>
                <w:snapToGrid w:val="0"/>
                <w:color w:val="auto"/>
                <w:spacing w:val="10"/>
                <w:sz w:val="24"/>
                <w:highlight w:val="none"/>
              </w:rPr>
              <w:t>地</w:t>
            </w:r>
            <w:r>
              <w:rPr>
                <w:rFonts w:hint="eastAsia" w:ascii="Times New Roman" w:hAnsi="Times New Roman" w:eastAsia="宋体" w:cs="Times New Roman"/>
                <w:b w:val="0"/>
                <w:bCs w:val="0"/>
                <w:snapToGrid w:val="0"/>
                <w:color w:val="auto"/>
                <w:spacing w:val="10"/>
                <w:sz w:val="24"/>
                <w:highlight w:val="none"/>
                <w:lang w:eastAsia="zh-CN"/>
              </w:rPr>
              <w:t>、</w:t>
            </w:r>
            <w:r>
              <w:rPr>
                <w:rFonts w:hint="eastAsia" w:ascii="Times New Roman" w:hAnsi="Times New Roman" w:eastAsia="宋体" w:cs="Times New Roman"/>
                <w:b w:val="0"/>
                <w:bCs w:val="0"/>
                <w:snapToGrid w:val="0"/>
                <w:color w:val="auto"/>
                <w:spacing w:val="10"/>
                <w:sz w:val="24"/>
                <w:highlight w:val="none"/>
                <w:lang w:val="en-US" w:eastAsia="zh-CN"/>
              </w:rPr>
              <w:t>交通用地、工矿用地</w:t>
            </w:r>
            <w:r>
              <w:rPr>
                <w:rFonts w:hint="default" w:ascii="Times New Roman" w:hAnsi="Times New Roman" w:eastAsia="宋体" w:cs="Times New Roman"/>
                <w:b w:val="0"/>
                <w:bCs w:val="0"/>
                <w:snapToGrid w:val="0"/>
                <w:color w:val="auto"/>
                <w:spacing w:val="10"/>
                <w:sz w:val="24"/>
                <w:highlight w:val="none"/>
              </w:rPr>
              <w:t>，本项目建成过程中扰动地表面积为</w:t>
            </w:r>
            <w:r>
              <w:rPr>
                <w:rFonts w:hint="eastAsia" w:ascii="Times New Roman" w:hAnsi="Times New Roman" w:eastAsia="宋体" w:cs="Times New Roman"/>
                <w:b w:val="0"/>
                <w:bCs w:val="0"/>
                <w:snapToGrid w:val="0"/>
                <w:color w:val="auto"/>
                <w:spacing w:val="10"/>
                <w:sz w:val="24"/>
                <w:highlight w:val="none"/>
                <w:lang w:val="en-US" w:eastAsia="zh-CN"/>
              </w:rPr>
              <w:t>26.20</w:t>
            </w:r>
            <w:r>
              <w:rPr>
                <w:rFonts w:hint="default" w:ascii="Times New Roman" w:hAnsi="Times New Roman" w:eastAsia="宋体" w:cs="Times New Roman"/>
                <w:b w:val="0"/>
                <w:bCs w:val="0"/>
                <w:snapToGrid w:val="0"/>
                <w:color w:val="auto"/>
                <w:spacing w:val="10"/>
                <w:sz w:val="24"/>
                <w:highlight w:val="none"/>
              </w:rPr>
              <w:t>hm</w:t>
            </w:r>
            <w:r>
              <w:rPr>
                <w:rFonts w:hint="default" w:ascii="Times New Roman" w:hAnsi="Times New Roman" w:eastAsia="宋体" w:cs="Times New Roman"/>
                <w:b w:val="0"/>
                <w:bCs w:val="0"/>
                <w:snapToGrid w:val="0"/>
                <w:color w:val="auto"/>
                <w:spacing w:val="10"/>
                <w:sz w:val="24"/>
                <w:highlight w:val="none"/>
                <w:vertAlign w:val="superscript"/>
              </w:rPr>
              <w:t>2</w:t>
            </w:r>
            <w:r>
              <w:rPr>
                <w:rFonts w:hint="default" w:ascii="Times New Roman" w:hAnsi="Times New Roman" w:eastAsia="宋体" w:cs="Times New Roman"/>
                <w:b w:val="0"/>
                <w:bCs w:val="0"/>
                <w:snapToGrid w:val="0"/>
                <w:color w:val="auto"/>
                <w:spacing w:val="10"/>
                <w:sz w:val="24"/>
                <w:highlight w:val="none"/>
              </w:rPr>
              <w:t>。</w:t>
            </w:r>
            <w:r>
              <w:rPr>
                <w:rFonts w:hint="default" w:ascii="Times New Roman" w:hAnsi="Times New Roman" w:eastAsia="宋体" w:cs="Times New Roman"/>
                <w:color w:val="auto"/>
                <w:kern w:val="2"/>
                <w:sz w:val="24"/>
                <w:szCs w:val="24"/>
                <w:lang w:val="en-US" w:eastAsia="zh-CN" w:bidi="ar-SA"/>
              </w:rPr>
              <w:t>项目建设会使大面积的水土保持设施遭到破坏，林草覆盖度降低，影响局域生态环境。项目建设区施工道路</w:t>
            </w:r>
            <w:r>
              <w:rPr>
                <w:rFonts w:hint="eastAsia" w:ascii="Times New Roman" w:hAnsi="Times New Roman" w:eastAsia="宋体" w:cs="Times New Roman"/>
                <w:color w:val="auto"/>
                <w:kern w:val="2"/>
                <w:sz w:val="24"/>
                <w:szCs w:val="24"/>
                <w:lang w:val="en-US" w:eastAsia="zh-CN" w:bidi="ar-SA"/>
              </w:rPr>
              <w:t>沿用现有道路较多，</w:t>
            </w:r>
            <w:r>
              <w:rPr>
                <w:rFonts w:hint="default" w:ascii="Times New Roman" w:hAnsi="Times New Roman" w:eastAsia="宋体" w:cs="Times New Roman"/>
                <w:color w:val="auto"/>
                <w:kern w:val="2"/>
                <w:sz w:val="24"/>
                <w:szCs w:val="24"/>
                <w:lang w:val="en-US" w:eastAsia="zh-CN" w:bidi="ar-SA"/>
              </w:rPr>
              <w:t>施工活动中发生的较大规模土石方开挖</w:t>
            </w:r>
            <w:r>
              <w:rPr>
                <w:rFonts w:hint="eastAsia" w:ascii="Times New Roman" w:hAnsi="Times New Roman" w:eastAsia="宋体" w:cs="Times New Roman"/>
                <w:color w:val="auto"/>
                <w:kern w:val="2"/>
                <w:sz w:val="24"/>
                <w:szCs w:val="24"/>
                <w:lang w:val="en-US" w:eastAsia="zh-CN" w:bidi="ar-SA"/>
              </w:rPr>
              <w:t>很少，</w:t>
            </w:r>
            <w:r>
              <w:rPr>
                <w:rFonts w:hint="default" w:ascii="Times New Roman" w:hAnsi="Times New Roman" w:eastAsia="宋体" w:cs="Times New Roman"/>
                <w:color w:val="auto"/>
                <w:kern w:val="2"/>
                <w:sz w:val="24"/>
                <w:szCs w:val="24"/>
                <w:lang w:val="en-US" w:eastAsia="zh-CN" w:bidi="ar-SA"/>
              </w:rPr>
              <w:t>对原地形产生严重扰动</w:t>
            </w:r>
            <w:r>
              <w:rPr>
                <w:rFonts w:hint="eastAsia" w:ascii="Times New Roman" w:hAnsi="Times New Roman" w:eastAsia="宋体" w:cs="Times New Roman"/>
                <w:color w:val="auto"/>
                <w:kern w:val="2"/>
                <w:sz w:val="24"/>
                <w:szCs w:val="24"/>
                <w:lang w:val="en-US" w:eastAsia="zh-CN" w:bidi="ar-SA"/>
              </w:rPr>
              <w:t>较小</w:t>
            </w:r>
            <w:r>
              <w:rPr>
                <w:rFonts w:hint="default" w:ascii="Times New Roman" w:hAnsi="Times New Roman" w:eastAsia="宋体" w:cs="Times New Roman"/>
                <w:color w:val="auto"/>
                <w:kern w:val="2"/>
                <w:sz w:val="24"/>
                <w:szCs w:val="24"/>
                <w:lang w:val="en-US" w:eastAsia="zh-CN" w:bidi="ar-SA"/>
              </w:rPr>
              <w:t>。项目施工会使原地表土层受到破坏，再加上林草覆盖度降低，会使地表土壤理化性质下降、抗蚀能力减弱，水土流失剧增。项目建成后，光伏板汇集降雨形成地表径流，减少了雨水的下渗，造成降水损失。项目区内的硬化面积与建设前相比增加较多，地表径流有所增加，但</w:t>
            </w:r>
            <w:r>
              <w:rPr>
                <w:rFonts w:hint="eastAsia" w:ascii="Times New Roman" w:hAnsi="Times New Roman" w:eastAsia="宋体" w:cs="Times New Roman"/>
                <w:color w:val="auto"/>
                <w:kern w:val="2"/>
                <w:sz w:val="24"/>
                <w:szCs w:val="24"/>
                <w:lang w:val="en-US" w:eastAsia="zh-CN" w:bidi="ar-SA"/>
              </w:rPr>
              <w:t>项目为光伏+农业种植的复合型项目，光伏板下种植农业，</w:t>
            </w:r>
            <w:r>
              <w:rPr>
                <w:rFonts w:hint="default" w:ascii="Times New Roman" w:hAnsi="Times New Roman" w:eastAsia="宋体" w:cs="Times New Roman"/>
                <w:color w:val="auto"/>
                <w:kern w:val="2"/>
                <w:sz w:val="24"/>
                <w:szCs w:val="24"/>
                <w:lang w:val="en-US" w:eastAsia="zh-CN" w:bidi="ar-SA"/>
              </w:rPr>
              <w:t>植被覆盖面积</w:t>
            </w:r>
            <w:r>
              <w:rPr>
                <w:rFonts w:hint="eastAsia" w:ascii="Times New Roman" w:hAnsi="Times New Roman" w:eastAsia="宋体" w:cs="Times New Roman"/>
                <w:color w:val="auto"/>
                <w:kern w:val="2"/>
                <w:sz w:val="24"/>
                <w:szCs w:val="24"/>
                <w:lang w:val="en-US" w:eastAsia="zh-CN" w:bidi="ar-SA"/>
              </w:rPr>
              <w:t>较现状稍有减少，但不会造成大面积降低</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对</w:t>
            </w:r>
            <w:r>
              <w:rPr>
                <w:rFonts w:hint="default" w:ascii="Times New Roman" w:hAnsi="Times New Roman" w:eastAsia="宋体" w:cs="Times New Roman"/>
                <w:color w:val="auto"/>
                <w:kern w:val="2"/>
                <w:sz w:val="24"/>
                <w:szCs w:val="24"/>
                <w:lang w:val="en-US" w:eastAsia="zh-CN" w:bidi="ar-SA"/>
              </w:rPr>
              <w:t>涵养水源能力</w:t>
            </w:r>
            <w:r>
              <w:rPr>
                <w:rFonts w:hint="eastAsia" w:ascii="Times New Roman" w:hAnsi="Times New Roman" w:eastAsia="宋体" w:cs="Times New Roman"/>
                <w:color w:val="auto"/>
                <w:kern w:val="2"/>
                <w:sz w:val="24"/>
                <w:szCs w:val="24"/>
                <w:lang w:val="en-US" w:eastAsia="zh-CN" w:bidi="ar-SA"/>
              </w:rPr>
              <w:t>影响小</w:t>
            </w:r>
            <w:r>
              <w:rPr>
                <w:rFonts w:hint="default" w:ascii="Times New Roman" w:hAnsi="Times New Roman" w:eastAsia="宋体" w:cs="Times New Roman"/>
                <w:color w:val="auto"/>
                <w:kern w:val="2"/>
                <w:sz w:val="24"/>
                <w:szCs w:val="24"/>
                <w:lang w:val="en-US" w:eastAsia="zh-CN" w:bidi="ar-SA"/>
              </w:rPr>
              <w:t>。</w:t>
            </w:r>
          </w:p>
          <w:p>
            <w:pPr>
              <w:autoSpaceDE w:val="0"/>
              <w:autoSpaceDN w:val="0"/>
              <w:spacing w:line="360" w:lineRule="auto"/>
              <w:ind w:firstLine="482" w:firstLineChars="200"/>
              <w:jc w:val="both"/>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2）对主体工程安全运营的影响</w:t>
            </w:r>
          </w:p>
          <w:p>
            <w:pPr>
              <w:autoSpaceDE w:val="0"/>
              <w:autoSpaceDN w:val="0"/>
              <w:spacing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default" w:ascii="Times New Roman" w:hAnsi="Times New Roman" w:eastAsia="宋体" w:cs="Times New Roman"/>
                <w:b w:val="0"/>
                <w:bCs w:val="0"/>
                <w:snapToGrid w:val="0"/>
                <w:color w:val="auto"/>
                <w:spacing w:val="10"/>
                <w:sz w:val="24"/>
                <w:highlight w:val="none"/>
                <w:lang w:val="en-US" w:eastAsia="zh-CN"/>
              </w:rPr>
              <w:t>工程建设导致的水土流失与工程本身的安全息息相关。工程建设扰动地表，产生的大量土石方如不能及时有效地处理，造成水土流失将严重影响施工进度，以及工程的安全运行，也对会今后的运营安全造成一定影响。</w:t>
            </w:r>
          </w:p>
          <w:p>
            <w:pPr>
              <w:widowControl w:val="0"/>
              <w:spacing w:beforeLines="0" w:afterLines="0" w:line="360" w:lineRule="auto"/>
              <w:ind w:firstLine="482" w:firstLineChars="200"/>
              <w:jc w:val="both"/>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 xml:space="preserve">（5）对周围耕地和农作物的影响分析 </w:t>
            </w:r>
          </w:p>
          <w:p>
            <w:pPr>
              <w:autoSpaceDE w:val="0"/>
              <w:autoSpaceDN w:val="0"/>
              <w:spacing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光伏电站施工期对周围农作物的影响主要来源施工扬尘对周围农作物的影响，施工过程中对场地洒水降尘、设置临时围挡、对散体材料和开挖形成的裸露面采取临时遮盖等防尘措施后，项目施工对周边农户耕作和农作物生长影响不大，且施工时间较短，随着施工结束而消失，施工过程中对周围农作物影响较小。</w:t>
            </w:r>
          </w:p>
          <w:p>
            <w:pPr>
              <w:widowControl w:val="0"/>
              <w:spacing w:beforeLines="0" w:afterLines="0" w:line="360" w:lineRule="auto"/>
              <w:ind w:firstLine="482" w:firstLineChars="200"/>
              <w:jc w:val="both"/>
              <w:rPr>
                <w:rFonts w:hint="default" w:ascii="Times New Roman" w:hAnsi="Times New Roman" w:eastAsia="宋体" w:cs="Times New Roman"/>
                <w:b/>
                <w:color w:val="auto"/>
                <w:kern w:val="2"/>
                <w:sz w:val="24"/>
                <w:szCs w:val="24"/>
                <w:lang w:val="en-US" w:eastAsia="zh-CN" w:bidi="ar-SA"/>
              </w:rPr>
            </w:pPr>
            <w:r>
              <w:rPr>
                <w:rFonts w:hint="eastAsia" w:cs="Times New Roman"/>
                <w:b/>
                <w:color w:val="auto"/>
                <w:kern w:val="2"/>
                <w:sz w:val="24"/>
                <w:szCs w:val="24"/>
                <w:lang w:val="en-US" w:eastAsia="zh-CN" w:bidi="ar-SA"/>
              </w:rPr>
              <w:t>4.1.2</w:t>
            </w:r>
            <w:r>
              <w:rPr>
                <w:rFonts w:hint="default" w:ascii="Times New Roman" w:hAnsi="Times New Roman" w:eastAsia="宋体" w:cs="Times New Roman"/>
                <w:b/>
                <w:color w:val="auto"/>
                <w:kern w:val="2"/>
                <w:sz w:val="24"/>
                <w:szCs w:val="24"/>
                <w:lang w:val="en-US" w:eastAsia="zh-CN" w:bidi="ar-SA"/>
              </w:rPr>
              <w:t>施工期废气影响</w:t>
            </w:r>
          </w:p>
          <w:p>
            <w:pPr>
              <w:autoSpaceDE w:val="0"/>
              <w:autoSpaceDN w:val="0"/>
              <w:spacing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default" w:ascii="Times New Roman" w:hAnsi="Times New Roman" w:eastAsia="宋体" w:cs="Times New Roman"/>
                <w:b w:val="0"/>
                <w:bCs w:val="0"/>
                <w:snapToGrid w:val="0"/>
                <w:color w:val="auto"/>
                <w:spacing w:val="10"/>
                <w:sz w:val="24"/>
                <w:highlight w:val="none"/>
                <w:lang w:val="en-US" w:eastAsia="zh-CN"/>
              </w:rPr>
              <w:t>项目施工期大气污染物主要是施工扬尘、施工机械和运输车辆及装修时产生的废气。</w:t>
            </w:r>
          </w:p>
          <w:p>
            <w:pPr>
              <w:widowControl w:val="0"/>
              <w:spacing w:beforeLines="0" w:afterLines="0" w:line="360" w:lineRule="auto"/>
              <w:ind w:firstLine="482" w:firstLineChars="200"/>
              <w:jc w:val="both"/>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（1）施工扬尘</w:t>
            </w:r>
          </w:p>
          <w:p>
            <w:pPr>
              <w:autoSpaceDE w:val="0"/>
              <w:autoSpaceDN w:val="0"/>
              <w:spacing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项目施工期对环境空气影响的主要为扬尘。在项目的建设施工中，由于场内道路的修建、基础开挖、回填土石方、配套设施建设和及建筑材料的运输、装卸、堆放等会产生不同影响程度的扬尘，污染因子为</w:t>
            </w:r>
            <w:r>
              <w:rPr>
                <w:rFonts w:hint="default" w:ascii="Times New Roman" w:hAnsi="Times New Roman" w:eastAsia="宋体" w:cs="Times New Roman"/>
                <w:b w:val="0"/>
                <w:bCs w:val="0"/>
                <w:snapToGrid w:val="0"/>
                <w:color w:val="auto"/>
                <w:spacing w:val="10"/>
                <w:sz w:val="24"/>
                <w:highlight w:val="none"/>
                <w:lang w:val="en-US" w:eastAsia="zh-CN"/>
              </w:rPr>
              <w:t>TSP</w:t>
            </w:r>
            <w:r>
              <w:rPr>
                <w:rFonts w:hint="eastAsia" w:ascii="Times New Roman" w:hAnsi="Times New Roman" w:eastAsia="宋体" w:cs="Times New Roman"/>
                <w:b w:val="0"/>
                <w:bCs w:val="0"/>
                <w:snapToGrid w:val="0"/>
                <w:color w:val="auto"/>
                <w:spacing w:val="10"/>
                <w:sz w:val="24"/>
                <w:highlight w:val="none"/>
                <w:lang w:val="en-US" w:eastAsia="zh-CN"/>
              </w:rPr>
              <w:t>，扬尘的产生量与施工方式、土壤含水量、气象条件等有关。</w:t>
            </w:r>
          </w:p>
          <w:p>
            <w:pPr>
              <w:autoSpaceDE w:val="0"/>
              <w:autoSpaceDN w:val="0"/>
              <w:spacing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项目升压站建设、光伏支架基础及集电线路直埋敷设基础等开挖过程中也会产生扬尘。由于升压站区占地面积较小，光伏阵列基础面基础面较小，且施工强度小，且分布不集中，因此项目开挖土石不大，扬尘产生量不大；项目临时施工场地会堆放少量水泥和沙石，本工程建构物施工量不大，就地堆放在施工临建场地处，也会产生少量扬尘。项目扬尘的影响范围一般为</w:t>
            </w:r>
            <w:r>
              <w:rPr>
                <w:rFonts w:hint="default" w:ascii="Times New Roman" w:hAnsi="Times New Roman" w:eastAsia="宋体" w:cs="Times New Roman"/>
                <w:b w:val="0"/>
                <w:bCs w:val="0"/>
                <w:snapToGrid w:val="0"/>
                <w:color w:val="auto"/>
                <w:spacing w:val="10"/>
                <w:sz w:val="24"/>
                <w:highlight w:val="none"/>
                <w:lang w:val="en-US" w:eastAsia="zh-CN"/>
              </w:rPr>
              <w:t>500m</w:t>
            </w:r>
            <w:r>
              <w:rPr>
                <w:rFonts w:hint="eastAsia" w:ascii="Times New Roman" w:hAnsi="Times New Roman" w:eastAsia="宋体" w:cs="Times New Roman"/>
                <w:b w:val="0"/>
                <w:bCs w:val="0"/>
                <w:snapToGrid w:val="0"/>
                <w:color w:val="auto"/>
                <w:spacing w:val="10"/>
                <w:sz w:val="24"/>
                <w:highlight w:val="none"/>
                <w:lang w:val="en-US" w:eastAsia="zh-CN"/>
              </w:rPr>
              <w:t>范围，根据现场调查项目</w:t>
            </w:r>
            <w:r>
              <w:rPr>
                <w:rFonts w:hint="default" w:ascii="Times New Roman" w:hAnsi="Times New Roman" w:eastAsia="宋体" w:cs="Times New Roman"/>
                <w:b w:val="0"/>
                <w:bCs w:val="0"/>
                <w:snapToGrid w:val="0"/>
                <w:color w:val="auto"/>
                <w:spacing w:val="10"/>
                <w:sz w:val="24"/>
                <w:highlight w:val="none"/>
                <w:lang w:val="en-US" w:eastAsia="zh-CN"/>
              </w:rPr>
              <w:t>500m</w:t>
            </w:r>
            <w:r>
              <w:rPr>
                <w:rFonts w:hint="eastAsia" w:ascii="Times New Roman" w:hAnsi="Times New Roman" w:eastAsia="宋体" w:cs="Times New Roman"/>
                <w:b w:val="0"/>
                <w:bCs w:val="0"/>
                <w:snapToGrid w:val="0"/>
                <w:color w:val="auto"/>
                <w:spacing w:val="10"/>
                <w:sz w:val="24"/>
                <w:highlight w:val="none"/>
                <w:lang w:val="en-US" w:eastAsia="zh-CN"/>
              </w:rPr>
              <w:t>范围内的敏感目标较少（具体见本报告表</w:t>
            </w:r>
            <w:r>
              <w:rPr>
                <w:rFonts w:hint="default" w:ascii="Times New Roman" w:hAnsi="Times New Roman" w:eastAsia="宋体" w:cs="Times New Roman"/>
                <w:b w:val="0"/>
                <w:bCs w:val="0"/>
                <w:snapToGrid w:val="0"/>
                <w:color w:val="auto"/>
                <w:spacing w:val="10"/>
                <w:sz w:val="24"/>
                <w:highlight w:val="none"/>
                <w:lang w:val="en-US" w:eastAsia="zh-CN"/>
              </w:rPr>
              <w:t>3-</w:t>
            </w:r>
            <w:r>
              <w:rPr>
                <w:rFonts w:hint="eastAsia" w:ascii="Times New Roman" w:hAnsi="Times New Roman" w:eastAsia="宋体" w:cs="Times New Roman"/>
                <w:b w:val="0"/>
                <w:bCs w:val="0"/>
                <w:snapToGrid w:val="0"/>
                <w:color w:val="auto"/>
                <w:spacing w:val="10"/>
                <w:sz w:val="24"/>
                <w:highlight w:val="none"/>
                <w:lang w:val="en-US" w:eastAsia="zh-CN"/>
              </w:rPr>
              <w:t xml:space="preserve">11），为减轻项目施工对敏感点的影响，在施工过程中应避免在大风天气施工，施工期间应在临近敏感点一侧设置临时围挡，对施工区域进行洒水降尘，对散体物料堆放区采用防尘网进行临时遮盖、对土石方及时回填压实等措施后，施工扬尘对周围环境的影响可以得到有效减缓。 </w:t>
            </w:r>
          </w:p>
          <w:p>
            <w:pPr>
              <w:autoSpaceDE w:val="0"/>
              <w:autoSpaceDN w:val="0"/>
              <w:spacing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另外，项目施工期运输砂石、水泥、电气设备等的运输车辆在土路或泥石路上行驶时会引起道路扬尘污染，其中大部分扬尘颗粒较大，形成降尘，主要影响近距离</w:t>
            </w:r>
            <w:r>
              <w:rPr>
                <w:rFonts w:hint="default" w:ascii="Times New Roman" w:hAnsi="Times New Roman" w:eastAsia="宋体" w:cs="Times New Roman"/>
                <w:b w:val="0"/>
                <w:bCs w:val="0"/>
                <w:snapToGrid w:val="0"/>
                <w:color w:val="auto"/>
                <w:spacing w:val="10"/>
                <w:sz w:val="24"/>
                <w:highlight w:val="none"/>
                <w:lang w:val="en-US" w:eastAsia="zh-CN"/>
              </w:rPr>
              <w:t xml:space="preserve">50m </w:t>
            </w:r>
            <w:r>
              <w:rPr>
                <w:rFonts w:hint="eastAsia" w:ascii="Times New Roman" w:hAnsi="Times New Roman" w:eastAsia="宋体" w:cs="Times New Roman"/>
                <w:b w:val="0"/>
                <w:bCs w:val="0"/>
                <w:snapToGrid w:val="0"/>
                <w:color w:val="auto"/>
                <w:spacing w:val="10"/>
                <w:sz w:val="24"/>
                <w:highlight w:val="none"/>
                <w:lang w:val="en-US" w:eastAsia="zh-CN"/>
              </w:rPr>
              <w:t>范围。在同样路面清洁程度条件下，车速越快，扬尘量越大；而在同样车速情况下，路面越脏，则扬尘量越大。项目运输施工材料的车辆在运输过程中，会途径多个村庄，为减小对运输道路沿线村庄的影响，为减小对运输道路沿线敏感点的影响，项目运输车辆应采用篷布遮盖、严禁超载，防止砂石、水泥等散体材料洒落，产生二次扬尘，同时经过村庄路段应减速行驶，并安排专人定期对运输道路进行维护清扫、洒水降尘等，通过采取以上措施本项目运输车辆产生的扬尘对周围村庄影响不大。</w:t>
            </w:r>
          </w:p>
          <w:p>
            <w:pPr>
              <w:autoSpaceDE w:val="0"/>
              <w:autoSpaceDN w:val="0"/>
              <w:spacing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项目设置移动式混凝土拌和系统，在施工过程中应合理布置，混凝土拌和系统布置的位置应尽量远离村庄居民点，并采取围挡措施，防止扬尘污染，通过采取以上措施后，混凝土拌和系统产生的扬尘对周边环境影响在可接受范围内。</w:t>
            </w:r>
          </w:p>
          <w:p>
            <w:pPr>
              <w:autoSpaceDE w:val="0"/>
              <w:autoSpaceDN w:val="0"/>
              <w:spacing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施工期产生的扬尘污染是短期的，随着施工活动的结束，场地的覆盖、道路、建筑物的形成，项目内的绿化完成等，施工扬尘对环境空气的影响也就随之结束。</w:t>
            </w:r>
          </w:p>
          <w:p>
            <w:pPr>
              <w:widowControl w:val="0"/>
              <w:spacing w:beforeLines="0" w:afterLines="0" w:line="360" w:lineRule="auto"/>
              <w:ind w:firstLine="482" w:firstLineChars="200"/>
              <w:jc w:val="both"/>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（2）施工机械和车辆废气</w:t>
            </w:r>
          </w:p>
          <w:p>
            <w:pPr>
              <w:widowControl w:val="0"/>
              <w:spacing w:beforeLines="0" w:afterLines="0" w:line="360" w:lineRule="auto"/>
              <w:ind w:firstLine="52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val="0"/>
                <w:snapToGrid w:val="0"/>
                <w:color w:val="auto"/>
                <w:spacing w:val="10"/>
                <w:sz w:val="24"/>
                <w:highlight w:val="none"/>
                <w:lang w:val="en-US" w:eastAsia="zh-CN"/>
              </w:rPr>
              <w:t>本项目施工期废气主要来源于运输车辆及其它燃油机械施工时产生的废气，其中的污染物主要有烟尘、NOx、CO及CHx等，会对环境空气造成一定影响。施工机械废气具有间断性产生、产生量较小、产生点相对分散、易被稀释扩散等特点。项目区处于半山坡地形，周边无特别高的山体，有利于大气扩散，一般情况下，施工机械和运输车辆所产生的废气污染在空气中经自然扩散和稀释后，对项目区域的空气环境质量影响不大。同时在施工机械的选型上考虑相应的环保型产品，主要使用轻质柴油或电作为能源，不得使用劣质燃料。</w:t>
            </w:r>
          </w:p>
          <w:p>
            <w:pPr>
              <w:widowControl w:val="0"/>
              <w:spacing w:beforeLines="0" w:afterLines="0" w:line="360" w:lineRule="auto"/>
              <w:ind w:firstLine="482" w:firstLineChars="200"/>
              <w:jc w:val="both"/>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（3）装修废气</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default" w:ascii="Times New Roman" w:hAnsi="Times New Roman" w:eastAsia="宋体" w:cs="Times New Roman"/>
                <w:b w:val="0"/>
                <w:bCs w:val="0"/>
                <w:snapToGrid w:val="0"/>
                <w:color w:val="auto"/>
                <w:spacing w:val="10"/>
                <w:sz w:val="24"/>
                <w:highlight w:val="none"/>
                <w:lang w:val="en-US" w:eastAsia="zh-CN"/>
              </w:rPr>
              <w:t>施工期的室内装修主要为升压站区域</w:t>
            </w:r>
            <w:r>
              <w:rPr>
                <w:rFonts w:hint="eastAsia" w:ascii="Times New Roman" w:hAnsi="Times New Roman" w:eastAsia="宋体" w:cs="Times New Roman"/>
                <w:b w:val="0"/>
                <w:bCs w:val="0"/>
                <w:snapToGrid w:val="0"/>
                <w:color w:val="auto"/>
                <w:spacing w:val="10"/>
                <w:sz w:val="24"/>
                <w:highlight w:val="none"/>
                <w:lang w:val="en-US" w:eastAsia="zh-CN"/>
              </w:rPr>
              <w:t>生产及综合楼</w:t>
            </w:r>
            <w:r>
              <w:rPr>
                <w:rFonts w:hint="default" w:ascii="Times New Roman" w:hAnsi="Times New Roman" w:eastAsia="宋体" w:cs="Times New Roman"/>
                <w:b w:val="0"/>
                <w:bCs w:val="0"/>
                <w:snapToGrid w:val="0"/>
                <w:color w:val="auto"/>
                <w:spacing w:val="10"/>
                <w:sz w:val="24"/>
                <w:highlight w:val="none"/>
                <w:lang w:val="en-US" w:eastAsia="zh-CN"/>
              </w:rPr>
              <w:t>装修。在装修过程中焊接和粉刷过程中会产生少量装修废气，产生量少，装修时间较短，装修废气随着装修的结束而消失。在空气中经自然扩散和稀释后，对项目区域的空气环境质量影响不大。</w:t>
            </w:r>
          </w:p>
          <w:p>
            <w:pPr>
              <w:widowControl w:val="0"/>
              <w:spacing w:beforeLines="0" w:afterLines="0" w:line="360" w:lineRule="auto"/>
              <w:ind w:firstLine="482" w:firstLineChars="200"/>
              <w:jc w:val="both"/>
              <w:rPr>
                <w:rFonts w:hint="default" w:ascii="Times New Roman" w:hAnsi="Times New Roman" w:eastAsia="宋体" w:cs="Times New Roman"/>
                <w:b/>
                <w:color w:val="auto"/>
                <w:kern w:val="2"/>
                <w:sz w:val="24"/>
                <w:szCs w:val="24"/>
                <w:lang w:val="en-US" w:eastAsia="zh-CN" w:bidi="ar-SA"/>
              </w:rPr>
            </w:pPr>
            <w:r>
              <w:rPr>
                <w:rFonts w:hint="eastAsia" w:cs="Times New Roman"/>
                <w:b/>
                <w:color w:val="auto"/>
                <w:kern w:val="2"/>
                <w:sz w:val="24"/>
                <w:szCs w:val="24"/>
                <w:lang w:val="en-US" w:eastAsia="zh-CN" w:bidi="ar-SA"/>
              </w:rPr>
              <w:t>4.1.3</w:t>
            </w:r>
            <w:r>
              <w:rPr>
                <w:rFonts w:hint="default" w:ascii="Times New Roman" w:hAnsi="Times New Roman" w:eastAsia="宋体" w:cs="Times New Roman"/>
                <w:b/>
                <w:color w:val="auto"/>
                <w:kern w:val="2"/>
                <w:sz w:val="24"/>
                <w:szCs w:val="24"/>
                <w:lang w:val="en-US" w:eastAsia="zh-CN" w:bidi="ar-SA"/>
              </w:rPr>
              <w:t>施工废水影响</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default" w:ascii="Times New Roman" w:hAnsi="Times New Roman" w:eastAsia="宋体" w:cs="Times New Roman"/>
                <w:b w:val="0"/>
                <w:bCs w:val="0"/>
                <w:snapToGrid w:val="0"/>
                <w:color w:val="auto"/>
                <w:spacing w:val="10"/>
                <w:sz w:val="24"/>
                <w:highlight w:val="none"/>
                <w:lang w:val="en-US" w:eastAsia="zh-CN"/>
              </w:rPr>
              <w:t>项目施工期废水主要包括建筑施工废水、施工生活污水、雨季径流。</w:t>
            </w:r>
          </w:p>
          <w:p>
            <w:pPr>
              <w:widowControl w:val="0"/>
              <w:spacing w:beforeLines="0" w:afterLines="0" w:line="360" w:lineRule="auto"/>
              <w:ind w:firstLine="482" w:firstLineChars="200"/>
              <w:jc w:val="both"/>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（1）建筑施工废水</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项目产生的施工废水主要有混凝土养护废水，施工废水</w:t>
            </w:r>
            <w:r>
              <w:rPr>
                <w:rFonts w:hint="default" w:ascii="Times New Roman" w:hAnsi="Times New Roman" w:eastAsia="宋体" w:cs="Times New Roman"/>
                <w:b w:val="0"/>
                <w:bCs w:val="0"/>
                <w:snapToGrid w:val="0"/>
                <w:color w:val="auto"/>
                <w:spacing w:val="10"/>
                <w:sz w:val="24"/>
                <w:highlight w:val="none"/>
                <w:lang w:val="en-US" w:eastAsia="zh-CN"/>
              </w:rPr>
              <w:t>pH</w:t>
            </w:r>
            <w:r>
              <w:rPr>
                <w:rFonts w:hint="eastAsia" w:ascii="Times New Roman" w:hAnsi="Times New Roman" w:eastAsia="宋体" w:cs="Times New Roman"/>
                <w:b w:val="0"/>
                <w:bCs w:val="0"/>
                <w:snapToGrid w:val="0"/>
                <w:color w:val="auto"/>
                <w:spacing w:val="10"/>
                <w:sz w:val="24"/>
                <w:highlight w:val="none"/>
                <w:lang w:val="en-US" w:eastAsia="zh-CN"/>
              </w:rPr>
              <w:t>值较高，主要污染物为悬浮物。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2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val="0"/>
                <w:bCs w:val="0"/>
                <w:snapToGrid w:val="0"/>
                <w:color w:val="auto"/>
                <w:spacing w:val="10"/>
                <w:sz w:val="24"/>
                <w:highlight w:val="none"/>
                <w:lang w:val="en-US" w:eastAsia="zh-CN"/>
              </w:rPr>
              <w:t>项目混凝土养护时产生的废水主要污染物为</w:t>
            </w:r>
            <w:r>
              <w:rPr>
                <w:rFonts w:hint="default" w:ascii="Times New Roman" w:hAnsi="Times New Roman" w:eastAsia="宋体" w:cs="Times New Roman"/>
                <w:b w:val="0"/>
                <w:bCs w:val="0"/>
                <w:snapToGrid w:val="0"/>
                <w:color w:val="auto"/>
                <w:spacing w:val="10"/>
                <w:sz w:val="24"/>
                <w:highlight w:val="none"/>
                <w:lang w:val="en-US" w:eastAsia="zh-CN"/>
              </w:rPr>
              <w:t>SS</w:t>
            </w:r>
            <w:r>
              <w:rPr>
                <w:rFonts w:hint="eastAsia" w:ascii="Times New Roman" w:hAnsi="Times New Roman" w:eastAsia="宋体" w:cs="Times New Roman"/>
                <w:b w:val="0"/>
                <w:bCs w:val="0"/>
                <w:snapToGrid w:val="0"/>
                <w:color w:val="auto"/>
                <w:spacing w:val="10"/>
                <w:sz w:val="24"/>
                <w:highlight w:val="none"/>
                <w:lang w:val="en-US" w:eastAsia="zh-CN"/>
              </w:rPr>
              <w:t>，产生量较少。</w:t>
            </w:r>
            <w:r>
              <w:rPr>
                <w:rFonts w:hint="eastAsia" w:ascii="Times New Roman" w:hAnsi="Times New Roman" w:eastAsia="宋体" w:cs="Times New Roman"/>
                <w:color w:val="auto"/>
                <w:kern w:val="2"/>
                <w:sz w:val="24"/>
                <w:szCs w:val="24"/>
                <w:lang w:val="en-US" w:eastAsia="zh-CN" w:bidi="ar-SA"/>
              </w:rPr>
              <w:t>项目产生的施工废水主要有混凝土养护废水，施工废水</w:t>
            </w:r>
            <w:r>
              <w:rPr>
                <w:rFonts w:hint="default" w:ascii="Times New Roman" w:hAnsi="Times New Roman" w:eastAsia="宋体" w:cs="Times New Roman"/>
                <w:color w:val="auto"/>
                <w:kern w:val="2"/>
                <w:sz w:val="24"/>
                <w:szCs w:val="24"/>
                <w:lang w:val="en-US" w:eastAsia="zh-CN" w:bidi="ar-SA"/>
              </w:rPr>
              <w:t>pH</w:t>
            </w:r>
            <w:r>
              <w:rPr>
                <w:rFonts w:hint="eastAsia" w:ascii="Times New Roman" w:hAnsi="Times New Roman" w:eastAsia="宋体" w:cs="Times New Roman"/>
                <w:color w:val="auto"/>
                <w:kern w:val="2"/>
                <w:sz w:val="24"/>
                <w:szCs w:val="24"/>
                <w:lang w:val="en-US" w:eastAsia="zh-CN" w:bidi="ar-SA"/>
              </w:rPr>
              <w:t>值较高，主要污染物为悬浮物。</w:t>
            </w:r>
          </w:p>
          <w:p>
            <w:pPr>
              <w:widowControl w:val="0"/>
              <w:spacing w:beforeLines="0" w:afterLines="0" w:line="360" w:lineRule="auto"/>
              <w:ind w:firstLine="476"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default" w:ascii="Times New Roman" w:hAnsi="Times New Roman" w:eastAsia="宋体" w:cs="Times New Roman"/>
                <w:color w:val="auto"/>
                <w:spacing w:val="-1"/>
                <w:sz w:val="24"/>
                <w:szCs w:val="24"/>
              </w:rPr>
              <w:t>施工废水主要为建筑施工过程中产生的混凝土拌合废水和设备清洁废水，混凝土拌合</w:t>
            </w:r>
            <w:r>
              <w:rPr>
                <w:rFonts w:hint="default" w:ascii="Times New Roman" w:hAnsi="Times New Roman" w:eastAsia="宋体" w:cs="Times New Roman"/>
                <w:color w:val="auto"/>
                <w:spacing w:val="-5"/>
                <w:sz w:val="24"/>
                <w:szCs w:val="24"/>
              </w:rPr>
              <w:t>主要在升压站施工及支架基础、逆变器室的建设过程中，拌合废水和清洁废水产生量不大。</w:t>
            </w:r>
            <w:r>
              <w:rPr>
                <w:rFonts w:hint="default" w:ascii="Times New Roman" w:hAnsi="Times New Roman" w:eastAsia="宋体" w:cs="Times New Roman"/>
                <w:color w:val="auto"/>
                <w:spacing w:val="-2"/>
                <w:sz w:val="24"/>
                <w:szCs w:val="24"/>
              </w:rPr>
              <w:t>施工废水主要污染物为泥沙、水泥等悬浮物，浓度一般</w:t>
            </w:r>
            <w:r>
              <w:rPr>
                <w:rFonts w:hint="default" w:ascii="Times New Roman" w:hAnsi="Times New Roman" w:eastAsia="Times New Roman" w:cs="Times New Roman"/>
                <w:color w:val="auto"/>
                <w:spacing w:val="-2"/>
                <w:sz w:val="24"/>
                <w:szCs w:val="24"/>
              </w:rPr>
              <w:t>800~2000mg/L</w:t>
            </w:r>
            <w:r>
              <w:rPr>
                <w:rFonts w:hint="default" w:ascii="Times New Roman" w:hAnsi="Times New Roman" w:eastAsia="宋体" w:cs="Times New Roman"/>
                <w:color w:val="auto"/>
                <w:spacing w:val="-2"/>
                <w:sz w:val="24"/>
                <w:szCs w:val="24"/>
              </w:rPr>
              <w:t>。本项目</w:t>
            </w:r>
            <w:r>
              <w:rPr>
                <w:rFonts w:hint="eastAsia" w:ascii="Times New Roman" w:hAnsi="Times New Roman" w:eastAsia="宋体" w:cs="Times New Roman"/>
                <w:color w:val="auto"/>
                <w:spacing w:val="-2"/>
                <w:sz w:val="24"/>
                <w:szCs w:val="24"/>
                <w:lang w:val="en-US" w:eastAsia="zh-CN"/>
              </w:rPr>
              <w:t>光伏</w:t>
            </w:r>
            <w:r>
              <w:rPr>
                <w:rFonts w:hint="default" w:ascii="Times New Roman" w:hAnsi="Times New Roman" w:eastAsia="宋体" w:cs="Times New Roman"/>
                <w:color w:val="auto"/>
                <w:spacing w:val="-2"/>
                <w:sz w:val="24"/>
                <w:szCs w:val="24"/>
              </w:rPr>
              <w:t>片区每天产生的施工废水量</w:t>
            </w:r>
            <w:r>
              <w:rPr>
                <w:rFonts w:hint="eastAsia" w:ascii="Times New Roman" w:hAnsi="Times New Roman" w:eastAsia="宋体" w:cs="Times New Roman"/>
                <w:color w:val="auto"/>
                <w:spacing w:val="-2"/>
                <w:sz w:val="24"/>
                <w:szCs w:val="24"/>
                <w:lang w:val="en-US" w:eastAsia="zh-CN"/>
              </w:rPr>
              <w:t>较少</w:t>
            </w:r>
            <w:r>
              <w:rPr>
                <w:rFonts w:hint="default" w:ascii="Times New Roman" w:hAnsi="Times New Roman" w:eastAsia="宋体" w:cs="Times New Roman"/>
                <w:color w:val="auto"/>
                <w:spacing w:val="-2"/>
                <w:sz w:val="24"/>
                <w:szCs w:val="24"/>
              </w:rPr>
              <w:t>，施工废水</w:t>
            </w:r>
            <w:r>
              <w:rPr>
                <w:rFonts w:hint="default" w:ascii="Times New Roman" w:hAnsi="Times New Roman" w:eastAsia="宋体" w:cs="Times New Roman"/>
                <w:color w:val="auto"/>
                <w:spacing w:val="-8"/>
                <w:sz w:val="24"/>
                <w:szCs w:val="24"/>
              </w:rPr>
              <w:t>采用沉淀池收集、澄清，每个片区施工场地设置一个</w:t>
            </w:r>
            <w:r>
              <w:rPr>
                <w:rFonts w:hint="default" w:ascii="Times New Roman" w:hAnsi="Times New Roman" w:eastAsia="Times New Roman" w:cs="Times New Roman"/>
                <w:color w:val="auto"/>
                <w:spacing w:val="-8"/>
                <w:sz w:val="24"/>
                <w:szCs w:val="24"/>
              </w:rPr>
              <w:t>1</w:t>
            </w:r>
            <w:r>
              <w:rPr>
                <w:rFonts w:hint="default" w:ascii="Times New Roman" w:hAnsi="Times New Roman" w:eastAsia="宋体" w:cs="Times New Roman"/>
                <w:color w:val="auto"/>
                <w:spacing w:val="-8"/>
                <w:sz w:val="24"/>
                <w:szCs w:val="24"/>
              </w:rPr>
              <w:t>个沉淀池，设置的沉淀池容积为</w:t>
            </w:r>
            <w:r>
              <w:rPr>
                <w:rFonts w:hint="default" w:ascii="Times New Roman" w:hAnsi="Times New Roman" w:eastAsia="Times New Roman" w:cs="Times New Roman"/>
                <w:color w:val="auto"/>
                <w:spacing w:val="-8"/>
                <w:sz w:val="24"/>
                <w:szCs w:val="24"/>
              </w:rPr>
              <w:t>20m</w:t>
            </w:r>
            <w:r>
              <w:rPr>
                <w:rFonts w:hint="default" w:ascii="Times New Roman" w:hAnsi="Times New Roman" w:eastAsia="Times New Roman" w:cs="Times New Roman"/>
                <w:color w:val="auto"/>
                <w:spacing w:val="-8"/>
                <w:position w:val="8"/>
                <w:sz w:val="16"/>
                <w:szCs w:val="16"/>
              </w:rPr>
              <w:t>3</w:t>
            </w:r>
            <w:r>
              <w:rPr>
                <w:rFonts w:hint="default" w:ascii="Times New Roman" w:hAnsi="Times New Roman" w:eastAsia="宋体" w:cs="Times New Roman"/>
                <w:color w:val="auto"/>
                <w:spacing w:val="-8"/>
                <w:sz w:val="24"/>
                <w:szCs w:val="24"/>
              </w:rPr>
              <w:t>，</w:t>
            </w:r>
            <w:r>
              <w:rPr>
                <w:rFonts w:hint="default" w:ascii="Times New Roman" w:hAnsi="Times New Roman" w:eastAsia="宋体" w:cs="Times New Roman"/>
                <w:color w:val="auto"/>
                <w:spacing w:val="-1"/>
                <w:sz w:val="24"/>
                <w:szCs w:val="24"/>
              </w:rPr>
              <w:t>全部回用于场地洒水降尘、建筑材料冲洗等施工环节，不外排</w:t>
            </w:r>
            <w:r>
              <w:rPr>
                <w:rFonts w:hint="eastAsia" w:ascii="Times New Roman" w:hAnsi="Times New Roman" w:eastAsia="宋体" w:cs="Times New Roman"/>
                <w:color w:val="auto"/>
                <w:kern w:val="2"/>
                <w:sz w:val="24"/>
                <w:szCs w:val="24"/>
                <w:lang w:val="en-US" w:eastAsia="zh-CN" w:bidi="ar-SA"/>
              </w:rPr>
              <w:t>，对周围水环境影响不大。</w:t>
            </w:r>
          </w:p>
          <w:p>
            <w:pPr>
              <w:widowControl w:val="0"/>
              <w:spacing w:beforeLines="0" w:afterLines="0" w:line="360" w:lineRule="auto"/>
              <w:ind w:firstLine="482" w:firstLineChars="200"/>
              <w:jc w:val="both"/>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（2）施工人员废水</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default" w:ascii="Times New Roman" w:hAnsi="Times New Roman" w:eastAsia="宋体" w:cs="Times New Roman"/>
                <w:b w:val="0"/>
                <w:bCs w:val="0"/>
                <w:snapToGrid w:val="0"/>
                <w:color w:val="auto"/>
                <w:spacing w:val="10"/>
                <w:sz w:val="24"/>
                <w:highlight w:val="none"/>
                <w:lang w:val="en-US" w:eastAsia="zh-CN"/>
              </w:rPr>
              <w:t>项目施工工期</w:t>
            </w:r>
            <w:r>
              <w:rPr>
                <w:rFonts w:hint="eastAsia" w:ascii="Times New Roman" w:hAnsi="Times New Roman" w:eastAsia="宋体" w:cs="Times New Roman"/>
                <w:b w:val="0"/>
                <w:bCs w:val="0"/>
                <w:snapToGrid w:val="0"/>
                <w:color w:val="auto"/>
                <w:spacing w:val="10"/>
                <w:sz w:val="24"/>
                <w:highlight w:val="none"/>
                <w:lang w:val="en-US" w:eastAsia="zh-CN"/>
              </w:rPr>
              <w:t>7</w:t>
            </w:r>
            <w:r>
              <w:rPr>
                <w:rFonts w:hint="default" w:ascii="Times New Roman" w:hAnsi="Times New Roman" w:eastAsia="宋体" w:cs="Times New Roman"/>
                <w:b w:val="0"/>
                <w:bCs w:val="0"/>
                <w:snapToGrid w:val="0"/>
                <w:color w:val="auto"/>
                <w:spacing w:val="10"/>
                <w:sz w:val="24"/>
                <w:highlight w:val="none"/>
                <w:lang w:val="en-US" w:eastAsia="zh-CN"/>
              </w:rPr>
              <w:t>个月，施工人数平均约</w:t>
            </w:r>
            <w:r>
              <w:rPr>
                <w:rFonts w:hint="eastAsia" w:ascii="Times New Roman" w:hAnsi="Times New Roman" w:eastAsia="宋体" w:cs="Times New Roman"/>
                <w:b w:val="0"/>
                <w:bCs w:val="0"/>
                <w:snapToGrid w:val="0"/>
                <w:color w:val="auto"/>
                <w:spacing w:val="10"/>
                <w:sz w:val="24"/>
                <w:highlight w:val="none"/>
                <w:lang w:val="en-US" w:eastAsia="zh-CN"/>
              </w:rPr>
              <w:t>2</w:t>
            </w:r>
            <w:r>
              <w:rPr>
                <w:rFonts w:hint="default" w:ascii="Times New Roman" w:hAnsi="Times New Roman" w:eastAsia="宋体" w:cs="Times New Roman"/>
                <w:b w:val="0"/>
                <w:bCs w:val="0"/>
                <w:snapToGrid w:val="0"/>
                <w:color w:val="auto"/>
                <w:spacing w:val="10"/>
                <w:sz w:val="24"/>
                <w:highlight w:val="none"/>
                <w:lang w:val="en-US" w:eastAsia="zh-CN"/>
              </w:rPr>
              <w:t>00人/d，施工人员均为周边的村民，施工人员均不在场内食宿，施工</w:t>
            </w:r>
            <w:r>
              <w:rPr>
                <w:rFonts w:hint="eastAsia" w:ascii="Times New Roman" w:hAnsi="Times New Roman" w:eastAsia="宋体" w:cs="Times New Roman"/>
                <w:b w:val="0"/>
                <w:bCs w:val="0"/>
                <w:snapToGrid w:val="0"/>
                <w:color w:val="auto"/>
                <w:spacing w:val="10"/>
                <w:sz w:val="24"/>
                <w:highlight w:val="none"/>
                <w:lang w:val="en-US" w:eastAsia="zh-CN"/>
              </w:rPr>
              <w:t>场</w:t>
            </w:r>
            <w:r>
              <w:rPr>
                <w:rFonts w:hint="default" w:ascii="Times New Roman" w:hAnsi="Times New Roman" w:eastAsia="宋体" w:cs="Times New Roman"/>
                <w:b w:val="0"/>
                <w:bCs w:val="0"/>
                <w:snapToGrid w:val="0"/>
                <w:color w:val="auto"/>
                <w:spacing w:val="10"/>
                <w:sz w:val="24"/>
                <w:highlight w:val="none"/>
                <w:lang w:val="en-US" w:eastAsia="zh-CN"/>
              </w:rPr>
              <w:t>区设置旱厕。生活用水按10L/d·人，用水量为</w:t>
            </w:r>
            <w:r>
              <w:rPr>
                <w:rFonts w:hint="eastAsia" w:ascii="Times New Roman" w:hAnsi="Times New Roman" w:eastAsia="宋体" w:cs="Times New Roman"/>
                <w:b w:val="0"/>
                <w:bCs w:val="0"/>
                <w:snapToGrid w:val="0"/>
                <w:color w:val="auto"/>
                <w:spacing w:val="10"/>
                <w:sz w:val="24"/>
                <w:highlight w:val="none"/>
                <w:lang w:val="en-US" w:eastAsia="zh-CN"/>
              </w:rPr>
              <w:t>2</w:t>
            </w:r>
            <w:r>
              <w:rPr>
                <w:rFonts w:hint="default" w:ascii="Times New Roman" w:hAnsi="Times New Roman" w:eastAsia="宋体" w:cs="Times New Roman"/>
                <w:b w:val="0"/>
                <w:bCs w:val="0"/>
                <w:snapToGrid w:val="0"/>
                <w:color w:val="auto"/>
                <w:spacing w:val="10"/>
                <w:sz w:val="24"/>
                <w:highlight w:val="none"/>
                <w:lang w:val="en-US" w:eastAsia="zh-CN"/>
              </w:rPr>
              <w:t>m</w:t>
            </w:r>
            <w:r>
              <w:rPr>
                <w:rFonts w:hint="default" w:ascii="Times New Roman" w:hAnsi="Times New Roman" w:eastAsia="宋体" w:cs="Times New Roman"/>
                <w:b w:val="0"/>
                <w:bCs w:val="0"/>
                <w:snapToGrid w:val="0"/>
                <w:color w:val="auto"/>
                <w:spacing w:val="10"/>
                <w:sz w:val="24"/>
                <w:highlight w:val="none"/>
                <w:vertAlign w:val="superscript"/>
                <w:lang w:val="en-US" w:eastAsia="zh-CN"/>
              </w:rPr>
              <w:t>3</w:t>
            </w:r>
            <w:r>
              <w:rPr>
                <w:rFonts w:hint="default" w:ascii="Times New Roman" w:hAnsi="Times New Roman" w:eastAsia="宋体" w:cs="Times New Roman"/>
                <w:b w:val="0"/>
                <w:bCs w:val="0"/>
                <w:snapToGrid w:val="0"/>
                <w:color w:val="auto"/>
                <w:spacing w:val="10"/>
                <w:sz w:val="24"/>
                <w:highlight w:val="none"/>
                <w:lang w:val="en-US" w:eastAsia="zh-CN"/>
              </w:rPr>
              <w:t>/d。生活污水量按用水量的80%计算，生活污水量为</w:t>
            </w:r>
            <w:r>
              <w:rPr>
                <w:rFonts w:hint="eastAsia" w:ascii="Times New Roman" w:hAnsi="Times New Roman" w:eastAsia="宋体" w:cs="Times New Roman"/>
                <w:b w:val="0"/>
                <w:bCs w:val="0"/>
                <w:snapToGrid w:val="0"/>
                <w:color w:val="auto"/>
                <w:spacing w:val="10"/>
                <w:sz w:val="24"/>
                <w:highlight w:val="none"/>
                <w:lang w:val="en-US" w:eastAsia="zh-CN"/>
              </w:rPr>
              <w:t>1.6</w:t>
            </w:r>
            <w:r>
              <w:rPr>
                <w:rFonts w:hint="default" w:ascii="Times New Roman" w:hAnsi="Times New Roman" w:eastAsia="宋体" w:cs="Times New Roman"/>
                <w:b w:val="0"/>
                <w:bCs w:val="0"/>
                <w:snapToGrid w:val="0"/>
                <w:color w:val="auto"/>
                <w:spacing w:val="10"/>
                <w:sz w:val="24"/>
                <w:highlight w:val="none"/>
                <w:lang w:val="en-US" w:eastAsia="zh-CN"/>
              </w:rPr>
              <w:t>m</w:t>
            </w:r>
            <w:r>
              <w:rPr>
                <w:rFonts w:hint="default" w:ascii="Times New Roman" w:hAnsi="Times New Roman" w:eastAsia="宋体" w:cs="Times New Roman"/>
                <w:b w:val="0"/>
                <w:bCs w:val="0"/>
                <w:snapToGrid w:val="0"/>
                <w:color w:val="auto"/>
                <w:spacing w:val="10"/>
                <w:sz w:val="24"/>
                <w:highlight w:val="none"/>
                <w:vertAlign w:val="superscript"/>
                <w:lang w:val="en-US" w:eastAsia="zh-CN"/>
              </w:rPr>
              <w:t>3</w:t>
            </w:r>
            <w:r>
              <w:rPr>
                <w:rFonts w:hint="default" w:ascii="Times New Roman" w:hAnsi="Times New Roman" w:eastAsia="宋体" w:cs="Times New Roman"/>
                <w:b w:val="0"/>
                <w:bCs w:val="0"/>
                <w:snapToGrid w:val="0"/>
                <w:color w:val="auto"/>
                <w:spacing w:val="10"/>
                <w:sz w:val="24"/>
                <w:highlight w:val="none"/>
                <w:lang w:val="en-US" w:eastAsia="zh-CN"/>
              </w:rPr>
              <w:t>/d</w:t>
            </w:r>
            <w:r>
              <w:rPr>
                <w:rFonts w:hint="eastAsia" w:ascii="Times New Roman" w:hAnsi="Times New Roman" w:eastAsia="宋体" w:cs="Times New Roman"/>
                <w:b w:val="0"/>
                <w:bCs w:val="0"/>
                <w:snapToGrid w:val="0"/>
                <w:color w:val="auto"/>
                <w:spacing w:val="10"/>
                <w:sz w:val="24"/>
                <w:highlight w:val="none"/>
                <w:lang w:val="en-US" w:eastAsia="zh-CN"/>
              </w:rPr>
              <w:t>、144</w:t>
            </w:r>
            <w:r>
              <w:rPr>
                <w:rFonts w:hint="default" w:ascii="Times New Roman" w:hAnsi="Times New Roman" w:eastAsia="宋体" w:cs="Times New Roman"/>
                <w:b w:val="0"/>
                <w:bCs w:val="0"/>
                <w:snapToGrid w:val="0"/>
                <w:color w:val="auto"/>
                <w:spacing w:val="10"/>
                <w:sz w:val="24"/>
                <w:highlight w:val="none"/>
                <w:lang w:val="en-US" w:eastAsia="zh-CN"/>
              </w:rPr>
              <w:t>m</w:t>
            </w:r>
            <w:r>
              <w:rPr>
                <w:rFonts w:hint="default" w:ascii="Times New Roman" w:hAnsi="Times New Roman" w:eastAsia="宋体" w:cs="Times New Roman"/>
                <w:b w:val="0"/>
                <w:bCs w:val="0"/>
                <w:snapToGrid w:val="0"/>
                <w:color w:val="auto"/>
                <w:spacing w:val="10"/>
                <w:sz w:val="24"/>
                <w:highlight w:val="none"/>
                <w:vertAlign w:val="superscript"/>
                <w:lang w:val="en-US" w:eastAsia="zh-CN"/>
              </w:rPr>
              <w:t>3</w:t>
            </w:r>
            <w:r>
              <w:rPr>
                <w:rFonts w:hint="default" w:ascii="Times New Roman" w:hAnsi="Times New Roman" w:eastAsia="宋体" w:cs="Times New Roman"/>
                <w:b w:val="0"/>
                <w:bCs w:val="0"/>
                <w:snapToGrid w:val="0"/>
                <w:color w:val="auto"/>
                <w:spacing w:val="10"/>
                <w:sz w:val="24"/>
                <w:highlight w:val="none"/>
                <w:lang w:val="en-US" w:eastAsia="zh-CN"/>
              </w:rPr>
              <w:t>，产生的生活用水均为清洁废水，</w:t>
            </w:r>
            <w:r>
              <w:rPr>
                <w:rFonts w:hint="eastAsia" w:ascii="Times New Roman" w:hAnsi="Times New Roman" w:eastAsia="宋体" w:cs="Times New Roman"/>
                <w:b w:val="0"/>
                <w:bCs w:val="0"/>
                <w:snapToGrid w:val="0"/>
                <w:color w:val="auto"/>
                <w:spacing w:val="10"/>
                <w:sz w:val="24"/>
                <w:highlight w:val="none"/>
                <w:lang w:val="en-US" w:eastAsia="zh-CN"/>
              </w:rPr>
              <w:t>根据目前施工实际情况</w:t>
            </w:r>
            <w:r>
              <w:rPr>
                <w:rFonts w:hint="default" w:ascii="Times New Roman" w:hAnsi="Times New Roman" w:eastAsia="宋体" w:cs="Times New Roman"/>
                <w:b w:val="0"/>
                <w:bCs w:val="0"/>
                <w:snapToGrid w:val="0"/>
                <w:color w:val="auto"/>
                <w:spacing w:val="10"/>
                <w:sz w:val="24"/>
                <w:highlight w:val="none"/>
                <w:lang w:val="en-US" w:eastAsia="zh-CN"/>
              </w:rPr>
              <w:t>产生的清洁废水收集于</w:t>
            </w:r>
            <w:r>
              <w:rPr>
                <w:rFonts w:hint="eastAsia" w:ascii="Times New Roman" w:hAnsi="Times New Roman" w:eastAsia="宋体" w:cs="Times New Roman"/>
                <w:b w:val="0"/>
                <w:bCs w:val="0"/>
                <w:snapToGrid w:val="0"/>
                <w:color w:val="auto"/>
                <w:spacing w:val="10"/>
                <w:sz w:val="24"/>
                <w:highlight w:val="none"/>
                <w:lang w:val="en-US" w:eastAsia="zh-CN"/>
              </w:rPr>
              <w:t>收集桶内沉淀后</w:t>
            </w:r>
            <w:r>
              <w:rPr>
                <w:rFonts w:hint="default" w:ascii="Times New Roman" w:hAnsi="Times New Roman" w:eastAsia="宋体" w:cs="Times New Roman"/>
                <w:b w:val="0"/>
                <w:bCs w:val="0"/>
                <w:snapToGrid w:val="0"/>
                <w:color w:val="auto"/>
                <w:spacing w:val="10"/>
                <w:sz w:val="24"/>
                <w:highlight w:val="none"/>
                <w:lang w:val="en-US" w:eastAsia="zh-CN"/>
              </w:rPr>
              <w:t>用于道路洒水降尘，</w:t>
            </w:r>
            <w:r>
              <w:rPr>
                <w:rFonts w:hint="eastAsia" w:ascii="Times New Roman" w:hAnsi="Times New Roman" w:eastAsia="宋体" w:cs="Times New Roman"/>
                <w:b w:val="0"/>
                <w:bCs w:val="0"/>
                <w:snapToGrid w:val="0"/>
                <w:color w:val="auto"/>
                <w:spacing w:val="10"/>
                <w:sz w:val="24"/>
                <w:highlight w:val="none"/>
                <w:lang w:val="en-US" w:eastAsia="zh-CN"/>
              </w:rPr>
              <w:t>生活污水</w:t>
            </w:r>
            <w:r>
              <w:rPr>
                <w:rFonts w:hint="default" w:ascii="Times New Roman" w:hAnsi="Times New Roman" w:eastAsia="宋体" w:cs="Times New Roman"/>
                <w:b w:val="0"/>
                <w:bCs w:val="0"/>
                <w:snapToGrid w:val="0"/>
                <w:color w:val="auto"/>
                <w:spacing w:val="10"/>
                <w:sz w:val="24"/>
                <w:highlight w:val="none"/>
                <w:lang w:val="en-US" w:eastAsia="zh-CN"/>
              </w:rPr>
              <w:t>量较小与施工废水合用一个沉淀池；产生的粪便排入旱厕后定期清掏</w:t>
            </w:r>
            <w:r>
              <w:rPr>
                <w:rFonts w:hint="eastAsia" w:ascii="Times New Roman" w:hAnsi="Times New Roman" w:eastAsia="宋体" w:cs="Times New Roman"/>
                <w:b w:val="0"/>
                <w:bCs w:val="0"/>
                <w:snapToGrid w:val="0"/>
                <w:color w:val="auto"/>
                <w:spacing w:val="10"/>
                <w:sz w:val="24"/>
                <w:highlight w:val="none"/>
                <w:lang w:val="en-US" w:eastAsia="zh-CN"/>
              </w:rPr>
              <w:t>用于农田施肥</w:t>
            </w:r>
            <w:r>
              <w:rPr>
                <w:rFonts w:hint="default" w:ascii="Times New Roman" w:hAnsi="Times New Roman" w:eastAsia="宋体" w:cs="Times New Roman"/>
                <w:b w:val="0"/>
                <w:bCs w:val="0"/>
                <w:snapToGrid w:val="0"/>
                <w:color w:val="auto"/>
                <w:spacing w:val="10"/>
                <w:sz w:val="24"/>
                <w:highlight w:val="none"/>
                <w:lang w:val="en-US" w:eastAsia="zh-CN"/>
              </w:rPr>
              <w:t>。</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default" w:ascii="Times New Roman" w:hAnsi="Times New Roman" w:eastAsia="宋体" w:cs="Times New Roman"/>
                <w:b w:val="0"/>
                <w:bCs w:val="0"/>
                <w:snapToGrid w:val="0"/>
                <w:color w:val="auto"/>
                <w:spacing w:val="10"/>
                <w:sz w:val="24"/>
                <w:highlight w:val="none"/>
                <w:lang w:val="en-US" w:eastAsia="zh-CN"/>
              </w:rPr>
              <w:t>生活污水主要污染物BOD</w:t>
            </w:r>
            <w:r>
              <w:rPr>
                <w:rFonts w:hint="default" w:ascii="Times New Roman" w:hAnsi="Times New Roman" w:eastAsia="宋体" w:cs="Times New Roman"/>
                <w:b w:val="0"/>
                <w:bCs w:val="0"/>
                <w:snapToGrid w:val="0"/>
                <w:color w:val="auto"/>
                <w:spacing w:val="10"/>
                <w:sz w:val="24"/>
                <w:highlight w:val="none"/>
                <w:vertAlign w:val="subscript"/>
                <w:lang w:val="en-US" w:eastAsia="zh-CN"/>
              </w:rPr>
              <w:t>5</w:t>
            </w:r>
            <w:r>
              <w:rPr>
                <w:rFonts w:hint="default" w:ascii="Times New Roman" w:hAnsi="Times New Roman" w:eastAsia="宋体" w:cs="Times New Roman"/>
                <w:b w:val="0"/>
                <w:bCs w:val="0"/>
                <w:snapToGrid w:val="0"/>
                <w:color w:val="auto"/>
                <w:spacing w:val="10"/>
                <w:sz w:val="24"/>
                <w:highlight w:val="none"/>
                <w:lang w:val="en-US" w:eastAsia="zh-CN"/>
              </w:rPr>
              <w:t>、CODCr、氨氮、SS等，为避免给环境带来污染，施工人员均为周边的村民，施工人员均不在场内食宿。环评要求：施工</w:t>
            </w:r>
            <w:r>
              <w:rPr>
                <w:rFonts w:hint="eastAsia" w:ascii="Times New Roman" w:hAnsi="Times New Roman" w:eastAsia="宋体" w:cs="Times New Roman"/>
                <w:b w:val="0"/>
                <w:bCs w:val="0"/>
                <w:snapToGrid w:val="0"/>
                <w:color w:val="auto"/>
                <w:spacing w:val="10"/>
                <w:sz w:val="24"/>
                <w:highlight w:val="none"/>
                <w:lang w:val="en-US" w:eastAsia="zh-CN"/>
              </w:rPr>
              <w:t>场</w:t>
            </w:r>
            <w:r>
              <w:rPr>
                <w:rFonts w:hint="default" w:ascii="Times New Roman" w:hAnsi="Times New Roman" w:eastAsia="宋体" w:cs="Times New Roman"/>
                <w:b w:val="0"/>
                <w:bCs w:val="0"/>
                <w:snapToGrid w:val="0"/>
                <w:color w:val="auto"/>
                <w:spacing w:val="10"/>
                <w:sz w:val="24"/>
                <w:highlight w:val="none"/>
                <w:lang w:val="en-US" w:eastAsia="zh-CN"/>
              </w:rPr>
              <w:t>区设置1个旱厕，用于收集粪便。生活</w:t>
            </w:r>
            <w:r>
              <w:rPr>
                <w:rFonts w:hint="eastAsia" w:ascii="Times New Roman" w:hAnsi="Times New Roman" w:eastAsia="宋体" w:cs="Times New Roman"/>
                <w:b w:val="0"/>
                <w:bCs w:val="0"/>
                <w:snapToGrid w:val="0"/>
                <w:color w:val="auto"/>
                <w:spacing w:val="10"/>
                <w:sz w:val="24"/>
                <w:highlight w:val="none"/>
                <w:lang w:val="en-US" w:eastAsia="zh-CN"/>
              </w:rPr>
              <w:t>污</w:t>
            </w:r>
            <w:r>
              <w:rPr>
                <w:rFonts w:hint="default" w:ascii="Times New Roman" w:hAnsi="Times New Roman" w:eastAsia="宋体" w:cs="Times New Roman"/>
                <w:b w:val="0"/>
                <w:bCs w:val="0"/>
                <w:snapToGrid w:val="0"/>
                <w:color w:val="auto"/>
                <w:spacing w:val="10"/>
                <w:sz w:val="24"/>
                <w:highlight w:val="none"/>
                <w:lang w:val="en-US" w:eastAsia="zh-CN"/>
              </w:rPr>
              <w:t>水为</w:t>
            </w:r>
            <w:r>
              <w:rPr>
                <w:rFonts w:hint="eastAsia" w:ascii="Times New Roman" w:hAnsi="Times New Roman" w:eastAsia="宋体" w:cs="Times New Roman"/>
                <w:b w:val="0"/>
                <w:bCs w:val="0"/>
                <w:snapToGrid w:val="0"/>
                <w:color w:val="auto"/>
                <w:spacing w:val="10"/>
                <w:sz w:val="24"/>
                <w:highlight w:val="none"/>
                <w:lang w:val="en-US" w:eastAsia="zh-CN"/>
              </w:rPr>
              <w:t>清洗手</w:t>
            </w:r>
            <w:r>
              <w:rPr>
                <w:rFonts w:hint="default" w:ascii="Times New Roman" w:hAnsi="Times New Roman" w:eastAsia="宋体" w:cs="Times New Roman"/>
                <w:b w:val="0"/>
                <w:bCs w:val="0"/>
                <w:snapToGrid w:val="0"/>
                <w:color w:val="auto"/>
                <w:spacing w:val="10"/>
                <w:sz w:val="24"/>
                <w:highlight w:val="none"/>
                <w:lang w:val="en-US" w:eastAsia="zh-CN"/>
              </w:rPr>
              <w:t>废水，收集于沉淀池用于道路洒水降尘，</w:t>
            </w:r>
            <w:r>
              <w:rPr>
                <w:rFonts w:hint="eastAsia" w:ascii="Times New Roman" w:hAnsi="Times New Roman" w:eastAsia="宋体" w:cs="Times New Roman"/>
                <w:b w:val="0"/>
                <w:bCs w:val="0"/>
                <w:snapToGrid w:val="0"/>
                <w:color w:val="auto"/>
                <w:spacing w:val="10"/>
                <w:sz w:val="24"/>
                <w:highlight w:val="none"/>
                <w:lang w:val="en-US" w:eastAsia="zh-CN"/>
              </w:rPr>
              <w:t>生活污水</w:t>
            </w:r>
            <w:r>
              <w:rPr>
                <w:rFonts w:hint="default" w:ascii="Times New Roman" w:hAnsi="Times New Roman" w:eastAsia="宋体" w:cs="Times New Roman"/>
                <w:b w:val="0"/>
                <w:bCs w:val="0"/>
                <w:snapToGrid w:val="0"/>
                <w:color w:val="auto"/>
                <w:spacing w:val="10"/>
                <w:sz w:val="24"/>
                <w:highlight w:val="none"/>
                <w:lang w:val="en-US" w:eastAsia="zh-CN"/>
              </w:rPr>
              <w:t>量较小与施工废水合用</w:t>
            </w:r>
            <w:r>
              <w:rPr>
                <w:rFonts w:hint="eastAsia" w:ascii="Times New Roman" w:hAnsi="Times New Roman" w:eastAsia="宋体" w:cs="Times New Roman"/>
                <w:b w:val="0"/>
                <w:bCs w:val="0"/>
                <w:snapToGrid w:val="0"/>
                <w:color w:val="auto"/>
                <w:spacing w:val="10"/>
                <w:sz w:val="24"/>
                <w:highlight w:val="none"/>
                <w:lang w:val="en-US" w:eastAsia="zh-CN"/>
              </w:rPr>
              <w:t>3个2</w:t>
            </w:r>
            <w:r>
              <w:rPr>
                <w:rFonts w:hint="default" w:ascii="Times New Roman" w:hAnsi="Times New Roman" w:eastAsia="宋体" w:cs="Times New Roman"/>
                <w:b w:val="0"/>
                <w:bCs w:val="0"/>
                <w:snapToGrid w:val="0"/>
                <w:color w:val="auto"/>
                <w:spacing w:val="10"/>
                <w:sz w:val="24"/>
                <w:highlight w:val="none"/>
                <w:lang w:val="en-US" w:eastAsia="zh-CN"/>
              </w:rPr>
              <w:t>m</w:t>
            </w:r>
            <w:r>
              <w:rPr>
                <w:rFonts w:hint="default" w:ascii="Times New Roman" w:hAnsi="Times New Roman" w:eastAsia="宋体" w:cs="Times New Roman"/>
                <w:b w:val="0"/>
                <w:bCs w:val="0"/>
                <w:snapToGrid w:val="0"/>
                <w:color w:val="auto"/>
                <w:spacing w:val="10"/>
                <w:sz w:val="24"/>
                <w:highlight w:val="none"/>
                <w:vertAlign w:val="superscript"/>
                <w:lang w:val="en-US" w:eastAsia="zh-CN"/>
              </w:rPr>
              <w:t>3</w:t>
            </w:r>
            <w:r>
              <w:rPr>
                <w:rFonts w:hint="eastAsia" w:ascii="Times New Roman" w:hAnsi="Times New Roman" w:eastAsia="宋体" w:cs="Times New Roman"/>
                <w:b w:val="0"/>
                <w:bCs w:val="0"/>
                <w:snapToGrid w:val="0"/>
                <w:color w:val="auto"/>
                <w:spacing w:val="10"/>
                <w:sz w:val="24"/>
                <w:highlight w:val="none"/>
                <w:lang w:val="en-US" w:eastAsia="zh-CN"/>
              </w:rPr>
              <w:t>的移动式收集桶、1座6</w:t>
            </w:r>
            <w:r>
              <w:rPr>
                <w:rFonts w:hint="default" w:ascii="Times New Roman" w:hAnsi="Times New Roman" w:eastAsia="宋体" w:cs="Times New Roman"/>
                <w:b w:val="0"/>
                <w:bCs w:val="0"/>
                <w:snapToGrid w:val="0"/>
                <w:color w:val="auto"/>
                <w:spacing w:val="10"/>
                <w:sz w:val="24"/>
                <w:highlight w:val="none"/>
                <w:lang w:val="en-US" w:eastAsia="zh-CN"/>
              </w:rPr>
              <w:t>m</w:t>
            </w:r>
            <w:r>
              <w:rPr>
                <w:rFonts w:hint="default" w:ascii="Times New Roman" w:hAnsi="Times New Roman" w:eastAsia="宋体" w:cs="Times New Roman"/>
                <w:b w:val="0"/>
                <w:bCs w:val="0"/>
                <w:snapToGrid w:val="0"/>
                <w:color w:val="auto"/>
                <w:spacing w:val="10"/>
                <w:sz w:val="24"/>
                <w:highlight w:val="none"/>
                <w:vertAlign w:val="superscript"/>
                <w:lang w:val="en-US" w:eastAsia="zh-CN"/>
              </w:rPr>
              <w:t>3</w:t>
            </w:r>
            <w:r>
              <w:rPr>
                <w:rFonts w:hint="eastAsia" w:ascii="Times New Roman" w:hAnsi="Times New Roman" w:eastAsia="宋体" w:cs="Times New Roman"/>
                <w:b w:val="0"/>
                <w:bCs w:val="0"/>
                <w:snapToGrid w:val="0"/>
                <w:color w:val="auto"/>
                <w:spacing w:val="10"/>
                <w:sz w:val="24"/>
                <w:highlight w:val="none"/>
                <w:lang w:val="en-US" w:eastAsia="zh-CN"/>
              </w:rPr>
              <w:t>临时沉淀池</w:t>
            </w:r>
            <w:r>
              <w:rPr>
                <w:rFonts w:hint="default" w:ascii="Times New Roman" w:hAnsi="Times New Roman" w:eastAsia="宋体" w:cs="Times New Roman"/>
                <w:b w:val="0"/>
                <w:bCs w:val="0"/>
                <w:snapToGrid w:val="0"/>
                <w:color w:val="auto"/>
                <w:spacing w:val="10"/>
                <w:sz w:val="24"/>
                <w:highlight w:val="none"/>
                <w:lang w:val="en-US" w:eastAsia="zh-CN"/>
              </w:rPr>
              <w:t>；产生的粪便排入旱厕后定期清掏</w:t>
            </w:r>
            <w:r>
              <w:rPr>
                <w:rFonts w:hint="eastAsia" w:ascii="Times New Roman" w:hAnsi="Times New Roman" w:eastAsia="宋体" w:cs="Times New Roman"/>
                <w:b w:val="0"/>
                <w:bCs w:val="0"/>
                <w:snapToGrid w:val="0"/>
                <w:color w:val="auto"/>
                <w:spacing w:val="10"/>
                <w:sz w:val="24"/>
                <w:highlight w:val="none"/>
                <w:lang w:val="en-US" w:eastAsia="zh-CN"/>
              </w:rPr>
              <w:t>用于周边农田施肥</w:t>
            </w:r>
            <w:r>
              <w:rPr>
                <w:rFonts w:hint="default" w:ascii="Times New Roman" w:hAnsi="Times New Roman" w:eastAsia="宋体" w:cs="Times New Roman"/>
                <w:b w:val="0"/>
                <w:bCs w:val="0"/>
                <w:snapToGrid w:val="0"/>
                <w:color w:val="auto"/>
                <w:spacing w:val="10"/>
                <w:sz w:val="24"/>
                <w:highlight w:val="none"/>
                <w:lang w:val="en-US" w:eastAsia="zh-CN"/>
              </w:rPr>
              <w:t>。</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default" w:ascii="Times New Roman" w:hAnsi="Times New Roman" w:eastAsia="宋体" w:cs="Times New Roman"/>
                <w:b w:val="0"/>
                <w:bCs w:val="0"/>
                <w:snapToGrid w:val="0"/>
                <w:color w:val="auto"/>
                <w:spacing w:val="10"/>
                <w:sz w:val="24"/>
                <w:highlight w:val="none"/>
                <w:lang w:val="en-US" w:eastAsia="zh-CN"/>
              </w:rPr>
              <w:t>综上所述，项目施工期产生废水均经处理后全部回收利用，不外排，对周围地表水环境影响较小。</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both"/>
              <w:textAlignment w:val="auto"/>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（3）雨季径流</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项目场内基础开挖会形成裸露面，在施工期遇到下大雨，雨水形成地表径流冲刷浮土、建筑砂石等形成的泥浆水，会携带大量泥沙、水泥、油类及其它地表固体污染物。当其进入水体后会造成水体污染，致使水体水质下降。由于项目场地区域坡陡，面积较大，地表径流产生量较大，但项目动土部分主要为场区道路、升压站、逆变器及少量光伏列阵支架施工，动土面积相对较小，径流的面源污染相对较小。雨天形成的地表径流会通过低洼处流入周围的排水沟，其污染物主要为</w:t>
            </w:r>
            <w:r>
              <w:rPr>
                <w:rFonts w:hint="default" w:ascii="Times New Roman" w:hAnsi="Times New Roman" w:eastAsia="宋体" w:cs="Times New Roman"/>
                <w:b w:val="0"/>
                <w:bCs w:val="0"/>
                <w:snapToGrid w:val="0"/>
                <w:color w:val="auto"/>
                <w:spacing w:val="10"/>
                <w:sz w:val="24"/>
                <w:highlight w:val="none"/>
                <w:lang w:val="en-US" w:eastAsia="zh-CN"/>
              </w:rPr>
              <w:t>SS</w:t>
            </w:r>
            <w:r>
              <w:rPr>
                <w:rFonts w:hint="eastAsia" w:ascii="Times New Roman" w:hAnsi="Times New Roman" w:eastAsia="宋体" w:cs="Times New Roman"/>
                <w:b w:val="0"/>
                <w:bCs w:val="0"/>
                <w:snapToGrid w:val="0"/>
                <w:color w:val="auto"/>
                <w:spacing w:val="10"/>
                <w:sz w:val="24"/>
                <w:highlight w:val="none"/>
                <w:lang w:val="en-US" w:eastAsia="zh-CN"/>
              </w:rPr>
              <w:t>。根据现场调查，项目区所在的排土场内排水去向主要分两块，东侧、南侧汇水经进场道路排水沟截排引至下游经沉砂池沉淀后排入东侧白衣</w:t>
            </w:r>
            <w:r>
              <w:rPr>
                <w:rFonts w:hint="default" w:ascii="Times New Roman" w:hAnsi="Times New Roman" w:eastAsia="宋体" w:cs="Times New Roman"/>
                <w:b w:val="0"/>
                <w:bCs w:val="0"/>
                <w:snapToGrid w:val="0"/>
                <w:color w:val="auto"/>
                <w:spacing w:val="10"/>
                <w:sz w:val="24"/>
                <w:highlight w:val="none"/>
                <w:lang w:val="en-US" w:eastAsia="zh-CN"/>
              </w:rPr>
              <w:t>河；西侧、北侧</w:t>
            </w:r>
            <w:r>
              <w:rPr>
                <w:rFonts w:hint="eastAsia" w:ascii="Times New Roman" w:hAnsi="Times New Roman" w:eastAsia="宋体" w:cs="Times New Roman"/>
                <w:b w:val="0"/>
                <w:bCs w:val="0"/>
                <w:snapToGrid w:val="0"/>
                <w:color w:val="auto"/>
                <w:spacing w:val="10"/>
                <w:sz w:val="24"/>
                <w:highlight w:val="none"/>
                <w:lang w:val="en-US" w:eastAsia="zh-CN"/>
              </w:rPr>
              <w:t>汇水经进场道路及堆土平台排水沟截排引至排土场下游沉淀池经沉淀后排入自然沟箐，</w:t>
            </w:r>
            <w:r>
              <w:rPr>
                <w:rFonts w:hint="default" w:ascii="Times New Roman" w:hAnsi="Times New Roman" w:eastAsia="宋体" w:cs="Times New Roman"/>
                <w:b w:val="0"/>
                <w:bCs w:val="0"/>
                <w:snapToGrid w:val="0"/>
                <w:color w:val="auto"/>
                <w:spacing w:val="10"/>
                <w:sz w:val="24"/>
                <w:highlight w:val="none"/>
                <w:lang w:val="en-US" w:eastAsia="zh-CN"/>
              </w:rPr>
              <w:t>区域地表径流及水系最终进入龙川江。</w:t>
            </w:r>
            <w:r>
              <w:rPr>
                <w:rFonts w:hint="eastAsia" w:ascii="Times New Roman" w:hAnsi="Times New Roman" w:eastAsia="宋体" w:cs="Times New Roman"/>
                <w:b w:val="0"/>
                <w:bCs w:val="0"/>
                <w:snapToGrid w:val="0"/>
                <w:color w:val="auto"/>
                <w:spacing w:val="10"/>
                <w:sz w:val="24"/>
                <w:highlight w:val="none"/>
                <w:lang w:val="en-US" w:eastAsia="zh-CN"/>
              </w:rPr>
              <w:t>整个项目区的雨季径流不会进入水库和坝塘，不会对其造成影响。排土场厂区内、排土场周边已经设置了排水沟，末端设置了沉砂池，场区雨水经沉砂池沉淀处理后，雨水径流中</w:t>
            </w:r>
            <w:r>
              <w:rPr>
                <w:rFonts w:hint="default" w:ascii="Times New Roman" w:hAnsi="Times New Roman" w:eastAsia="宋体" w:cs="Times New Roman"/>
                <w:b w:val="0"/>
                <w:bCs w:val="0"/>
                <w:snapToGrid w:val="0"/>
                <w:color w:val="auto"/>
                <w:spacing w:val="10"/>
                <w:sz w:val="24"/>
                <w:highlight w:val="none"/>
                <w:lang w:val="en-US" w:eastAsia="zh-CN"/>
              </w:rPr>
              <w:t>SS</w:t>
            </w:r>
            <w:r>
              <w:rPr>
                <w:rFonts w:hint="eastAsia" w:ascii="Times New Roman" w:hAnsi="Times New Roman" w:eastAsia="宋体" w:cs="Times New Roman"/>
                <w:b w:val="0"/>
                <w:bCs w:val="0"/>
                <w:snapToGrid w:val="0"/>
                <w:color w:val="auto"/>
                <w:spacing w:val="10"/>
                <w:sz w:val="24"/>
                <w:highlight w:val="none"/>
                <w:lang w:val="en-US" w:eastAsia="zh-CN"/>
              </w:rPr>
              <w:t>的浓度将大幅度降低，对项目周边水环境影响不大。</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由于施工期废水影响为短期影响，施工结束后即可终止，因此本项目在采取相应的污染防治措施后，施工期废水不会对周围地表水体产生长期的不利影响</w:t>
            </w:r>
            <w:r>
              <w:rPr>
                <w:rFonts w:hint="default" w:ascii="Times New Roman" w:hAnsi="Times New Roman" w:eastAsia="宋体" w:cs="Times New Roman"/>
                <w:b w:val="0"/>
                <w:bCs w:val="0"/>
                <w:snapToGrid w:val="0"/>
                <w:color w:val="auto"/>
                <w:spacing w:val="10"/>
                <w:sz w:val="24"/>
                <w:highlight w:val="none"/>
                <w:lang w:val="en-US" w:eastAsia="zh-CN"/>
              </w:rPr>
              <w:t>。</w:t>
            </w:r>
            <w:r>
              <w:rPr>
                <w:rFonts w:hint="eastAsia" w:ascii="Times New Roman" w:hAnsi="Times New Roman" w:eastAsia="宋体" w:cs="Times New Roman"/>
                <w:b w:val="0"/>
                <w:bCs w:val="0"/>
                <w:snapToGrid w:val="0"/>
                <w:color w:val="auto"/>
                <w:spacing w:val="10"/>
                <w:sz w:val="24"/>
                <w:highlight w:val="none"/>
                <w:lang w:val="en-US" w:eastAsia="zh-CN"/>
              </w:rPr>
              <w:t>根据现阶段施工情况，项目于2022年7月开始施工至今，施工阶段处于旱季，未产生雨季地表径流。</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both"/>
              <w:textAlignment w:val="auto"/>
              <w:rPr>
                <w:rFonts w:hint="default" w:ascii="Times New Roman" w:hAnsi="Times New Roman" w:eastAsia="宋体" w:cs="Times New Roman"/>
                <w:b/>
                <w:color w:val="auto"/>
                <w:kern w:val="2"/>
                <w:sz w:val="24"/>
                <w:szCs w:val="24"/>
                <w:lang w:val="en-US" w:eastAsia="zh-CN" w:bidi="ar-SA"/>
              </w:rPr>
            </w:pPr>
            <w:r>
              <w:rPr>
                <w:rFonts w:hint="eastAsia" w:cs="Times New Roman"/>
                <w:b/>
                <w:color w:val="auto"/>
                <w:kern w:val="2"/>
                <w:sz w:val="24"/>
                <w:szCs w:val="24"/>
                <w:lang w:val="en-US" w:eastAsia="zh-CN" w:bidi="ar-SA"/>
              </w:rPr>
              <w:t>4.1.4</w:t>
            </w:r>
            <w:r>
              <w:rPr>
                <w:rFonts w:hint="default" w:ascii="Times New Roman" w:hAnsi="Times New Roman" w:eastAsia="宋体" w:cs="Times New Roman"/>
                <w:b/>
                <w:color w:val="auto"/>
                <w:kern w:val="2"/>
                <w:sz w:val="24"/>
                <w:szCs w:val="24"/>
                <w:lang w:val="en-US" w:eastAsia="zh-CN" w:bidi="ar-SA"/>
              </w:rPr>
              <w:t>施工噪声影响</w:t>
            </w:r>
          </w:p>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1) 噪声源强</w:t>
            </w:r>
          </w:p>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项目施工期间噪声源主要为机械噪声，施工建设过程中将使用挖掘机、运输车辆等噪声较大的设备及车辆进行施工，各施工阶段的主要噪声源及其声级见下表。</w:t>
            </w:r>
          </w:p>
          <w:p>
            <w:pPr>
              <w:widowControl w:val="0"/>
              <w:spacing w:beforeLines="0" w:afterLines="0" w:line="240" w:lineRule="auto"/>
              <w:jc w:val="center"/>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表4-1   各施工阶段主要噪声源源强</w:t>
            </w:r>
          </w:p>
          <w:tbl>
            <w:tblPr>
              <w:tblStyle w:val="18"/>
              <w:tblW w:w="4998" w:type="pct"/>
              <w:tblInd w:w="-1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1672"/>
              <w:gridCol w:w="648"/>
              <w:gridCol w:w="2076"/>
              <w:gridCol w:w="291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9" w:type="pct"/>
                  <w:tcBorders>
                    <w:tl2br w:val="nil"/>
                    <w:tr2bl w:val="nil"/>
                  </w:tcBorders>
                  <w:noWrap w:val="0"/>
                  <w:vAlign w:val="center"/>
                </w:tcPr>
                <w:p>
                  <w:pPr>
                    <w:spacing w:before="66" w:line="185" w:lineRule="auto"/>
                    <w:jc w:val="center"/>
                    <w:rPr>
                      <w:rFonts w:hint="default" w:ascii="Times New Roman" w:hAnsi="Times New Roman" w:eastAsia="宋体" w:cs="Times New Roman"/>
                      <w:b/>
                      <w:bCs/>
                      <w:color w:val="auto"/>
                      <w:spacing w:val="-6"/>
                      <w:sz w:val="21"/>
                      <w:szCs w:val="21"/>
                      <w:lang w:val="en-US" w:eastAsia="zh-CN"/>
                    </w:rPr>
                  </w:pPr>
                  <w:r>
                    <w:rPr>
                      <w:rFonts w:hint="default" w:ascii="Times New Roman" w:hAnsi="Times New Roman" w:eastAsia="宋体" w:cs="Times New Roman"/>
                      <w:b/>
                      <w:bCs/>
                      <w:color w:val="auto"/>
                      <w:spacing w:val="-6"/>
                      <w:sz w:val="21"/>
                      <w:szCs w:val="21"/>
                    </w:rPr>
                    <w:t>序号</w:t>
                  </w:r>
                </w:p>
              </w:tc>
              <w:tc>
                <w:tcPr>
                  <w:tcW w:w="1035" w:type="pct"/>
                  <w:tcBorders>
                    <w:tl2br w:val="nil"/>
                    <w:tr2bl w:val="nil"/>
                  </w:tcBorders>
                  <w:noWrap w:val="0"/>
                  <w:vAlign w:val="center"/>
                </w:tcPr>
                <w:p>
                  <w:pPr>
                    <w:spacing w:before="66" w:line="185" w:lineRule="auto"/>
                    <w:jc w:val="center"/>
                    <w:rPr>
                      <w:rFonts w:hint="default" w:ascii="Times New Roman" w:hAnsi="Times New Roman" w:eastAsia="宋体" w:cs="Times New Roman"/>
                      <w:b/>
                      <w:bCs/>
                      <w:color w:val="auto"/>
                      <w:spacing w:val="-6"/>
                      <w:sz w:val="21"/>
                      <w:szCs w:val="21"/>
                      <w:lang w:val="en-US" w:eastAsia="zh-CN"/>
                    </w:rPr>
                  </w:pPr>
                  <w:r>
                    <w:rPr>
                      <w:rFonts w:hint="default" w:ascii="Times New Roman" w:hAnsi="Times New Roman" w:eastAsia="宋体" w:cs="Times New Roman"/>
                      <w:b/>
                      <w:bCs/>
                      <w:color w:val="auto"/>
                      <w:spacing w:val="-6"/>
                      <w:sz w:val="21"/>
                      <w:szCs w:val="21"/>
                    </w:rPr>
                    <w:t>设备名称</w:t>
                  </w:r>
                </w:p>
              </w:tc>
              <w:tc>
                <w:tcPr>
                  <w:tcW w:w="401" w:type="pct"/>
                  <w:tcBorders>
                    <w:tl2br w:val="nil"/>
                    <w:tr2bl w:val="nil"/>
                  </w:tcBorders>
                  <w:noWrap w:val="0"/>
                  <w:vAlign w:val="center"/>
                </w:tcPr>
                <w:p>
                  <w:pPr>
                    <w:spacing w:before="66" w:line="185" w:lineRule="auto"/>
                    <w:jc w:val="center"/>
                    <w:rPr>
                      <w:rFonts w:hint="default" w:ascii="Times New Roman" w:hAnsi="Times New Roman" w:eastAsia="宋体" w:cs="Times New Roman"/>
                      <w:b/>
                      <w:bCs/>
                      <w:color w:val="auto"/>
                      <w:spacing w:val="-6"/>
                      <w:sz w:val="21"/>
                      <w:szCs w:val="21"/>
                      <w:lang w:val="en-US" w:eastAsia="zh-CN"/>
                    </w:rPr>
                  </w:pPr>
                  <w:r>
                    <w:rPr>
                      <w:rFonts w:hint="default" w:ascii="Times New Roman" w:hAnsi="Times New Roman" w:eastAsia="宋体" w:cs="Times New Roman"/>
                      <w:b/>
                      <w:bCs/>
                      <w:color w:val="auto"/>
                      <w:spacing w:val="-6"/>
                      <w:sz w:val="21"/>
                      <w:szCs w:val="21"/>
                    </w:rPr>
                    <w:t>数量</w:t>
                  </w:r>
                </w:p>
              </w:tc>
              <w:tc>
                <w:tcPr>
                  <w:tcW w:w="1285" w:type="pct"/>
                  <w:tcBorders>
                    <w:tl2br w:val="nil"/>
                    <w:tr2bl w:val="nil"/>
                  </w:tcBorders>
                  <w:noWrap w:val="0"/>
                  <w:vAlign w:val="center"/>
                </w:tcPr>
                <w:p>
                  <w:pPr>
                    <w:spacing w:before="66" w:line="185" w:lineRule="auto"/>
                    <w:jc w:val="center"/>
                    <w:rPr>
                      <w:rFonts w:hint="default" w:ascii="Times New Roman" w:hAnsi="Times New Roman" w:eastAsia="宋体" w:cs="Times New Roman"/>
                      <w:b/>
                      <w:bCs/>
                      <w:color w:val="auto"/>
                      <w:spacing w:val="-6"/>
                      <w:sz w:val="21"/>
                      <w:szCs w:val="21"/>
                      <w:lang w:val="en-US" w:eastAsia="zh-CN"/>
                    </w:rPr>
                  </w:pPr>
                  <w:r>
                    <w:rPr>
                      <w:rFonts w:hint="default" w:ascii="Times New Roman" w:hAnsi="Times New Roman" w:eastAsia="宋体" w:cs="Times New Roman"/>
                      <w:b/>
                      <w:bCs/>
                      <w:color w:val="auto"/>
                      <w:spacing w:val="-6"/>
                      <w:sz w:val="21"/>
                      <w:szCs w:val="21"/>
                    </w:rPr>
                    <w:t>噪声源强</w:t>
                  </w:r>
                  <w:r>
                    <w:rPr>
                      <w:rFonts w:hint="eastAsia" w:ascii="Times New Roman" w:hAnsi="Times New Roman" w:eastAsia="宋体" w:cs="Times New Roman"/>
                      <w:b/>
                      <w:bCs/>
                      <w:color w:val="auto"/>
                      <w:spacing w:val="-6"/>
                      <w:sz w:val="21"/>
                      <w:szCs w:val="21"/>
                      <w:lang w:val="en-US" w:eastAsia="zh-CN"/>
                    </w:rPr>
                    <w:t>d</w:t>
                  </w:r>
                  <w:r>
                    <w:rPr>
                      <w:rFonts w:hint="default" w:ascii="Times New Roman" w:hAnsi="Times New Roman" w:eastAsia="宋体" w:cs="Times New Roman"/>
                      <w:b/>
                      <w:bCs/>
                      <w:color w:val="auto"/>
                      <w:spacing w:val="-6"/>
                      <w:sz w:val="21"/>
                      <w:szCs w:val="21"/>
                    </w:rPr>
                    <w:t>B(A)(1m外)</w:t>
                  </w:r>
                </w:p>
              </w:tc>
              <w:tc>
                <w:tcPr>
                  <w:tcW w:w="1807" w:type="pct"/>
                  <w:tcBorders>
                    <w:tl2br w:val="nil"/>
                    <w:tr2bl w:val="nil"/>
                  </w:tcBorders>
                  <w:noWrap w:val="0"/>
                  <w:vAlign w:val="center"/>
                </w:tcPr>
                <w:p>
                  <w:pPr>
                    <w:spacing w:before="66" w:line="185" w:lineRule="auto"/>
                    <w:jc w:val="center"/>
                    <w:rPr>
                      <w:rFonts w:hint="default" w:ascii="Times New Roman" w:hAnsi="Times New Roman" w:eastAsia="宋体" w:cs="Times New Roman"/>
                      <w:b/>
                      <w:bCs/>
                      <w:color w:val="auto"/>
                      <w:spacing w:val="-6"/>
                      <w:sz w:val="21"/>
                      <w:szCs w:val="21"/>
                      <w:lang w:val="en-US" w:eastAsia="zh-CN"/>
                    </w:rPr>
                  </w:pPr>
                  <w:r>
                    <w:rPr>
                      <w:rFonts w:hint="default" w:ascii="Times New Roman" w:hAnsi="Times New Roman" w:eastAsia="宋体" w:cs="Times New Roman"/>
                      <w:b/>
                      <w:bCs/>
                      <w:color w:val="auto"/>
                      <w:spacing w:val="-6"/>
                      <w:sz w:val="21"/>
                      <w:szCs w:val="21"/>
                    </w:rPr>
                    <w:t>噪声源强</w:t>
                  </w:r>
                  <w:r>
                    <w:rPr>
                      <w:rFonts w:hint="eastAsia" w:ascii="Times New Roman" w:hAnsi="Times New Roman" w:eastAsia="宋体" w:cs="Times New Roman"/>
                      <w:b/>
                      <w:bCs/>
                      <w:color w:val="auto"/>
                      <w:spacing w:val="-6"/>
                      <w:sz w:val="21"/>
                      <w:szCs w:val="21"/>
                      <w:lang w:val="en-US" w:eastAsia="zh-CN"/>
                    </w:rPr>
                    <w:t>d</w:t>
                  </w:r>
                  <w:r>
                    <w:rPr>
                      <w:rFonts w:hint="default" w:ascii="Times New Roman" w:hAnsi="Times New Roman" w:eastAsia="宋体" w:cs="Times New Roman"/>
                      <w:b/>
                      <w:bCs/>
                      <w:color w:val="auto"/>
                      <w:spacing w:val="-6"/>
                      <w:sz w:val="21"/>
                      <w:szCs w:val="21"/>
                    </w:rPr>
                    <w:t>B(A)(1m外、多台设备叠加)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69"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1</w:t>
                  </w:r>
                </w:p>
              </w:tc>
              <w:tc>
                <w:tcPr>
                  <w:tcW w:w="1035"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汽车式起重机</w:t>
                  </w:r>
                </w:p>
              </w:tc>
              <w:tc>
                <w:tcPr>
                  <w:tcW w:w="401"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2台</w:t>
                  </w:r>
                </w:p>
              </w:tc>
              <w:tc>
                <w:tcPr>
                  <w:tcW w:w="1285"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79</w:t>
                  </w:r>
                </w:p>
              </w:tc>
              <w:tc>
                <w:tcPr>
                  <w:tcW w:w="1807"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82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69"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2</w:t>
                  </w:r>
                </w:p>
              </w:tc>
              <w:tc>
                <w:tcPr>
                  <w:tcW w:w="1035"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挖掘机</w:t>
                  </w:r>
                </w:p>
              </w:tc>
              <w:tc>
                <w:tcPr>
                  <w:tcW w:w="401"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2台</w:t>
                  </w:r>
                </w:p>
              </w:tc>
              <w:tc>
                <w:tcPr>
                  <w:tcW w:w="1285"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82</w:t>
                  </w:r>
                </w:p>
              </w:tc>
              <w:tc>
                <w:tcPr>
                  <w:tcW w:w="1807"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88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69"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3</w:t>
                  </w:r>
                </w:p>
              </w:tc>
              <w:tc>
                <w:tcPr>
                  <w:tcW w:w="1035"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电焊机</w:t>
                  </w:r>
                </w:p>
              </w:tc>
              <w:tc>
                <w:tcPr>
                  <w:tcW w:w="401"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2台</w:t>
                  </w:r>
                </w:p>
              </w:tc>
              <w:tc>
                <w:tcPr>
                  <w:tcW w:w="1285"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90</w:t>
                  </w:r>
                </w:p>
              </w:tc>
              <w:tc>
                <w:tcPr>
                  <w:tcW w:w="1807"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93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69"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4</w:t>
                  </w:r>
                </w:p>
              </w:tc>
              <w:tc>
                <w:tcPr>
                  <w:tcW w:w="1035"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电钻</w:t>
                  </w:r>
                </w:p>
              </w:tc>
              <w:tc>
                <w:tcPr>
                  <w:tcW w:w="401"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3台</w:t>
                  </w:r>
                </w:p>
              </w:tc>
              <w:tc>
                <w:tcPr>
                  <w:tcW w:w="1285"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95</w:t>
                  </w:r>
                </w:p>
              </w:tc>
              <w:tc>
                <w:tcPr>
                  <w:tcW w:w="1807"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100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69"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w:t>
                  </w:r>
                </w:p>
              </w:tc>
              <w:tc>
                <w:tcPr>
                  <w:tcW w:w="1035"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钢筋切断机</w:t>
                  </w:r>
                </w:p>
              </w:tc>
              <w:tc>
                <w:tcPr>
                  <w:tcW w:w="401"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1台</w:t>
                  </w:r>
                </w:p>
              </w:tc>
              <w:tc>
                <w:tcPr>
                  <w:tcW w:w="1285"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85</w:t>
                  </w:r>
                </w:p>
              </w:tc>
              <w:tc>
                <w:tcPr>
                  <w:tcW w:w="1807"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85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69"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6</w:t>
                  </w:r>
                </w:p>
              </w:tc>
              <w:tc>
                <w:tcPr>
                  <w:tcW w:w="1035"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推土机</w:t>
                  </w:r>
                </w:p>
              </w:tc>
              <w:tc>
                <w:tcPr>
                  <w:tcW w:w="401"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1台</w:t>
                  </w:r>
                </w:p>
              </w:tc>
              <w:tc>
                <w:tcPr>
                  <w:tcW w:w="1285"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82</w:t>
                  </w:r>
                </w:p>
              </w:tc>
              <w:tc>
                <w:tcPr>
                  <w:tcW w:w="1807"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82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69"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7</w:t>
                  </w:r>
                </w:p>
              </w:tc>
              <w:tc>
                <w:tcPr>
                  <w:tcW w:w="1035"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压路机</w:t>
                  </w:r>
                </w:p>
              </w:tc>
              <w:tc>
                <w:tcPr>
                  <w:tcW w:w="401"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1台</w:t>
                  </w:r>
                </w:p>
              </w:tc>
              <w:tc>
                <w:tcPr>
                  <w:tcW w:w="1285"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79</w:t>
                  </w:r>
                </w:p>
              </w:tc>
              <w:tc>
                <w:tcPr>
                  <w:tcW w:w="1807"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79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69"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8</w:t>
                  </w:r>
                </w:p>
              </w:tc>
              <w:tc>
                <w:tcPr>
                  <w:tcW w:w="1035"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振捣器</w:t>
                  </w:r>
                </w:p>
              </w:tc>
              <w:tc>
                <w:tcPr>
                  <w:tcW w:w="401"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5台</w:t>
                  </w:r>
                </w:p>
              </w:tc>
              <w:tc>
                <w:tcPr>
                  <w:tcW w:w="1285"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90</w:t>
                  </w:r>
                </w:p>
              </w:tc>
              <w:tc>
                <w:tcPr>
                  <w:tcW w:w="1807"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97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69"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9</w:t>
                  </w:r>
                </w:p>
              </w:tc>
              <w:tc>
                <w:tcPr>
                  <w:tcW w:w="1035"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柴油发电机</w:t>
                  </w:r>
                </w:p>
              </w:tc>
              <w:tc>
                <w:tcPr>
                  <w:tcW w:w="401"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2台</w:t>
                  </w:r>
                </w:p>
              </w:tc>
              <w:tc>
                <w:tcPr>
                  <w:tcW w:w="1285"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85</w:t>
                  </w:r>
                </w:p>
              </w:tc>
              <w:tc>
                <w:tcPr>
                  <w:tcW w:w="1807" w:type="pct"/>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88</w:t>
                  </w:r>
                </w:p>
              </w:tc>
            </w:tr>
          </w:tbl>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2)环境影响</w:t>
            </w:r>
          </w:p>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在考虑本工程噪声源对环境影响的同时，仅考虑点声源到不同距离处经距离衰减后的噪声，计算出声源对附近敏感点的预测值，并对声源的贡献值进行分析。噪声值计算模式为：</w:t>
            </w:r>
          </w:p>
          <w:p>
            <w:pPr>
              <w:spacing w:before="145" w:line="465" w:lineRule="exact"/>
              <w:ind w:left="2644"/>
              <w:rPr>
                <w:rFonts w:ascii="宋体" w:hAnsi="宋体" w:eastAsia="宋体" w:cs="宋体"/>
                <w:color w:val="auto"/>
                <w:sz w:val="23"/>
                <w:szCs w:val="23"/>
              </w:rPr>
            </w:pPr>
            <w:r>
              <w:rPr>
                <w:rFonts w:ascii="Times New Roman" w:hAnsi="Times New Roman" w:eastAsia="Times New Roman" w:cs="Times New Roman"/>
                <w:color w:val="auto"/>
                <w:position w:val="15"/>
                <w:sz w:val="23"/>
                <w:szCs w:val="23"/>
              </w:rPr>
              <w:t>L</w:t>
            </w:r>
            <w:r>
              <w:rPr>
                <w:rFonts w:ascii="Times New Roman" w:hAnsi="Times New Roman" w:eastAsia="Times New Roman" w:cs="Times New Roman"/>
                <w:color w:val="auto"/>
                <w:position w:val="14"/>
                <w:sz w:val="15"/>
                <w:szCs w:val="15"/>
              </w:rPr>
              <w:t>p</w:t>
            </w:r>
            <w:r>
              <w:rPr>
                <w:rFonts w:ascii="宋体" w:hAnsi="宋体" w:eastAsia="宋体" w:cs="宋体"/>
                <w:color w:val="auto"/>
                <w:spacing w:val="1"/>
                <w:position w:val="15"/>
                <w:sz w:val="23"/>
                <w:szCs w:val="23"/>
              </w:rPr>
              <w:t>(</w:t>
            </w:r>
            <w:r>
              <w:rPr>
                <w:rFonts w:ascii="Times New Roman" w:hAnsi="Times New Roman" w:eastAsia="Times New Roman" w:cs="Times New Roman"/>
                <w:color w:val="auto"/>
                <w:position w:val="15"/>
                <w:sz w:val="23"/>
                <w:szCs w:val="23"/>
              </w:rPr>
              <w:t>r</w:t>
            </w:r>
            <w:r>
              <w:rPr>
                <w:rFonts w:ascii="Times New Roman" w:hAnsi="Times New Roman" w:eastAsia="Times New Roman" w:cs="Times New Roman"/>
                <w:color w:val="auto"/>
                <w:spacing w:val="1"/>
                <w:position w:val="15"/>
                <w:sz w:val="23"/>
                <w:szCs w:val="23"/>
              </w:rPr>
              <w:t xml:space="preserve"> </w:t>
            </w:r>
            <w:r>
              <w:rPr>
                <w:rFonts w:ascii="宋体" w:hAnsi="宋体" w:eastAsia="宋体" w:cs="宋体"/>
                <w:color w:val="auto"/>
                <w:spacing w:val="1"/>
                <w:position w:val="15"/>
                <w:sz w:val="23"/>
                <w:szCs w:val="23"/>
              </w:rPr>
              <w:t xml:space="preserve">) </w:t>
            </w:r>
            <w:r>
              <w:rPr>
                <w:rFonts w:ascii="Times New Roman" w:hAnsi="Times New Roman" w:eastAsia="Times New Roman" w:cs="Times New Roman"/>
                <w:color w:val="auto"/>
                <w:spacing w:val="1"/>
                <w:position w:val="15"/>
                <w:sz w:val="23"/>
                <w:szCs w:val="23"/>
              </w:rPr>
              <w:t>=</w:t>
            </w:r>
            <w:r>
              <w:rPr>
                <w:rFonts w:ascii="Times New Roman" w:hAnsi="Times New Roman" w:eastAsia="Times New Roman" w:cs="Times New Roman"/>
                <w:color w:val="auto"/>
                <w:position w:val="15"/>
                <w:sz w:val="23"/>
                <w:szCs w:val="23"/>
              </w:rPr>
              <w:t>L</w:t>
            </w:r>
            <w:r>
              <w:rPr>
                <w:rFonts w:ascii="Times New Roman" w:hAnsi="Times New Roman" w:eastAsia="Times New Roman" w:cs="Times New Roman"/>
                <w:color w:val="auto"/>
                <w:position w:val="14"/>
                <w:sz w:val="15"/>
                <w:szCs w:val="15"/>
              </w:rPr>
              <w:t>p</w:t>
            </w:r>
            <w:r>
              <w:rPr>
                <w:rFonts w:ascii="Times New Roman" w:hAnsi="Times New Roman" w:eastAsia="Times New Roman" w:cs="Times New Roman"/>
                <w:color w:val="auto"/>
                <w:spacing w:val="1"/>
                <w:position w:val="14"/>
                <w:sz w:val="15"/>
                <w:szCs w:val="15"/>
              </w:rPr>
              <w:t xml:space="preserve">   </w:t>
            </w:r>
            <w:r>
              <w:rPr>
                <w:rFonts w:ascii="宋体" w:hAnsi="宋体" w:eastAsia="宋体" w:cs="宋体"/>
                <w:color w:val="auto"/>
                <w:spacing w:val="1"/>
                <w:position w:val="15"/>
                <w:sz w:val="23"/>
                <w:szCs w:val="23"/>
              </w:rPr>
              <w:t>(</w:t>
            </w:r>
            <w:r>
              <w:rPr>
                <w:rFonts w:ascii="Times New Roman" w:hAnsi="Times New Roman" w:eastAsia="Times New Roman" w:cs="Times New Roman"/>
                <w:color w:val="auto"/>
                <w:position w:val="15"/>
                <w:sz w:val="23"/>
                <w:szCs w:val="23"/>
              </w:rPr>
              <w:t>r</w:t>
            </w:r>
            <w:r>
              <w:rPr>
                <w:rFonts w:ascii="Times New Roman" w:hAnsi="Times New Roman" w:eastAsia="Times New Roman" w:cs="Times New Roman"/>
                <w:color w:val="auto"/>
                <w:spacing w:val="1"/>
                <w:position w:val="14"/>
                <w:sz w:val="15"/>
                <w:szCs w:val="15"/>
              </w:rPr>
              <w:t xml:space="preserve">0 </w:t>
            </w:r>
            <w:r>
              <w:rPr>
                <w:rFonts w:ascii="宋体" w:hAnsi="宋体" w:eastAsia="宋体" w:cs="宋体"/>
                <w:color w:val="auto"/>
                <w:spacing w:val="1"/>
                <w:position w:val="15"/>
                <w:sz w:val="23"/>
                <w:szCs w:val="23"/>
              </w:rPr>
              <w:t xml:space="preserve">) </w:t>
            </w:r>
            <w:r>
              <w:rPr>
                <w:rFonts w:ascii="Times New Roman" w:hAnsi="Times New Roman" w:eastAsia="Times New Roman" w:cs="Times New Roman"/>
                <w:color w:val="auto"/>
                <w:spacing w:val="1"/>
                <w:position w:val="15"/>
                <w:sz w:val="23"/>
                <w:szCs w:val="23"/>
              </w:rPr>
              <w:t>- 20</w:t>
            </w:r>
            <w:r>
              <w:rPr>
                <w:rFonts w:ascii="Times New Roman" w:hAnsi="Times New Roman" w:eastAsia="Times New Roman" w:cs="Times New Roman"/>
                <w:color w:val="auto"/>
                <w:position w:val="15"/>
                <w:sz w:val="23"/>
                <w:szCs w:val="23"/>
              </w:rPr>
              <w:t>lg</w:t>
            </w:r>
            <w:r>
              <w:rPr>
                <w:rFonts w:ascii="宋体" w:hAnsi="宋体" w:eastAsia="宋体" w:cs="宋体"/>
                <w:color w:val="auto"/>
                <w:position w:val="15"/>
                <w:sz w:val="23"/>
                <w:szCs w:val="23"/>
              </w:rPr>
              <w:t>(</w:t>
            </w:r>
            <w:r>
              <w:rPr>
                <w:rFonts w:ascii="Times New Roman" w:hAnsi="Times New Roman" w:eastAsia="Times New Roman" w:cs="Times New Roman"/>
                <w:color w:val="auto"/>
                <w:position w:val="15"/>
                <w:sz w:val="23"/>
                <w:szCs w:val="23"/>
              </w:rPr>
              <w:t>r/r</w:t>
            </w:r>
            <w:r>
              <w:rPr>
                <w:rFonts w:ascii="Times New Roman" w:hAnsi="Times New Roman" w:eastAsia="Times New Roman" w:cs="Times New Roman"/>
                <w:color w:val="auto"/>
                <w:position w:val="14"/>
                <w:sz w:val="15"/>
                <w:szCs w:val="15"/>
              </w:rPr>
              <w:t xml:space="preserve">0 </w:t>
            </w:r>
            <w:r>
              <w:rPr>
                <w:rFonts w:ascii="宋体" w:hAnsi="宋体" w:eastAsia="宋体" w:cs="宋体"/>
                <w:color w:val="auto"/>
                <w:position w:val="15"/>
                <w:sz w:val="23"/>
                <w:szCs w:val="23"/>
              </w:rPr>
              <w:t>)</w:t>
            </w:r>
          </w:p>
          <w:p>
            <w:pPr>
              <w:spacing w:line="360" w:lineRule="auto"/>
              <w:ind w:left="594"/>
              <w:rPr>
                <w:rFonts w:ascii="宋体" w:hAnsi="宋体" w:eastAsia="宋体" w:cs="宋体"/>
                <w:color w:val="auto"/>
                <w:sz w:val="23"/>
                <w:szCs w:val="23"/>
              </w:rPr>
            </w:pPr>
            <w:r>
              <w:rPr>
                <w:rFonts w:ascii="宋体" w:hAnsi="宋体" w:eastAsia="宋体" w:cs="宋体"/>
                <w:color w:val="auto"/>
                <w:spacing w:val="6"/>
                <w:position w:val="2"/>
                <w:sz w:val="23"/>
                <w:szCs w:val="23"/>
              </w:rPr>
              <w:t>式中：</w:t>
            </w:r>
            <w:r>
              <w:rPr>
                <w:rFonts w:ascii="Times New Roman" w:hAnsi="Times New Roman" w:eastAsia="Times New Roman" w:cs="Times New Roman"/>
                <w:color w:val="auto"/>
                <w:position w:val="2"/>
                <w:sz w:val="23"/>
                <w:szCs w:val="23"/>
              </w:rPr>
              <w:t>L</w:t>
            </w:r>
            <w:r>
              <w:rPr>
                <w:rFonts w:ascii="Times New Roman" w:hAnsi="Times New Roman" w:eastAsia="Times New Roman" w:cs="Times New Roman"/>
                <w:color w:val="auto"/>
                <w:position w:val="1"/>
                <w:sz w:val="15"/>
                <w:szCs w:val="15"/>
              </w:rPr>
              <w:t>p</w:t>
            </w:r>
            <w:r>
              <w:rPr>
                <w:rFonts w:ascii="Times New Roman" w:hAnsi="Times New Roman" w:eastAsia="Times New Roman" w:cs="Times New Roman"/>
                <w:color w:val="auto"/>
                <w:spacing w:val="5"/>
                <w:position w:val="1"/>
                <w:sz w:val="15"/>
                <w:szCs w:val="15"/>
              </w:rPr>
              <w:t xml:space="preserve"> </w:t>
            </w:r>
            <w:r>
              <w:rPr>
                <w:rFonts w:ascii="Times New Roman" w:hAnsi="Times New Roman" w:eastAsia="Times New Roman" w:cs="Times New Roman"/>
                <w:color w:val="auto"/>
                <w:spacing w:val="3"/>
                <w:position w:val="1"/>
                <w:sz w:val="15"/>
                <w:szCs w:val="15"/>
              </w:rPr>
              <w:t xml:space="preserve">  </w:t>
            </w:r>
            <w:r>
              <w:rPr>
                <w:rFonts w:ascii="宋体" w:hAnsi="宋体" w:eastAsia="宋体" w:cs="宋体"/>
                <w:color w:val="auto"/>
                <w:spacing w:val="3"/>
                <w:position w:val="2"/>
                <w:sz w:val="23"/>
                <w:szCs w:val="23"/>
              </w:rPr>
              <w:t>(</w:t>
            </w:r>
            <w:r>
              <w:rPr>
                <w:rFonts w:ascii="Times New Roman" w:hAnsi="Times New Roman" w:eastAsia="Times New Roman" w:cs="Times New Roman"/>
                <w:color w:val="auto"/>
                <w:position w:val="2"/>
                <w:sz w:val="23"/>
                <w:szCs w:val="23"/>
              </w:rPr>
              <w:t>r</w:t>
            </w:r>
            <w:r>
              <w:rPr>
                <w:rFonts w:ascii="Times New Roman" w:hAnsi="Times New Roman" w:eastAsia="Times New Roman" w:cs="Times New Roman"/>
                <w:color w:val="auto"/>
                <w:spacing w:val="3"/>
                <w:position w:val="2"/>
                <w:sz w:val="23"/>
                <w:szCs w:val="23"/>
              </w:rPr>
              <w:t xml:space="preserve"> </w:t>
            </w:r>
            <w:r>
              <w:rPr>
                <w:rFonts w:ascii="宋体" w:hAnsi="宋体" w:eastAsia="宋体" w:cs="宋体"/>
                <w:color w:val="auto"/>
                <w:spacing w:val="3"/>
                <w:position w:val="2"/>
                <w:sz w:val="23"/>
                <w:szCs w:val="23"/>
              </w:rPr>
              <w:t xml:space="preserve">) </w:t>
            </w:r>
            <w:r>
              <w:rPr>
                <w:rFonts w:ascii="Times New Roman" w:hAnsi="Times New Roman" w:eastAsia="Times New Roman" w:cs="Times New Roman"/>
                <w:color w:val="auto"/>
                <w:spacing w:val="3"/>
                <w:position w:val="2"/>
                <w:sz w:val="23"/>
                <w:szCs w:val="23"/>
              </w:rPr>
              <w:t>—</w:t>
            </w:r>
            <w:r>
              <w:rPr>
                <w:rFonts w:ascii="宋体" w:hAnsi="宋体" w:eastAsia="宋体" w:cs="宋体"/>
                <w:color w:val="auto"/>
                <w:spacing w:val="3"/>
                <w:position w:val="2"/>
                <w:sz w:val="23"/>
                <w:szCs w:val="23"/>
              </w:rPr>
              <w:t xml:space="preserve">距离声源 </w:t>
            </w:r>
            <w:r>
              <w:rPr>
                <w:rFonts w:ascii="Times New Roman" w:hAnsi="Times New Roman" w:eastAsia="Times New Roman" w:cs="Times New Roman"/>
                <w:color w:val="auto"/>
                <w:position w:val="2"/>
                <w:sz w:val="23"/>
                <w:szCs w:val="23"/>
              </w:rPr>
              <w:t>r</w:t>
            </w:r>
            <w:r>
              <w:rPr>
                <w:rFonts w:ascii="Times New Roman" w:hAnsi="Times New Roman" w:eastAsia="Times New Roman" w:cs="Times New Roman"/>
                <w:color w:val="auto"/>
                <w:spacing w:val="3"/>
                <w:position w:val="2"/>
                <w:sz w:val="23"/>
                <w:szCs w:val="23"/>
              </w:rPr>
              <w:t xml:space="preserve"> </w:t>
            </w:r>
            <w:r>
              <w:rPr>
                <w:rFonts w:ascii="宋体" w:hAnsi="宋体" w:eastAsia="宋体" w:cs="宋体"/>
                <w:color w:val="auto"/>
                <w:spacing w:val="3"/>
                <w:position w:val="2"/>
                <w:sz w:val="23"/>
                <w:szCs w:val="23"/>
              </w:rPr>
              <w:t>处的倍频带声压级，</w:t>
            </w:r>
            <w:r>
              <w:rPr>
                <w:rFonts w:ascii="Times New Roman" w:hAnsi="Times New Roman" w:eastAsia="Times New Roman" w:cs="Times New Roman"/>
                <w:color w:val="auto"/>
                <w:position w:val="2"/>
                <w:sz w:val="23"/>
                <w:szCs w:val="23"/>
              </w:rPr>
              <w:t>dB</w:t>
            </w:r>
            <w:r>
              <w:rPr>
                <w:rFonts w:ascii="宋体" w:hAnsi="宋体" w:eastAsia="宋体" w:cs="宋体"/>
                <w:color w:val="auto"/>
                <w:spacing w:val="3"/>
                <w:position w:val="2"/>
                <w:sz w:val="23"/>
                <w:szCs w:val="23"/>
              </w:rPr>
              <w:t>；</w:t>
            </w:r>
          </w:p>
          <w:p>
            <w:pPr>
              <w:keepNext w:val="0"/>
              <w:keepLines w:val="0"/>
              <w:pageBreakBefore w:val="0"/>
              <w:widowControl w:val="0"/>
              <w:kinsoku/>
              <w:wordWrap/>
              <w:overflowPunct/>
              <w:topLinePunct w:val="0"/>
              <w:autoSpaceDE/>
              <w:autoSpaceDN/>
              <w:bidi w:val="0"/>
              <w:adjustRightInd/>
              <w:snapToGrid/>
              <w:spacing w:line="360" w:lineRule="auto"/>
              <w:ind w:left="0" w:firstLine="1380" w:firstLineChars="600"/>
              <w:textAlignment w:val="auto"/>
              <w:rPr>
                <w:rFonts w:ascii="宋体" w:hAnsi="宋体" w:eastAsia="宋体" w:cs="宋体"/>
                <w:color w:val="auto"/>
                <w:sz w:val="23"/>
                <w:szCs w:val="23"/>
              </w:rPr>
            </w:pPr>
            <w:r>
              <w:rPr>
                <w:rFonts w:ascii="Times New Roman" w:hAnsi="Times New Roman" w:eastAsia="Times New Roman" w:cs="Times New Roman"/>
                <w:color w:val="auto"/>
                <w:position w:val="2"/>
                <w:sz w:val="23"/>
                <w:szCs w:val="23"/>
              </w:rPr>
              <w:t>L</w:t>
            </w:r>
            <w:r>
              <w:rPr>
                <w:rFonts w:ascii="Times New Roman" w:hAnsi="Times New Roman" w:eastAsia="Times New Roman" w:cs="Times New Roman"/>
                <w:color w:val="auto"/>
                <w:position w:val="1"/>
                <w:sz w:val="15"/>
                <w:szCs w:val="15"/>
              </w:rPr>
              <w:t>p</w:t>
            </w:r>
            <w:r>
              <w:rPr>
                <w:rFonts w:ascii="宋体" w:hAnsi="宋体" w:eastAsia="宋体" w:cs="宋体"/>
                <w:color w:val="auto"/>
                <w:spacing w:val="6"/>
                <w:position w:val="2"/>
                <w:sz w:val="23"/>
                <w:szCs w:val="23"/>
              </w:rPr>
              <w:t>(</w:t>
            </w:r>
            <w:r>
              <w:rPr>
                <w:rFonts w:ascii="Times New Roman" w:hAnsi="Times New Roman" w:eastAsia="Times New Roman" w:cs="Times New Roman"/>
                <w:color w:val="auto"/>
                <w:position w:val="2"/>
                <w:sz w:val="23"/>
                <w:szCs w:val="23"/>
              </w:rPr>
              <w:t>r</w:t>
            </w:r>
            <w:r>
              <w:rPr>
                <w:rFonts w:ascii="Times New Roman" w:hAnsi="Times New Roman" w:eastAsia="Times New Roman" w:cs="Times New Roman"/>
                <w:color w:val="auto"/>
                <w:spacing w:val="6"/>
                <w:position w:val="1"/>
                <w:sz w:val="15"/>
                <w:szCs w:val="15"/>
              </w:rPr>
              <w:t xml:space="preserve">0 </w:t>
            </w:r>
            <w:r>
              <w:rPr>
                <w:rFonts w:ascii="宋体" w:hAnsi="宋体" w:eastAsia="宋体" w:cs="宋体"/>
                <w:color w:val="auto"/>
                <w:spacing w:val="4"/>
                <w:position w:val="2"/>
                <w:sz w:val="23"/>
                <w:szCs w:val="23"/>
              </w:rPr>
              <w:t>)</w:t>
            </w:r>
            <w:r>
              <w:rPr>
                <w:rFonts w:ascii="宋体" w:hAnsi="宋体" w:eastAsia="宋体" w:cs="宋体"/>
                <w:color w:val="auto"/>
                <w:spacing w:val="3"/>
                <w:position w:val="2"/>
                <w:sz w:val="23"/>
                <w:szCs w:val="23"/>
              </w:rPr>
              <w:t xml:space="preserve"> </w:t>
            </w:r>
            <w:r>
              <w:rPr>
                <w:rFonts w:ascii="Times New Roman" w:hAnsi="Times New Roman" w:eastAsia="Times New Roman" w:cs="Times New Roman"/>
                <w:color w:val="auto"/>
                <w:spacing w:val="3"/>
                <w:position w:val="2"/>
                <w:sz w:val="23"/>
                <w:szCs w:val="23"/>
              </w:rPr>
              <w:t>—</w:t>
            </w:r>
            <w:r>
              <w:rPr>
                <w:rFonts w:ascii="宋体" w:hAnsi="宋体" w:eastAsia="宋体" w:cs="宋体"/>
                <w:color w:val="auto"/>
                <w:spacing w:val="3"/>
                <w:position w:val="2"/>
                <w:sz w:val="23"/>
                <w:szCs w:val="23"/>
              </w:rPr>
              <w:t xml:space="preserve">参考位置 </w:t>
            </w:r>
            <w:r>
              <w:rPr>
                <w:rFonts w:ascii="Times New Roman" w:hAnsi="Times New Roman" w:eastAsia="Times New Roman" w:cs="Times New Roman"/>
                <w:i/>
                <w:iCs/>
                <w:color w:val="auto"/>
                <w:position w:val="2"/>
                <w:sz w:val="23"/>
                <w:szCs w:val="23"/>
              </w:rPr>
              <w:t>r</w:t>
            </w:r>
            <w:r>
              <w:rPr>
                <w:rFonts w:ascii="Times New Roman" w:hAnsi="Times New Roman" w:eastAsia="Times New Roman" w:cs="Times New Roman"/>
                <w:color w:val="auto"/>
                <w:spacing w:val="3"/>
                <w:position w:val="1"/>
                <w:sz w:val="15"/>
                <w:szCs w:val="15"/>
              </w:rPr>
              <w:t xml:space="preserve">0 </w:t>
            </w:r>
            <w:r>
              <w:rPr>
                <w:rFonts w:ascii="宋体" w:hAnsi="宋体" w:eastAsia="宋体" w:cs="宋体"/>
                <w:color w:val="auto"/>
                <w:spacing w:val="3"/>
                <w:position w:val="2"/>
                <w:sz w:val="23"/>
                <w:szCs w:val="23"/>
              </w:rPr>
              <w:t>处的倍频带声压级，</w:t>
            </w:r>
            <w:r>
              <w:rPr>
                <w:rFonts w:ascii="Times New Roman" w:hAnsi="Times New Roman" w:eastAsia="Times New Roman" w:cs="Times New Roman"/>
                <w:color w:val="auto"/>
                <w:position w:val="2"/>
                <w:sz w:val="23"/>
                <w:szCs w:val="23"/>
              </w:rPr>
              <w:t>dB</w:t>
            </w:r>
            <w:r>
              <w:rPr>
                <w:rFonts w:ascii="宋体" w:hAnsi="宋体" w:eastAsia="宋体" w:cs="宋体"/>
                <w:color w:val="auto"/>
                <w:spacing w:val="3"/>
                <w:position w:val="2"/>
                <w:sz w:val="23"/>
                <w:szCs w:val="23"/>
              </w:rPr>
              <w:t>；</w:t>
            </w:r>
          </w:p>
          <w:p>
            <w:pPr>
              <w:keepNext w:val="0"/>
              <w:keepLines w:val="0"/>
              <w:pageBreakBefore w:val="0"/>
              <w:widowControl w:val="0"/>
              <w:kinsoku/>
              <w:wordWrap/>
              <w:overflowPunct/>
              <w:topLinePunct w:val="0"/>
              <w:autoSpaceDE/>
              <w:autoSpaceDN/>
              <w:bidi w:val="0"/>
              <w:adjustRightInd/>
              <w:snapToGrid/>
              <w:spacing w:line="360" w:lineRule="auto"/>
              <w:ind w:left="0" w:firstLine="1380" w:firstLineChars="600"/>
              <w:textAlignment w:val="auto"/>
              <w:rPr>
                <w:rFonts w:ascii="宋体" w:hAnsi="宋体" w:eastAsia="宋体" w:cs="宋体"/>
                <w:color w:val="auto"/>
                <w:sz w:val="23"/>
                <w:szCs w:val="23"/>
              </w:rPr>
            </w:pPr>
            <w:r>
              <w:rPr>
                <w:rFonts w:ascii="Times New Roman" w:hAnsi="Times New Roman" w:eastAsia="Times New Roman" w:cs="Times New Roman"/>
                <w:color w:val="auto"/>
                <w:position w:val="17"/>
                <w:sz w:val="23"/>
                <w:szCs w:val="23"/>
              </w:rPr>
              <w:t>r</w:t>
            </w:r>
            <w:r>
              <w:rPr>
                <w:rFonts w:ascii="Times New Roman" w:hAnsi="Times New Roman" w:eastAsia="Times New Roman" w:cs="Times New Roman"/>
                <w:color w:val="auto"/>
                <w:spacing w:val="10"/>
                <w:position w:val="17"/>
                <w:sz w:val="23"/>
                <w:szCs w:val="23"/>
              </w:rPr>
              <w:t>—</w:t>
            </w:r>
            <w:r>
              <w:rPr>
                <w:rFonts w:ascii="宋体" w:hAnsi="宋体" w:eastAsia="宋体" w:cs="宋体"/>
                <w:color w:val="auto"/>
                <w:spacing w:val="10"/>
                <w:position w:val="17"/>
                <w:sz w:val="23"/>
                <w:szCs w:val="23"/>
              </w:rPr>
              <w:t>预测点距离声源的距离，</w:t>
            </w:r>
            <w:r>
              <w:rPr>
                <w:rFonts w:ascii="Times New Roman" w:hAnsi="Times New Roman" w:eastAsia="Times New Roman" w:cs="Times New Roman"/>
                <w:color w:val="auto"/>
                <w:position w:val="17"/>
                <w:sz w:val="23"/>
                <w:szCs w:val="23"/>
              </w:rPr>
              <w:t>m</w:t>
            </w:r>
            <w:r>
              <w:rPr>
                <w:rFonts w:ascii="宋体" w:hAnsi="宋体" w:eastAsia="宋体" w:cs="宋体"/>
                <w:color w:val="auto"/>
                <w:spacing w:val="8"/>
                <w:position w:val="17"/>
                <w:sz w:val="23"/>
                <w:szCs w:val="23"/>
              </w:rPr>
              <w:t>；</w:t>
            </w:r>
          </w:p>
          <w:p>
            <w:pPr>
              <w:keepNext w:val="0"/>
              <w:keepLines w:val="0"/>
              <w:pageBreakBefore w:val="0"/>
              <w:widowControl w:val="0"/>
              <w:kinsoku/>
              <w:wordWrap/>
              <w:overflowPunct/>
              <w:topLinePunct w:val="0"/>
              <w:autoSpaceDE/>
              <w:autoSpaceDN/>
              <w:bidi w:val="0"/>
              <w:adjustRightInd/>
              <w:snapToGrid/>
              <w:spacing w:line="360" w:lineRule="auto"/>
              <w:ind w:left="0" w:firstLine="1380" w:firstLineChars="600"/>
              <w:textAlignment w:val="auto"/>
              <w:rPr>
                <w:rFonts w:ascii="宋体" w:hAnsi="宋体" w:eastAsia="宋体" w:cs="宋体"/>
                <w:color w:val="auto"/>
                <w:sz w:val="23"/>
                <w:szCs w:val="23"/>
              </w:rPr>
            </w:pPr>
            <w:r>
              <w:rPr>
                <w:rFonts w:ascii="Times New Roman" w:hAnsi="Times New Roman" w:eastAsia="Times New Roman" w:cs="Times New Roman"/>
                <w:color w:val="auto"/>
                <w:sz w:val="23"/>
                <w:szCs w:val="23"/>
              </w:rPr>
              <w:t>r</w:t>
            </w:r>
            <w:r>
              <w:rPr>
                <w:rFonts w:ascii="Times New Roman" w:hAnsi="Times New Roman" w:eastAsia="Times New Roman" w:cs="Times New Roman"/>
                <w:color w:val="auto"/>
                <w:spacing w:val="14"/>
                <w:position w:val="-1"/>
                <w:sz w:val="15"/>
                <w:szCs w:val="15"/>
              </w:rPr>
              <w:t>0</w:t>
            </w:r>
            <w:r>
              <w:rPr>
                <w:rFonts w:ascii="Times New Roman" w:hAnsi="Times New Roman" w:eastAsia="Times New Roman" w:cs="Times New Roman"/>
                <w:color w:val="auto"/>
                <w:spacing w:val="9"/>
                <w:sz w:val="23"/>
                <w:szCs w:val="23"/>
              </w:rPr>
              <w:t>—</w:t>
            </w:r>
            <w:r>
              <w:rPr>
                <w:rFonts w:ascii="宋体" w:hAnsi="宋体" w:eastAsia="宋体" w:cs="宋体"/>
                <w:color w:val="auto"/>
                <w:spacing w:val="9"/>
                <w:sz w:val="23"/>
                <w:szCs w:val="23"/>
              </w:rPr>
              <w:t>参考位置距离声源的距离，</w:t>
            </w:r>
            <w:r>
              <w:rPr>
                <w:rFonts w:ascii="Times New Roman" w:hAnsi="Times New Roman" w:eastAsia="Times New Roman" w:cs="Times New Roman"/>
                <w:color w:val="auto"/>
                <w:sz w:val="23"/>
                <w:szCs w:val="23"/>
              </w:rPr>
              <w:t>m</w:t>
            </w:r>
            <w:r>
              <w:rPr>
                <w:rFonts w:ascii="宋体" w:hAnsi="宋体" w:eastAsia="宋体" w:cs="宋体"/>
                <w:color w:val="auto"/>
                <w:spacing w:val="9"/>
                <w:sz w:val="23"/>
                <w:szCs w:val="23"/>
              </w:rPr>
              <w:t>；</w:t>
            </w:r>
          </w:p>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由上公式计算出主要施工机械噪声随距离变化的预测值见表4-2。</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2" w:firstLineChars="200"/>
              <w:jc w:val="center"/>
              <w:textAlignment w:val="auto"/>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表4-</w:t>
            </w:r>
            <w:r>
              <w:rPr>
                <w:rFonts w:hint="eastAsia" w:ascii="Times New Roman" w:hAnsi="Times New Roman" w:eastAsia="宋体" w:cs="Times New Roman"/>
                <w:b/>
                <w:color w:val="auto"/>
                <w:kern w:val="2"/>
                <w:sz w:val="24"/>
                <w:szCs w:val="24"/>
                <w:lang w:val="en-US" w:eastAsia="zh-CN" w:bidi="ar-SA"/>
              </w:rPr>
              <w:t>2</w:t>
            </w:r>
            <w:r>
              <w:rPr>
                <w:rFonts w:hint="default" w:ascii="Times New Roman" w:hAnsi="Times New Roman" w:eastAsia="宋体" w:cs="Times New Roman"/>
                <w:b/>
                <w:color w:val="auto"/>
                <w:kern w:val="2"/>
                <w:sz w:val="24"/>
                <w:szCs w:val="24"/>
                <w:lang w:val="en-US" w:eastAsia="zh-CN" w:bidi="ar-SA"/>
              </w:rPr>
              <w:t xml:space="preserve">  距声源不同距离处的噪声值   单位：dB(A)</w:t>
            </w:r>
          </w:p>
          <w:tbl>
            <w:tblPr>
              <w:tblStyle w:val="19"/>
              <w:tblW w:w="4996" w:type="pct"/>
              <w:tblInd w:w="-1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678"/>
              <w:gridCol w:w="635"/>
              <w:gridCol w:w="635"/>
              <w:gridCol w:w="635"/>
              <w:gridCol w:w="635"/>
              <w:gridCol w:w="635"/>
              <w:gridCol w:w="682"/>
              <w:gridCol w:w="682"/>
              <w:gridCol w:w="682"/>
              <w:gridCol w:w="682"/>
              <w:gridCol w:w="68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11" w:type="pct"/>
                  <w:tcBorders>
                    <w:tl2br w:val="nil"/>
                    <w:tr2bl w:val="nil"/>
                  </w:tcBorders>
                  <w:noWrap w:val="0"/>
                  <w:vAlign w:val="center"/>
                </w:tcPr>
                <w:p>
                  <w:pPr>
                    <w:spacing w:before="66" w:line="185" w:lineRule="auto"/>
                    <w:jc w:val="center"/>
                    <w:rPr>
                      <w:rFonts w:hint="default" w:ascii="Times New Roman" w:hAnsi="Times New Roman" w:eastAsia="宋体" w:cs="Times New Roman"/>
                      <w:b/>
                      <w:bCs/>
                      <w:color w:val="auto"/>
                      <w:spacing w:val="-6"/>
                      <w:sz w:val="21"/>
                      <w:szCs w:val="21"/>
                    </w:rPr>
                  </w:pPr>
                  <w:r>
                    <w:rPr>
                      <w:rFonts w:hint="default" w:ascii="Times New Roman" w:hAnsi="Times New Roman" w:eastAsia="宋体" w:cs="Times New Roman"/>
                      <w:b/>
                      <w:bCs/>
                      <w:color w:val="auto"/>
                      <w:spacing w:val="-6"/>
                      <w:sz w:val="21"/>
                      <w:szCs w:val="21"/>
                    </w:rPr>
                    <w:t>主要噪</w:t>
                  </w:r>
                </w:p>
                <w:p>
                  <w:pPr>
                    <w:spacing w:before="66" w:line="185" w:lineRule="auto"/>
                    <w:jc w:val="center"/>
                    <w:rPr>
                      <w:rFonts w:hint="default" w:ascii="Times New Roman" w:hAnsi="Times New Roman" w:eastAsia="宋体" w:cs="Times New Roman"/>
                      <w:b/>
                      <w:bCs/>
                      <w:color w:val="auto"/>
                      <w:spacing w:val="-6"/>
                      <w:sz w:val="21"/>
                      <w:szCs w:val="21"/>
                    </w:rPr>
                  </w:pPr>
                  <w:r>
                    <w:rPr>
                      <w:rFonts w:hint="default" w:ascii="Times New Roman" w:hAnsi="Times New Roman" w:eastAsia="宋体" w:cs="Times New Roman"/>
                      <w:b/>
                      <w:bCs/>
                      <w:color w:val="auto"/>
                      <w:spacing w:val="-6"/>
                      <w:sz w:val="21"/>
                      <w:szCs w:val="21"/>
                    </w:rPr>
                    <w:t>声设备</w:t>
                  </w:r>
                </w:p>
                <w:p>
                  <w:pPr>
                    <w:spacing w:before="66" w:line="185" w:lineRule="auto"/>
                    <w:jc w:val="center"/>
                    <w:rPr>
                      <w:rFonts w:hint="eastAsia" w:ascii="Times New Roman" w:hAnsi="Times New Roman" w:eastAsia="宋体" w:cs="Times New Roman"/>
                      <w:b/>
                      <w:bCs/>
                      <w:color w:val="auto"/>
                      <w:spacing w:val="-6"/>
                      <w:sz w:val="21"/>
                      <w:szCs w:val="21"/>
                      <w:lang w:val="en-US" w:eastAsia="zh-CN"/>
                    </w:rPr>
                  </w:pPr>
                  <w:r>
                    <w:rPr>
                      <w:rFonts w:hint="default" w:ascii="Times New Roman" w:hAnsi="Times New Roman" w:eastAsia="宋体" w:cs="Times New Roman"/>
                      <w:b/>
                      <w:bCs/>
                      <w:color w:val="auto"/>
                      <w:spacing w:val="-6"/>
                      <w:sz w:val="21"/>
                      <w:szCs w:val="21"/>
                    </w:rPr>
                    <w:t>名称</w:t>
                  </w:r>
                </w:p>
              </w:tc>
              <w:tc>
                <w:tcPr>
                  <w:tcW w:w="432" w:type="pct"/>
                  <w:tcBorders>
                    <w:tl2br w:val="nil"/>
                    <w:tr2bl w:val="nil"/>
                  </w:tcBorders>
                  <w:noWrap w:val="0"/>
                  <w:vAlign w:val="center"/>
                </w:tcPr>
                <w:p>
                  <w:pPr>
                    <w:spacing w:before="66" w:line="185" w:lineRule="auto"/>
                    <w:jc w:val="center"/>
                    <w:rPr>
                      <w:rFonts w:hint="default" w:ascii="Times New Roman" w:hAnsi="Times New Roman" w:eastAsia="宋体" w:cs="Times New Roman"/>
                      <w:b/>
                      <w:bCs/>
                      <w:color w:val="auto"/>
                      <w:spacing w:val="-6"/>
                      <w:sz w:val="21"/>
                      <w:szCs w:val="21"/>
                    </w:rPr>
                  </w:pPr>
                  <w:r>
                    <w:rPr>
                      <w:rFonts w:hint="default" w:ascii="Times New Roman" w:hAnsi="Times New Roman" w:eastAsia="宋体" w:cs="Times New Roman"/>
                      <w:b/>
                      <w:bCs/>
                      <w:color w:val="auto"/>
                      <w:spacing w:val="-6"/>
                      <w:sz w:val="21"/>
                      <w:szCs w:val="21"/>
                    </w:rPr>
                    <w:t>源强</w:t>
                  </w:r>
                </w:p>
                <w:p>
                  <w:pPr>
                    <w:spacing w:before="66" w:line="185" w:lineRule="auto"/>
                    <w:jc w:val="center"/>
                    <w:rPr>
                      <w:rFonts w:hint="eastAsia" w:ascii="Times New Roman" w:hAnsi="Times New Roman" w:eastAsia="宋体" w:cs="Times New Roman"/>
                      <w:b/>
                      <w:bCs/>
                      <w:color w:val="auto"/>
                      <w:spacing w:val="-6"/>
                      <w:sz w:val="21"/>
                      <w:szCs w:val="21"/>
                      <w:lang w:val="en-US" w:eastAsia="zh-CN"/>
                    </w:rPr>
                  </w:pPr>
                  <w:r>
                    <w:rPr>
                      <w:rFonts w:hint="default" w:ascii="Times New Roman" w:hAnsi="Times New Roman" w:eastAsia="宋体" w:cs="Times New Roman"/>
                      <w:b/>
                      <w:bCs/>
                      <w:color w:val="auto"/>
                      <w:spacing w:val="-6"/>
                      <w:sz w:val="21"/>
                      <w:szCs w:val="21"/>
                    </w:rPr>
                    <w:t>1m</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b/>
                      <w:bCs/>
                      <w:color w:val="auto"/>
                      <w:spacing w:val="-6"/>
                      <w:sz w:val="21"/>
                      <w:szCs w:val="21"/>
                      <w:lang w:val="en-US" w:eastAsia="zh-CN"/>
                    </w:rPr>
                  </w:pPr>
                  <w:r>
                    <w:rPr>
                      <w:rFonts w:hint="default" w:ascii="Times New Roman" w:hAnsi="Times New Roman" w:eastAsia="宋体" w:cs="Times New Roman"/>
                      <w:b/>
                      <w:bCs/>
                      <w:color w:val="auto"/>
                      <w:spacing w:val="-6"/>
                      <w:sz w:val="21"/>
                      <w:szCs w:val="21"/>
                    </w:rPr>
                    <w:t>10m</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b/>
                      <w:bCs/>
                      <w:color w:val="auto"/>
                      <w:spacing w:val="-6"/>
                      <w:sz w:val="21"/>
                      <w:szCs w:val="21"/>
                      <w:lang w:val="en-US" w:eastAsia="zh-CN"/>
                    </w:rPr>
                  </w:pPr>
                  <w:r>
                    <w:rPr>
                      <w:rFonts w:hint="default" w:ascii="Times New Roman" w:hAnsi="Times New Roman" w:eastAsia="宋体" w:cs="Times New Roman"/>
                      <w:b/>
                      <w:bCs/>
                      <w:color w:val="auto"/>
                      <w:spacing w:val="-6"/>
                      <w:sz w:val="21"/>
                      <w:szCs w:val="21"/>
                    </w:rPr>
                    <w:t>20m</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b/>
                      <w:bCs/>
                      <w:color w:val="auto"/>
                      <w:spacing w:val="-6"/>
                      <w:sz w:val="21"/>
                      <w:szCs w:val="21"/>
                      <w:lang w:val="en-US" w:eastAsia="zh-CN"/>
                    </w:rPr>
                  </w:pPr>
                  <w:r>
                    <w:rPr>
                      <w:rFonts w:hint="default" w:ascii="Times New Roman" w:hAnsi="Times New Roman" w:eastAsia="宋体" w:cs="Times New Roman"/>
                      <w:b/>
                      <w:bCs/>
                      <w:color w:val="auto"/>
                      <w:spacing w:val="-6"/>
                      <w:sz w:val="21"/>
                      <w:szCs w:val="21"/>
                    </w:rPr>
                    <w:t>30m</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b/>
                      <w:bCs/>
                      <w:color w:val="auto"/>
                      <w:spacing w:val="-6"/>
                      <w:sz w:val="21"/>
                      <w:szCs w:val="21"/>
                      <w:lang w:val="en-US" w:eastAsia="zh-CN"/>
                    </w:rPr>
                  </w:pPr>
                  <w:r>
                    <w:rPr>
                      <w:rFonts w:hint="default" w:ascii="Times New Roman" w:hAnsi="Times New Roman" w:eastAsia="宋体" w:cs="Times New Roman"/>
                      <w:b/>
                      <w:bCs/>
                      <w:color w:val="auto"/>
                      <w:spacing w:val="-6"/>
                      <w:sz w:val="21"/>
                      <w:szCs w:val="21"/>
                    </w:rPr>
                    <w:t>40m</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b/>
                      <w:bCs/>
                      <w:color w:val="auto"/>
                      <w:spacing w:val="-6"/>
                      <w:sz w:val="21"/>
                      <w:szCs w:val="21"/>
                      <w:lang w:val="en-US" w:eastAsia="zh-CN"/>
                    </w:rPr>
                  </w:pPr>
                  <w:r>
                    <w:rPr>
                      <w:rFonts w:hint="default" w:ascii="Times New Roman" w:hAnsi="Times New Roman" w:eastAsia="宋体" w:cs="Times New Roman"/>
                      <w:b/>
                      <w:bCs/>
                      <w:color w:val="auto"/>
                      <w:spacing w:val="-6"/>
                      <w:sz w:val="21"/>
                      <w:szCs w:val="21"/>
                    </w:rPr>
                    <w:t>50m</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b/>
                      <w:bCs/>
                      <w:color w:val="auto"/>
                      <w:spacing w:val="-6"/>
                      <w:sz w:val="21"/>
                      <w:szCs w:val="21"/>
                      <w:lang w:val="en-US" w:eastAsia="zh-CN"/>
                    </w:rPr>
                  </w:pPr>
                  <w:r>
                    <w:rPr>
                      <w:rFonts w:hint="default" w:ascii="Times New Roman" w:hAnsi="Times New Roman" w:eastAsia="宋体" w:cs="Times New Roman"/>
                      <w:b/>
                      <w:bCs/>
                      <w:color w:val="auto"/>
                      <w:spacing w:val="-6"/>
                      <w:sz w:val="21"/>
                      <w:szCs w:val="21"/>
                    </w:rPr>
                    <w:t>100m</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b/>
                      <w:bCs/>
                      <w:color w:val="auto"/>
                      <w:spacing w:val="-6"/>
                      <w:sz w:val="21"/>
                      <w:szCs w:val="21"/>
                      <w:lang w:val="en-US" w:eastAsia="zh-CN"/>
                    </w:rPr>
                  </w:pPr>
                  <w:r>
                    <w:rPr>
                      <w:rFonts w:hint="default" w:ascii="Times New Roman" w:hAnsi="Times New Roman" w:eastAsia="宋体" w:cs="Times New Roman"/>
                      <w:b/>
                      <w:bCs/>
                      <w:color w:val="auto"/>
                      <w:spacing w:val="-6"/>
                      <w:sz w:val="21"/>
                      <w:szCs w:val="21"/>
                    </w:rPr>
                    <w:t>150m</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b/>
                      <w:bCs/>
                      <w:color w:val="auto"/>
                      <w:spacing w:val="-6"/>
                      <w:sz w:val="21"/>
                      <w:szCs w:val="21"/>
                      <w:lang w:val="en-US" w:eastAsia="zh-CN"/>
                    </w:rPr>
                  </w:pPr>
                  <w:r>
                    <w:rPr>
                      <w:rFonts w:hint="default" w:ascii="Times New Roman" w:hAnsi="Times New Roman" w:eastAsia="宋体" w:cs="Times New Roman"/>
                      <w:b/>
                      <w:bCs/>
                      <w:color w:val="auto"/>
                      <w:spacing w:val="-6"/>
                      <w:sz w:val="21"/>
                      <w:szCs w:val="21"/>
                    </w:rPr>
                    <w:t>200m</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b/>
                      <w:bCs/>
                      <w:color w:val="auto"/>
                      <w:spacing w:val="-6"/>
                      <w:sz w:val="21"/>
                      <w:szCs w:val="21"/>
                      <w:lang w:val="en-US" w:eastAsia="zh-CN"/>
                    </w:rPr>
                  </w:pPr>
                  <w:r>
                    <w:rPr>
                      <w:rFonts w:hint="default" w:ascii="Times New Roman" w:hAnsi="Times New Roman" w:eastAsia="宋体" w:cs="Times New Roman"/>
                      <w:b/>
                      <w:bCs/>
                      <w:color w:val="auto"/>
                      <w:spacing w:val="-6"/>
                      <w:sz w:val="21"/>
                      <w:szCs w:val="21"/>
                    </w:rPr>
                    <w:t>250m</w:t>
                  </w:r>
                </w:p>
              </w:tc>
              <w:tc>
                <w:tcPr>
                  <w:tcW w:w="406" w:type="pct"/>
                  <w:tcBorders>
                    <w:tl2br w:val="nil"/>
                    <w:tr2bl w:val="nil"/>
                  </w:tcBorders>
                  <w:noWrap w:val="0"/>
                  <w:vAlign w:val="center"/>
                </w:tcPr>
                <w:p>
                  <w:pPr>
                    <w:spacing w:before="66" w:line="185" w:lineRule="auto"/>
                    <w:jc w:val="center"/>
                    <w:rPr>
                      <w:rFonts w:hint="eastAsia" w:ascii="Times New Roman" w:hAnsi="Times New Roman" w:eastAsia="宋体" w:cs="Times New Roman"/>
                      <w:b/>
                      <w:bCs/>
                      <w:color w:val="auto"/>
                      <w:spacing w:val="-6"/>
                      <w:sz w:val="21"/>
                      <w:szCs w:val="21"/>
                      <w:lang w:val="en-US" w:eastAsia="zh-CN"/>
                    </w:rPr>
                  </w:pPr>
                  <w:r>
                    <w:rPr>
                      <w:rFonts w:hint="default" w:ascii="Times New Roman" w:hAnsi="Times New Roman" w:eastAsia="宋体" w:cs="Times New Roman"/>
                      <w:b/>
                      <w:bCs/>
                      <w:color w:val="auto"/>
                      <w:spacing w:val="-6"/>
                      <w:sz w:val="21"/>
                      <w:szCs w:val="21"/>
                    </w:rPr>
                    <w:t>300m</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11"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起重机</w:t>
                  </w:r>
                </w:p>
              </w:tc>
              <w:tc>
                <w:tcPr>
                  <w:tcW w:w="432"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79</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59</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53</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49</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47</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45</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39</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35</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33</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31</w:t>
                  </w:r>
                </w:p>
              </w:tc>
              <w:tc>
                <w:tcPr>
                  <w:tcW w:w="406"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29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11"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挖掘机</w:t>
                  </w:r>
                </w:p>
              </w:tc>
              <w:tc>
                <w:tcPr>
                  <w:tcW w:w="432"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82</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62</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56</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52</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50</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48</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42</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38</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36</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34</w:t>
                  </w:r>
                </w:p>
              </w:tc>
              <w:tc>
                <w:tcPr>
                  <w:tcW w:w="406"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32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11"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电焊机</w:t>
                  </w:r>
                </w:p>
              </w:tc>
              <w:tc>
                <w:tcPr>
                  <w:tcW w:w="432"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93</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73</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67</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63</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61</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59</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53</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49</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47</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45</w:t>
                  </w:r>
                </w:p>
              </w:tc>
              <w:tc>
                <w:tcPr>
                  <w:tcW w:w="406"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43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11"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电钻</w:t>
                  </w:r>
                </w:p>
              </w:tc>
              <w:tc>
                <w:tcPr>
                  <w:tcW w:w="432"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100</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80</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74</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70</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68</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66</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60</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56</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54</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52</w:t>
                  </w:r>
                </w:p>
              </w:tc>
              <w:tc>
                <w:tcPr>
                  <w:tcW w:w="406"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11"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切断机</w:t>
                  </w:r>
                </w:p>
              </w:tc>
              <w:tc>
                <w:tcPr>
                  <w:tcW w:w="432"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85</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65</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60</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55</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53</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51</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45</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41</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39</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37</w:t>
                  </w:r>
                </w:p>
              </w:tc>
              <w:tc>
                <w:tcPr>
                  <w:tcW w:w="406"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35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11"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推土机</w:t>
                  </w:r>
                </w:p>
              </w:tc>
              <w:tc>
                <w:tcPr>
                  <w:tcW w:w="432"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79</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59</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53</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49</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47</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45</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39</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35</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33</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31</w:t>
                  </w:r>
                </w:p>
              </w:tc>
              <w:tc>
                <w:tcPr>
                  <w:tcW w:w="406"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29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11"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压路机</w:t>
                  </w:r>
                </w:p>
              </w:tc>
              <w:tc>
                <w:tcPr>
                  <w:tcW w:w="432"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79</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59</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53</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49</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47</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45</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39</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35</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33</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31</w:t>
                  </w:r>
                </w:p>
              </w:tc>
              <w:tc>
                <w:tcPr>
                  <w:tcW w:w="406"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29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11"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振捣器</w:t>
                  </w:r>
                </w:p>
              </w:tc>
              <w:tc>
                <w:tcPr>
                  <w:tcW w:w="432"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90</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70</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64</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60</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58</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56</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50</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46</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44</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42</w:t>
                  </w:r>
                </w:p>
              </w:tc>
              <w:tc>
                <w:tcPr>
                  <w:tcW w:w="406"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40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11"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发电机</w:t>
                  </w:r>
                </w:p>
              </w:tc>
              <w:tc>
                <w:tcPr>
                  <w:tcW w:w="432"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85</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65</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60</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55</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53</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51</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45</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41</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39</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37</w:t>
                  </w:r>
                </w:p>
              </w:tc>
              <w:tc>
                <w:tcPr>
                  <w:tcW w:w="406"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35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11"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多声源 叠加值</w:t>
                  </w:r>
                </w:p>
              </w:tc>
              <w:tc>
                <w:tcPr>
                  <w:tcW w:w="432"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102</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81</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75</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71</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69</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67</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61</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57</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55</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53</w:t>
                  </w:r>
                </w:p>
              </w:tc>
              <w:tc>
                <w:tcPr>
                  <w:tcW w:w="406"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51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11" w:type="pct"/>
                  <w:vMerge w:val="restar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背景值</w:t>
                  </w:r>
                </w:p>
              </w:tc>
              <w:tc>
                <w:tcPr>
                  <w:tcW w:w="432"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昼间</w:t>
                  </w:r>
                </w:p>
              </w:tc>
              <w:tc>
                <w:tcPr>
                  <w:tcW w:w="4056" w:type="pct"/>
                  <w:gridSpan w:val="10"/>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43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11" w:type="pct"/>
                  <w:vMerge w:val="continue"/>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p>
              </w:tc>
              <w:tc>
                <w:tcPr>
                  <w:tcW w:w="432"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夜间</w:t>
                  </w:r>
                </w:p>
              </w:tc>
              <w:tc>
                <w:tcPr>
                  <w:tcW w:w="4056" w:type="pct"/>
                  <w:gridSpan w:val="10"/>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41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11" w:type="pct"/>
                  <w:vMerge w:val="restar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rPr>
                    <w:t>预测值</w:t>
                  </w:r>
                </w:p>
              </w:tc>
              <w:tc>
                <w:tcPr>
                  <w:tcW w:w="432"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昼间</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81.0</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75.0</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71.1</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69.1</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67.2</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61.6</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58.5</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57.1</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56.0</w:t>
                  </w:r>
                </w:p>
              </w:tc>
              <w:tc>
                <w:tcPr>
                  <w:tcW w:w="406"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55.1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11" w:type="pct"/>
                  <w:vMerge w:val="continue"/>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p>
              </w:tc>
              <w:tc>
                <w:tcPr>
                  <w:tcW w:w="432"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夜间</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81.0</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75.0</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71.0</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69.0</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67.0</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61.1</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57.3</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55.4</w:t>
                  </w:r>
                </w:p>
              </w:tc>
              <w:tc>
                <w:tcPr>
                  <w:tcW w:w="405"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53.6</w:t>
                  </w:r>
                </w:p>
              </w:tc>
              <w:tc>
                <w:tcPr>
                  <w:tcW w:w="406" w:type="pct"/>
                  <w:tcBorders>
                    <w:tl2br w:val="nil"/>
                    <w:tr2bl w:val="nil"/>
                  </w:tcBorders>
                  <w:noWrap w:val="0"/>
                  <w:vAlign w:val="center"/>
                </w:tcPr>
                <w:p>
                  <w:pPr>
                    <w:spacing w:before="66" w:line="185" w:lineRule="auto"/>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52.0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2"/>
                  <w:tcBorders>
                    <w:tl2br w:val="nil"/>
                    <w:tr2bl w:val="nil"/>
                  </w:tcBorders>
                  <w:noWrap w:val="0"/>
                  <w:vAlign w:val="center"/>
                </w:tcPr>
                <w:p>
                  <w:pPr>
                    <w:spacing w:before="66" w:line="185" w:lineRule="auto"/>
                    <w:jc w:val="center"/>
                    <w:rPr>
                      <w:rFonts w:hint="default"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注：背景值取现状监测最大值</w:t>
                  </w:r>
                </w:p>
              </w:tc>
            </w:tr>
          </w:tbl>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default" w:ascii="Times New Roman" w:hAnsi="Times New Roman" w:eastAsia="宋体" w:cs="Times New Roman"/>
                <w:b w:val="0"/>
                <w:bCs w:val="0"/>
                <w:snapToGrid w:val="0"/>
                <w:color w:val="auto"/>
                <w:spacing w:val="10"/>
                <w:sz w:val="24"/>
                <w:highlight w:val="none"/>
                <w:lang w:val="en-US" w:eastAsia="zh-CN"/>
              </w:rPr>
              <w:t>由上表可以看出，施工机械中噪声影响较大的设备是电焊机、振捣器及电钻等。单台设备运行时，距施工点40m外昼间可达《建筑施工场界环境噪声排放限值》  (GB12523-2011) 70dB(A)的要求，距施工点200m外夜间可达《建筑施工场界环境噪声排放限值》(GB12523-2011) 55dB(A)的要求。设备全部运行时，距施工点40m外昼间可达《建筑施工场界环境噪声排放限值》(GB12523-2011) 70dBA)的要求，距施工点250m外夜间可达《建筑施工场界环境噪声排放限值》(GB12523-2011) 55dB(A) 的要求</w:t>
            </w:r>
            <w:r>
              <w:rPr>
                <w:rFonts w:hint="eastAsia" w:ascii="Times New Roman" w:hAnsi="Times New Roman" w:eastAsia="宋体" w:cs="Times New Roman"/>
                <w:b w:val="0"/>
                <w:bCs w:val="0"/>
                <w:snapToGrid w:val="0"/>
                <w:color w:val="auto"/>
                <w:spacing w:val="10"/>
                <w:sz w:val="24"/>
                <w:highlight w:val="none"/>
                <w:lang w:val="en-US" w:eastAsia="zh-CN"/>
              </w:rPr>
              <w:t>。项目区夜间不施工。</w:t>
            </w:r>
          </w:p>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项目沙沟片区光伏布板区域和升压站周围200m</w:t>
            </w:r>
            <w:r>
              <w:rPr>
                <w:rFonts w:hint="default" w:ascii="Times New Roman" w:hAnsi="Times New Roman" w:eastAsia="宋体" w:cs="Times New Roman"/>
                <w:b w:val="0"/>
                <w:bCs w:val="0"/>
                <w:snapToGrid w:val="0"/>
                <w:color w:val="auto"/>
                <w:spacing w:val="10"/>
                <w:sz w:val="24"/>
                <w:highlight w:val="none"/>
                <w:lang w:val="en-US" w:eastAsia="zh-CN"/>
              </w:rPr>
              <w:t>范围内</w:t>
            </w:r>
            <w:r>
              <w:rPr>
                <w:rFonts w:hint="eastAsia" w:ascii="Times New Roman" w:hAnsi="Times New Roman" w:eastAsia="宋体" w:cs="Times New Roman"/>
                <w:b w:val="0"/>
                <w:bCs w:val="0"/>
                <w:snapToGrid w:val="0"/>
                <w:color w:val="auto"/>
                <w:spacing w:val="10"/>
                <w:sz w:val="24"/>
                <w:highlight w:val="none"/>
                <w:lang w:val="en-US" w:eastAsia="zh-CN"/>
              </w:rPr>
              <w:t>有路古么村和丙令哨村两个</w:t>
            </w:r>
            <w:r>
              <w:rPr>
                <w:rFonts w:hint="default" w:ascii="Times New Roman" w:hAnsi="Times New Roman" w:eastAsia="宋体" w:cs="Times New Roman"/>
                <w:b w:val="0"/>
                <w:bCs w:val="0"/>
                <w:snapToGrid w:val="0"/>
                <w:color w:val="auto"/>
                <w:spacing w:val="10"/>
                <w:sz w:val="24"/>
                <w:highlight w:val="none"/>
                <w:lang w:val="en-US" w:eastAsia="zh-CN"/>
              </w:rPr>
              <w:t>声环境保护目标</w:t>
            </w:r>
            <w:r>
              <w:rPr>
                <w:rFonts w:hint="eastAsia" w:ascii="Times New Roman" w:hAnsi="Times New Roman" w:eastAsia="宋体" w:cs="Times New Roman"/>
                <w:b w:val="0"/>
                <w:bCs w:val="0"/>
                <w:snapToGrid w:val="0"/>
                <w:color w:val="auto"/>
                <w:spacing w:val="10"/>
                <w:sz w:val="24"/>
                <w:highlight w:val="none"/>
                <w:lang w:val="en-US" w:eastAsia="zh-CN"/>
              </w:rPr>
              <w:t>，其中路古么村距离项目沙沟片区13#方阵较近</w:t>
            </w:r>
            <w:r>
              <w:rPr>
                <w:rFonts w:hint="default" w:ascii="Times New Roman" w:hAnsi="Times New Roman" w:eastAsia="宋体" w:cs="Times New Roman"/>
                <w:b w:val="0"/>
                <w:bCs w:val="0"/>
                <w:snapToGrid w:val="0"/>
                <w:color w:val="auto"/>
                <w:spacing w:val="10"/>
                <w:sz w:val="24"/>
                <w:highlight w:val="none"/>
                <w:lang w:val="en-US" w:eastAsia="zh-CN"/>
              </w:rPr>
              <w:t>。故施工期需采用低噪机械，合理安排施工场地布置，文明施工，加强施工管理，合理安排施工进度，将主要噪声源尽量远离场界等措施减小噪声的影响</w:t>
            </w:r>
            <w:r>
              <w:rPr>
                <w:rFonts w:hint="eastAsia" w:ascii="Times New Roman" w:hAnsi="Times New Roman" w:eastAsia="宋体" w:cs="Times New Roman"/>
                <w:b w:val="0"/>
                <w:bCs w:val="0"/>
                <w:snapToGrid w:val="0"/>
                <w:color w:val="auto"/>
                <w:spacing w:val="10"/>
                <w:sz w:val="24"/>
                <w:highlight w:val="none"/>
                <w:lang w:val="en-US" w:eastAsia="zh-CN"/>
              </w:rPr>
              <w:t>，必要时采取人工施工，减少大型器械的使用，降低噪声的影响</w:t>
            </w:r>
            <w:r>
              <w:rPr>
                <w:rFonts w:hint="default" w:ascii="Times New Roman" w:hAnsi="Times New Roman" w:eastAsia="宋体" w:cs="Times New Roman"/>
                <w:b w:val="0"/>
                <w:bCs w:val="0"/>
                <w:snapToGrid w:val="0"/>
                <w:color w:val="auto"/>
                <w:spacing w:val="10"/>
                <w:sz w:val="24"/>
                <w:highlight w:val="none"/>
                <w:lang w:val="en-US" w:eastAsia="zh-CN"/>
              </w:rPr>
              <w:t>。项目夜间禁止施工，采取环评要求的施工噪声污染防治措施后，施工期能满足《建筑施工场界环境噪声排放标准》(GB12523-2011)昼间标准(≤70dB(A) )可以做到达标排放，对周围声环境影响较小。运输车辆经过敏感点时，只要采取减速行驶、禁鸣等措施后，可以减小噪声对所经过敏感点的声环境影响。施工噪声将随着施工活动的结束而消失。</w:t>
            </w:r>
          </w:p>
          <w:p>
            <w:pPr>
              <w:widowControl w:val="0"/>
              <w:spacing w:beforeLines="0" w:afterLines="0" w:line="360" w:lineRule="auto"/>
              <w:ind w:firstLine="482" w:firstLineChars="200"/>
              <w:jc w:val="both"/>
              <w:rPr>
                <w:rFonts w:hint="default" w:ascii="Times New Roman" w:hAnsi="Times New Roman" w:eastAsia="宋体" w:cs="Times New Roman"/>
                <w:b/>
                <w:color w:val="auto"/>
                <w:kern w:val="2"/>
                <w:sz w:val="24"/>
                <w:szCs w:val="24"/>
                <w:lang w:val="en-US" w:eastAsia="zh-CN" w:bidi="ar-SA"/>
              </w:rPr>
            </w:pPr>
            <w:r>
              <w:rPr>
                <w:rFonts w:hint="eastAsia" w:cs="Times New Roman"/>
                <w:b/>
                <w:color w:val="auto"/>
                <w:kern w:val="2"/>
                <w:sz w:val="24"/>
                <w:szCs w:val="24"/>
                <w:lang w:val="en-US" w:eastAsia="zh-CN" w:bidi="ar-SA"/>
              </w:rPr>
              <w:t>4.1.5</w:t>
            </w:r>
            <w:r>
              <w:rPr>
                <w:rFonts w:hint="default" w:ascii="Times New Roman" w:hAnsi="Times New Roman" w:eastAsia="宋体" w:cs="Times New Roman"/>
                <w:b/>
                <w:color w:val="auto"/>
                <w:kern w:val="2"/>
                <w:sz w:val="24"/>
                <w:szCs w:val="24"/>
                <w:lang w:val="en-US" w:eastAsia="zh-CN" w:bidi="ar-SA"/>
              </w:rPr>
              <w:t>施工期固体废物影响</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default" w:ascii="Times New Roman" w:hAnsi="Times New Roman" w:eastAsia="宋体" w:cs="Times New Roman"/>
                <w:b w:val="0"/>
                <w:bCs w:val="0"/>
                <w:snapToGrid w:val="0"/>
                <w:color w:val="auto"/>
                <w:spacing w:val="10"/>
                <w:sz w:val="24"/>
                <w:highlight w:val="none"/>
                <w:lang w:val="en-US" w:eastAsia="zh-CN"/>
              </w:rPr>
              <w:t>项目施工期固体废物主要为废弃土石方、建筑垃圾、生活垃圾和粪便等。</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default" w:ascii="Times New Roman" w:hAnsi="Times New Roman" w:eastAsia="宋体" w:cs="Times New Roman"/>
                <w:b w:val="0"/>
                <w:bCs w:val="0"/>
                <w:snapToGrid w:val="0"/>
                <w:color w:val="auto"/>
                <w:spacing w:val="10"/>
                <w:sz w:val="24"/>
                <w:highlight w:val="none"/>
                <w:lang w:val="en-US" w:eastAsia="zh-CN"/>
              </w:rPr>
              <w:t>（1）建筑垃圾</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default" w:ascii="Times New Roman" w:hAnsi="Times New Roman" w:eastAsia="宋体" w:cs="Times New Roman"/>
                <w:b w:val="0"/>
                <w:bCs w:val="0"/>
                <w:snapToGrid w:val="0"/>
                <w:color w:val="auto"/>
                <w:spacing w:val="10"/>
                <w:sz w:val="24"/>
                <w:highlight w:val="none"/>
                <w:lang w:val="en-US" w:eastAsia="zh-CN"/>
              </w:rPr>
              <w:t>建筑垃圾主要由废弃混凝土、废碎砖瓦砾、废电缆、废木材以及装修过程中产生的废弃瓷砖、石块、玻璃、涂料、包装材料等组成。项目建筑主要为升压站内的综合楼，工程量较小，产生的建筑垃圾较少。</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default" w:ascii="Times New Roman" w:hAnsi="Times New Roman" w:eastAsia="宋体" w:cs="Times New Roman"/>
                <w:b w:val="0"/>
                <w:bCs w:val="0"/>
                <w:snapToGrid w:val="0"/>
                <w:color w:val="auto"/>
                <w:spacing w:val="10"/>
                <w:sz w:val="24"/>
                <w:highlight w:val="none"/>
                <w:lang w:val="en-US" w:eastAsia="zh-CN"/>
              </w:rPr>
              <w:t>（2）生活垃圾及粪便</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default" w:ascii="Times New Roman" w:hAnsi="Times New Roman" w:eastAsia="宋体" w:cs="Times New Roman"/>
                <w:b w:val="0"/>
                <w:bCs w:val="0"/>
                <w:snapToGrid w:val="0"/>
                <w:color w:val="auto"/>
                <w:spacing w:val="10"/>
                <w:sz w:val="24"/>
                <w:highlight w:val="none"/>
                <w:lang w:val="en-US" w:eastAsia="zh-CN"/>
              </w:rPr>
              <w:t>项目建筑施工人员每天平均</w:t>
            </w:r>
            <w:r>
              <w:rPr>
                <w:rFonts w:hint="eastAsia" w:ascii="Times New Roman" w:hAnsi="Times New Roman" w:eastAsia="宋体" w:cs="Times New Roman"/>
                <w:b w:val="0"/>
                <w:bCs w:val="0"/>
                <w:snapToGrid w:val="0"/>
                <w:color w:val="auto"/>
                <w:spacing w:val="10"/>
                <w:sz w:val="24"/>
                <w:highlight w:val="none"/>
                <w:lang w:val="en-US" w:eastAsia="zh-CN"/>
              </w:rPr>
              <w:t>2</w:t>
            </w:r>
            <w:r>
              <w:rPr>
                <w:rFonts w:hint="default" w:ascii="Times New Roman" w:hAnsi="Times New Roman" w:eastAsia="宋体" w:cs="Times New Roman"/>
                <w:b w:val="0"/>
                <w:bCs w:val="0"/>
                <w:snapToGrid w:val="0"/>
                <w:color w:val="auto"/>
                <w:spacing w:val="10"/>
                <w:sz w:val="24"/>
                <w:highlight w:val="none"/>
                <w:lang w:val="en-US" w:eastAsia="zh-CN"/>
              </w:rPr>
              <w:t>00人，大多数施工人员为周边村民，其中管理人员及技术人员以20人计。施工人员生活垃圾产生量按0.5kg/(人·d)计算，施工人员产生的生活垃圾为</w:t>
            </w:r>
            <w:r>
              <w:rPr>
                <w:rFonts w:hint="eastAsia" w:ascii="Times New Roman" w:hAnsi="Times New Roman" w:eastAsia="宋体" w:cs="Times New Roman"/>
                <w:b w:val="0"/>
                <w:bCs w:val="0"/>
                <w:snapToGrid w:val="0"/>
                <w:color w:val="auto"/>
                <w:spacing w:val="10"/>
                <w:sz w:val="24"/>
                <w:highlight w:val="none"/>
                <w:lang w:val="en-US" w:eastAsia="zh-CN"/>
              </w:rPr>
              <w:t>10</w:t>
            </w:r>
            <w:r>
              <w:rPr>
                <w:rFonts w:hint="default" w:ascii="Times New Roman" w:hAnsi="Times New Roman" w:eastAsia="宋体" w:cs="Times New Roman"/>
                <w:b w:val="0"/>
                <w:bCs w:val="0"/>
                <w:snapToGrid w:val="0"/>
                <w:color w:val="auto"/>
                <w:spacing w:val="10"/>
                <w:sz w:val="24"/>
                <w:highlight w:val="none"/>
                <w:lang w:val="en-US" w:eastAsia="zh-CN"/>
              </w:rPr>
              <w:t>0kg/d，施工人员生活垃圾主要成分为塑料袋、废纸等。</w:t>
            </w:r>
            <w:r>
              <w:rPr>
                <w:rFonts w:hint="eastAsia" w:ascii="Times New Roman" w:hAnsi="Times New Roman" w:eastAsia="宋体" w:cs="Times New Roman"/>
                <w:b w:val="0"/>
                <w:bCs w:val="0"/>
                <w:snapToGrid w:val="0"/>
                <w:color w:val="auto"/>
                <w:spacing w:val="10"/>
                <w:sz w:val="24"/>
                <w:highlight w:val="none"/>
                <w:lang w:val="en-US" w:eastAsia="zh-CN"/>
              </w:rPr>
              <w:t>厂区内</w:t>
            </w:r>
            <w:r>
              <w:rPr>
                <w:rFonts w:hint="default" w:ascii="Times New Roman" w:hAnsi="Times New Roman" w:eastAsia="宋体" w:cs="Times New Roman"/>
                <w:b w:val="0"/>
                <w:bCs w:val="0"/>
                <w:snapToGrid w:val="0"/>
                <w:color w:val="auto"/>
                <w:spacing w:val="10"/>
                <w:sz w:val="24"/>
                <w:highlight w:val="none"/>
                <w:lang w:val="en-US" w:eastAsia="zh-CN"/>
              </w:rPr>
              <w:t>设置</w:t>
            </w:r>
            <w:r>
              <w:rPr>
                <w:rFonts w:hint="eastAsia" w:ascii="Times New Roman" w:hAnsi="Times New Roman" w:eastAsia="宋体" w:cs="Times New Roman"/>
                <w:b w:val="0"/>
                <w:bCs w:val="0"/>
                <w:snapToGrid w:val="0"/>
                <w:color w:val="auto"/>
                <w:spacing w:val="10"/>
                <w:sz w:val="24"/>
                <w:highlight w:val="none"/>
                <w:lang w:val="en-US" w:eastAsia="zh-CN"/>
              </w:rPr>
              <w:t>了</w:t>
            </w:r>
            <w:r>
              <w:rPr>
                <w:rFonts w:hint="default" w:ascii="Times New Roman" w:hAnsi="Times New Roman" w:eastAsia="宋体" w:cs="Times New Roman"/>
                <w:b w:val="0"/>
                <w:bCs w:val="0"/>
                <w:snapToGrid w:val="0"/>
                <w:color w:val="auto"/>
                <w:spacing w:val="10"/>
                <w:sz w:val="24"/>
                <w:highlight w:val="none"/>
                <w:lang w:val="en-US" w:eastAsia="zh-CN"/>
              </w:rPr>
              <w:t>若干垃圾桶，产生的垃圾集中收集至</w:t>
            </w:r>
            <w:r>
              <w:rPr>
                <w:rFonts w:hint="eastAsia" w:ascii="Times New Roman" w:hAnsi="Times New Roman" w:eastAsia="宋体" w:cs="Times New Roman"/>
                <w:b w:val="0"/>
                <w:bCs w:val="0"/>
                <w:snapToGrid w:val="0"/>
                <w:color w:val="auto"/>
                <w:spacing w:val="10"/>
                <w:sz w:val="24"/>
                <w:highlight w:val="none"/>
                <w:lang w:val="en-US" w:eastAsia="zh-CN"/>
              </w:rPr>
              <w:t>附近</w:t>
            </w:r>
            <w:r>
              <w:rPr>
                <w:rFonts w:hint="default" w:ascii="Times New Roman" w:hAnsi="Times New Roman" w:eastAsia="宋体" w:cs="Times New Roman"/>
                <w:b w:val="0"/>
                <w:bCs w:val="0"/>
                <w:snapToGrid w:val="0"/>
                <w:color w:val="auto"/>
                <w:spacing w:val="10"/>
                <w:sz w:val="24"/>
                <w:highlight w:val="none"/>
                <w:lang w:val="en-US" w:eastAsia="zh-CN"/>
              </w:rPr>
              <w:t>村庄统一由环卫部门定期清运。产生的粪便统一收集于旱厕，旱厕粪便定期清掏绿化。</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（3）</w:t>
            </w:r>
            <w:r>
              <w:rPr>
                <w:rFonts w:hint="default" w:ascii="Times New Roman" w:hAnsi="Times New Roman" w:eastAsia="宋体" w:cs="Times New Roman"/>
                <w:b w:val="0"/>
                <w:bCs w:val="0"/>
                <w:snapToGrid w:val="0"/>
                <w:color w:val="auto"/>
                <w:spacing w:val="10"/>
                <w:sz w:val="24"/>
                <w:highlight w:val="none"/>
                <w:lang w:val="en-US" w:eastAsia="zh-CN"/>
              </w:rPr>
              <w:t>土石方</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w:t>
            </w:r>
            <w:r>
              <w:rPr>
                <w:rFonts w:hint="eastAsia" w:cs="Times New Roman"/>
                <w:color w:val="auto"/>
                <w:kern w:val="2"/>
                <w:sz w:val="24"/>
                <w:szCs w:val="24"/>
                <w:lang w:val="en-US" w:eastAsia="zh-CN" w:bidi="ar-SA"/>
              </w:rPr>
              <w:t>华能元谋马头地光伏电站</w:t>
            </w:r>
            <w:r>
              <w:rPr>
                <w:rFonts w:hint="default" w:ascii="Times New Roman" w:hAnsi="Times New Roman" w:eastAsia="宋体" w:cs="Times New Roman"/>
                <w:color w:val="auto"/>
                <w:kern w:val="2"/>
                <w:sz w:val="24"/>
                <w:szCs w:val="24"/>
                <w:lang w:val="en-US" w:eastAsia="zh-CN" w:bidi="ar-SA"/>
              </w:rPr>
              <w:t>水土保持方案</w:t>
            </w:r>
            <w:r>
              <w:rPr>
                <w:rFonts w:hint="eastAsia" w:cs="Times New Roman"/>
                <w:color w:val="auto"/>
                <w:kern w:val="2"/>
                <w:sz w:val="24"/>
                <w:szCs w:val="24"/>
                <w:lang w:val="en-US" w:eastAsia="zh-CN" w:bidi="ar-SA"/>
              </w:rPr>
              <w:t>变更</w:t>
            </w:r>
            <w:r>
              <w:rPr>
                <w:rFonts w:hint="default" w:ascii="Times New Roman" w:hAnsi="Times New Roman" w:eastAsia="宋体" w:cs="Times New Roman"/>
                <w:color w:val="auto"/>
                <w:kern w:val="2"/>
                <w:sz w:val="24"/>
                <w:szCs w:val="24"/>
                <w:lang w:val="en-US" w:eastAsia="zh-CN" w:bidi="ar-SA"/>
              </w:rPr>
              <w:t>报告书》可知，工程建设过程中共产生挖方</w:t>
            </w:r>
            <w:r>
              <w:rPr>
                <w:rFonts w:hint="eastAsia" w:cs="Times New Roman"/>
                <w:color w:val="auto"/>
                <w:kern w:val="2"/>
                <w:sz w:val="24"/>
                <w:szCs w:val="24"/>
                <w:lang w:val="en-US" w:eastAsia="zh-CN" w:bidi="ar-SA"/>
              </w:rPr>
              <w:t>19万</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（其中含表土剥离</w:t>
            </w:r>
            <w:r>
              <w:rPr>
                <w:rFonts w:hint="eastAsia" w:cs="Times New Roman"/>
                <w:color w:val="auto"/>
                <w:kern w:val="2"/>
                <w:sz w:val="24"/>
                <w:szCs w:val="24"/>
                <w:lang w:val="en-US" w:eastAsia="zh-CN" w:bidi="ar-SA"/>
              </w:rPr>
              <w:t>0.81</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），填方</w:t>
            </w:r>
            <w:r>
              <w:rPr>
                <w:rFonts w:hint="eastAsia" w:cs="Times New Roman"/>
                <w:color w:val="auto"/>
                <w:kern w:val="2"/>
                <w:sz w:val="24"/>
                <w:szCs w:val="24"/>
                <w:lang w:val="en-US" w:eastAsia="zh-CN" w:bidi="ar-SA"/>
              </w:rPr>
              <w:t>19.60</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（其中绿化覆土</w:t>
            </w:r>
            <w:r>
              <w:rPr>
                <w:rFonts w:hint="eastAsia" w:cs="Times New Roman"/>
                <w:color w:val="auto"/>
                <w:kern w:val="2"/>
                <w:sz w:val="24"/>
                <w:szCs w:val="24"/>
                <w:lang w:val="en-US" w:eastAsia="zh-CN" w:bidi="ar-SA"/>
              </w:rPr>
              <w:t>3.98</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最终产生弃渣2.57万</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eastAsia" w:cs="Times New Roman"/>
                <w:color w:val="auto"/>
                <w:kern w:val="2"/>
                <w:sz w:val="24"/>
                <w:szCs w:val="24"/>
                <w:lang w:val="en-US" w:eastAsia="zh-CN" w:bidi="ar-SA"/>
              </w:rPr>
              <w:t>，全部运往弃渣场堆存</w:t>
            </w:r>
            <w:r>
              <w:rPr>
                <w:rFonts w:hint="default" w:ascii="Times New Roman" w:hAnsi="Times New Roman" w:eastAsia="宋体" w:cs="Times New Roman"/>
                <w:color w:val="auto"/>
                <w:kern w:val="2"/>
                <w:sz w:val="24"/>
                <w:szCs w:val="24"/>
                <w:lang w:val="en-US" w:eastAsia="zh-CN" w:bidi="ar-SA"/>
              </w:rPr>
              <w:t>。</w:t>
            </w:r>
          </w:p>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default" w:ascii="Times New Roman" w:hAnsi="Times New Roman" w:eastAsia="宋体" w:cs="Times New Roman"/>
                <w:b w:val="0"/>
                <w:bCs w:val="0"/>
                <w:snapToGrid w:val="0"/>
                <w:color w:val="auto"/>
                <w:spacing w:val="10"/>
                <w:sz w:val="24"/>
                <w:highlight w:val="none"/>
                <w:lang w:val="en-US" w:eastAsia="zh-CN"/>
              </w:rPr>
              <w:t>弃渣属人工塑造的松散堆积体，若不采取适当的护坡、排水等防护措施，容易造成渣体冲刷、滑落和坍塌，引发新的水土流失；大量的堆渣体在景观上与周围的景观不协调。因此，应该严格按照水保方案做好项目的水土保持工作，合理设置弃渣，严格遵循</w:t>
            </w:r>
            <w:r>
              <w:rPr>
                <w:rFonts w:hint="eastAsia" w:ascii="Times New Roman" w:hAnsi="Times New Roman" w:eastAsia="宋体" w:cs="Times New Roman"/>
                <w:b w:val="0"/>
                <w:bCs w:val="0"/>
                <w:snapToGrid w:val="0"/>
                <w:color w:val="auto"/>
                <w:spacing w:val="10"/>
                <w:sz w:val="24"/>
                <w:highlight w:val="none"/>
                <w:lang w:val="en-US" w:eastAsia="zh-CN"/>
              </w:rPr>
              <w:t>“</w:t>
            </w:r>
            <w:r>
              <w:rPr>
                <w:rFonts w:hint="default" w:ascii="Times New Roman" w:hAnsi="Times New Roman" w:eastAsia="宋体" w:cs="Times New Roman"/>
                <w:b w:val="0"/>
                <w:bCs w:val="0"/>
                <w:snapToGrid w:val="0"/>
                <w:color w:val="auto"/>
                <w:spacing w:val="10"/>
                <w:sz w:val="24"/>
                <w:highlight w:val="none"/>
                <w:lang w:val="en-US" w:eastAsia="zh-CN"/>
              </w:rPr>
              <w:t>先挡后弃</w:t>
            </w:r>
            <w:r>
              <w:rPr>
                <w:rFonts w:hint="eastAsia" w:ascii="Times New Roman" w:hAnsi="Times New Roman" w:eastAsia="宋体" w:cs="Times New Roman"/>
                <w:b w:val="0"/>
                <w:bCs w:val="0"/>
                <w:snapToGrid w:val="0"/>
                <w:color w:val="auto"/>
                <w:spacing w:val="10"/>
                <w:sz w:val="24"/>
                <w:highlight w:val="none"/>
                <w:lang w:val="en-US" w:eastAsia="zh-CN"/>
              </w:rPr>
              <w:t>”</w:t>
            </w:r>
            <w:r>
              <w:rPr>
                <w:rFonts w:hint="default" w:ascii="Times New Roman" w:hAnsi="Times New Roman" w:eastAsia="宋体" w:cs="Times New Roman"/>
                <w:b w:val="0"/>
                <w:bCs w:val="0"/>
                <w:snapToGrid w:val="0"/>
                <w:color w:val="auto"/>
                <w:spacing w:val="10"/>
                <w:sz w:val="24"/>
                <w:highlight w:val="none"/>
                <w:lang w:val="en-US" w:eastAsia="zh-CN"/>
              </w:rPr>
              <w:t>原则，减小工程弃渣产生的影响</w:t>
            </w:r>
            <w:r>
              <w:rPr>
                <w:rFonts w:hint="eastAsia" w:ascii="Times New Roman" w:hAnsi="Times New Roman" w:eastAsia="宋体" w:cs="Times New Roman"/>
                <w:b w:val="0"/>
                <w:bCs w:val="0"/>
                <w:snapToGrid w:val="0"/>
                <w:color w:val="auto"/>
                <w:spacing w:val="10"/>
                <w:sz w:val="24"/>
                <w:highlight w:val="none"/>
                <w:lang w:val="en-US" w:eastAsia="zh-CN"/>
              </w:rPr>
              <w:t>。</w:t>
            </w:r>
          </w:p>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根据实际施工情况，现阶段施工开挖产生土方全部回填于厂区，无弃方产生，未对周围生态环境造成不利影响。</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default" w:ascii="Times New Roman" w:hAnsi="Times New Roman" w:eastAsia="宋体" w:cs="Times New Roman"/>
                <w:b w:val="0"/>
                <w:bCs w:val="0"/>
                <w:snapToGrid w:val="0"/>
                <w:color w:val="auto"/>
                <w:spacing w:val="10"/>
                <w:sz w:val="24"/>
                <w:highlight w:val="none"/>
                <w:lang w:val="en-US" w:eastAsia="zh-CN"/>
              </w:rPr>
              <w:t>（</w:t>
            </w:r>
            <w:r>
              <w:rPr>
                <w:rFonts w:hint="eastAsia" w:ascii="Times New Roman" w:hAnsi="Times New Roman" w:eastAsia="宋体" w:cs="Times New Roman"/>
                <w:b w:val="0"/>
                <w:bCs w:val="0"/>
                <w:snapToGrid w:val="0"/>
                <w:color w:val="auto"/>
                <w:spacing w:val="10"/>
                <w:sz w:val="24"/>
                <w:highlight w:val="none"/>
                <w:lang w:val="en-US" w:eastAsia="zh-CN"/>
              </w:rPr>
              <w:t>4</w:t>
            </w:r>
            <w:r>
              <w:rPr>
                <w:rFonts w:hint="default" w:ascii="Times New Roman" w:hAnsi="Times New Roman" w:eastAsia="宋体" w:cs="Times New Roman"/>
                <w:b w:val="0"/>
                <w:bCs w:val="0"/>
                <w:snapToGrid w:val="0"/>
                <w:color w:val="auto"/>
                <w:spacing w:val="10"/>
                <w:sz w:val="24"/>
                <w:highlight w:val="none"/>
                <w:lang w:val="en-US" w:eastAsia="zh-CN"/>
              </w:rPr>
              <w:t>）</w:t>
            </w:r>
            <w:r>
              <w:rPr>
                <w:rFonts w:hint="eastAsia" w:ascii="Times New Roman" w:hAnsi="Times New Roman" w:eastAsia="宋体" w:cs="Times New Roman"/>
                <w:b w:val="0"/>
                <w:bCs w:val="0"/>
                <w:snapToGrid w:val="0"/>
                <w:color w:val="auto"/>
                <w:spacing w:val="10"/>
                <w:sz w:val="24"/>
                <w:highlight w:val="none"/>
                <w:lang w:val="en-US" w:eastAsia="zh-CN"/>
              </w:rPr>
              <w:t>废弃设备零件</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项目在光伏组件安装、电气设备安装过程中，会产生少量废弃设备零件，该部分废弃设备零件经收集后，可回收利用。</w:t>
            </w:r>
          </w:p>
          <w:p>
            <w:pPr>
              <w:widowControl w:val="0"/>
              <w:spacing w:beforeLines="0" w:afterLines="0" w:line="360" w:lineRule="auto"/>
              <w:ind w:firstLine="520" w:firstLineChars="200"/>
              <w:jc w:val="both"/>
              <w:rPr>
                <w:rFonts w:hint="default"/>
                <w:color w:val="auto"/>
                <w:lang w:val="en-US"/>
              </w:rPr>
            </w:pPr>
            <w:r>
              <w:rPr>
                <w:rFonts w:hint="eastAsia" w:ascii="Times New Roman" w:hAnsi="Times New Roman" w:eastAsia="宋体" w:cs="Times New Roman"/>
                <w:b w:val="0"/>
                <w:bCs w:val="0"/>
                <w:snapToGrid w:val="0"/>
                <w:color w:val="auto"/>
                <w:spacing w:val="10"/>
                <w:sz w:val="24"/>
                <w:highlight w:val="none"/>
                <w:lang w:val="en-US" w:eastAsia="zh-CN"/>
              </w:rPr>
              <w:t>综上所述，只要严格执行国家环保法律法规以及当地政府的管理规定，科学管理、文明施工，本项目产生的固体废物不会造成污染。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366" w:type="pct"/>
            <w:noWrap w:val="0"/>
            <w:tcMar>
              <w:left w:w="28" w:type="dxa"/>
              <w:right w:w="28" w:type="dxa"/>
            </w:tcMar>
            <w:vAlign w:val="center"/>
          </w:tcPr>
          <w:p>
            <w:pPr>
              <w:keepNext w:val="0"/>
              <w:keepLines w:val="0"/>
              <w:widowControl/>
              <w:suppressLineNumbers w:val="0"/>
              <w:jc w:val="center"/>
              <w:rPr>
                <w:rFonts w:hint="default" w:ascii="Times New Roman" w:hAnsi="Times New Roman" w:eastAsia="宋体" w:cs="Times New Roman"/>
                <w:bCs/>
                <w:color w:val="auto"/>
                <w:spacing w:val="10"/>
                <w:kern w:val="2"/>
                <w:sz w:val="24"/>
                <w:szCs w:val="21"/>
                <w:lang w:val="en-US" w:eastAsia="zh-CN" w:bidi="ar-SA"/>
              </w:rPr>
            </w:pPr>
            <w:r>
              <w:rPr>
                <w:rFonts w:hint="eastAsia" w:ascii="Times New Roman" w:hAnsi="Times New Roman" w:eastAsia="宋体" w:cs="Times New Roman"/>
                <w:bCs/>
                <w:color w:val="auto"/>
                <w:spacing w:val="10"/>
                <w:kern w:val="2"/>
                <w:sz w:val="24"/>
                <w:szCs w:val="21"/>
                <w:lang w:val="en-US" w:eastAsia="zh-CN" w:bidi="ar-SA"/>
              </w:rPr>
              <w:t>运营期生态环</w:t>
            </w:r>
          </w:p>
          <w:p>
            <w:pPr>
              <w:keepNext w:val="0"/>
              <w:keepLines w:val="0"/>
              <w:widowControl/>
              <w:suppressLineNumbers w:val="0"/>
              <w:jc w:val="center"/>
              <w:rPr>
                <w:rFonts w:hint="default" w:ascii="Times New Roman" w:hAnsi="Times New Roman" w:eastAsia="宋体" w:cs="Times New Roman"/>
                <w:bCs/>
                <w:color w:val="auto"/>
                <w:spacing w:val="10"/>
                <w:kern w:val="2"/>
                <w:szCs w:val="21"/>
              </w:rPr>
            </w:pPr>
            <w:r>
              <w:rPr>
                <w:rFonts w:hint="eastAsia" w:ascii="Times New Roman" w:hAnsi="Times New Roman" w:eastAsia="宋体" w:cs="Times New Roman"/>
                <w:bCs/>
                <w:color w:val="auto"/>
                <w:spacing w:val="10"/>
                <w:kern w:val="2"/>
                <w:sz w:val="24"/>
                <w:szCs w:val="21"/>
                <w:lang w:val="en-US" w:eastAsia="zh-CN" w:bidi="ar-SA"/>
              </w:rPr>
              <w:t>境影响分析</w:t>
            </w:r>
          </w:p>
        </w:tc>
        <w:tc>
          <w:tcPr>
            <w:tcW w:w="4633" w:type="pct"/>
            <w:noWrap w:val="0"/>
            <w:vAlign w:val="top"/>
          </w:tcPr>
          <w:p>
            <w:pPr>
              <w:widowControl w:val="0"/>
              <w:spacing w:beforeLines="0" w:afterLines="0" w:line="360" w:lineRule="auto"/>
              <w:ind w:firstLine="482" w:firstLineChars="200"/>
              <w:jc w:val="both"/>
              <w:rPr>
                <w:rFonts w:hint="eastAsia" w:ascii="Times New Roman" w:hAnsi="Times New Roman" w:eastAsia="宋体" w:cs="Times New Roman"/>
                <w:b/>
                <w:color w:val="auto"/>
                <w:kern w:val="2"/>
                <w:sz w:val="24"/>
                <w:szCs w:val="24"/>
                <w:lang w:val="en-US" w:eastAsia="zh-CN" w:bidi="ar-SA"/>
              </w:rPr>
            </w:pPr>
            <w:r>
              <w:rPr>
                <w:rFonts w:hint="eastAsia" w:cs="Times New Roman"/>
                <w:b/>
                <w:color w:val="auto"/>
                <w:kern w:val="2"/>
                <w:sz w:val="24"/>
                <w:szCs w:val="24"/>
                <w:lang w:val="en-US" w:eastAsia="zh-CN" w:bidi="ar-SA"/>
              </w:rPr>
              <w:t>4.2</w:t>
            </w:r>
            <w:r>
              <w:rPr>
                <w:rFonts w:hint="eastAsia" w:ascii="Times New Roman" w:hAnsi="Times New Roman" w:eastAsia="宋体" w:cs="Times New Roman"/>
                <w:b/>
                <w:color w:val="auto"/>
                <w:kern w:val="2"/>
                <w:sz w:val="24"/>
                <w:szCs w:val="24"/>
                <w:lang w:val="en-US" w:eastAsia="zh-CN" w:bidi="ar-SA"/>
              </w:rPr>
              <w:t>营运期工艺流程</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default" w:ascii="Times New Roman" w:hAnsi="Times New Roman" w:eastAsia="宋体" w:cs="Times New Roman"/>
                <w:b w:val="0"/>
                <w:bCs w:val="0"/>
                <w:snapToGrid w:val="0"/>
                <w:color w:val="auto"/>
                <w:spacing w:val="10"/>
                <w:sz w:val="24"/>
                <w:highlight w:val="none"/>
                <w:lang w:val="en-US" w:eastAsia="zh-CN"/>
              </w:rPr>
              <w:t>太阳能光伏电池阵列接受来自太阳的光能，经光电转换产生直流电能；功率调节器由逆变器、并网装置、系统监视保护装置以及充放电控制装置等构成，主要用来将太阳能光伏电池产生的直流电变为交流电等。</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right="0" w:rightChars="0" w:firstLine="0" w:firstLineChars="0"/>
              <w:jc w:val="center"/>
              <w:textAlignment w:val="auto"/>
              <w:rPr>
                <w:rFonts w:hint="default" w:ascii="Times New Roman" w:hAnsi="Times New Roman" w:eastAsia="宋体" w:cs="Times New Roman"/>
                <w:b/>
                <w:bCs/>
                <w:color w:val="auto"/>
                <w:kern w:val="0"/>
                <w:sz w:val="24"/>
                <w:szCs w:val="24"/>
                <w:lang w:val="en-US" w:eastAsia="zh-CN" w:bidi="ar"/>
              </w:rPr>
            </w:pPr>
            <w:r>
              <w:rPr>
                <w:color w:val="auto"/>
              </w:rPr>
              <w:object>
                <v:shape id="_x0000_i1025" o:spt="75" type="#_x0000_t75" style="height:129.95pt;width:399.05pt;" o:ole="t" filled="f" o:preferrelative="t" stroked="f" coordsize="21600,21600">
                  <v:path/>
                  <v:fill on="f" focussize="0,0"/>
                  <v:stroke on="f"/>
                  <v:imagedata r:id="rId20" o:title=""/>
                  <o:lock v:ext="edit" aspectratio="t"/>
                  <w10:wrap type="none"/>
                  <w10:anchorlock/>
                </v:shape>
                <o:OLEObject Type="Embed" ProgID="Visio.Drawing.15" ShapeID="_x0000_i1025" DrawAspect="Content" ObjectID="_1468075725" r:id="rId19">
                  <o:LockedField>false</o:LockedField>
                </o:OLEObject>
              </w:object>
            </w:r>
          </w:p>
          <w:p>
            <w:pPr>
              <w:widowControl w:val="0"/>
              <w:snapToGrid w:val="0"/>
              <w:spacing w:line="360" w:lineRule="auto"/>
              <w:ind w:firstLine="422" w:firstLineChars="200"/>
              <w:jc w:val="center"/>
              <w:rPr>
                <w:rFonts w:hint="default" w:ascii="宋体" w:hAnsi="Courier New" w:eastAsia="宋体" w:cs="Times New Roman"/>
                <w:color w:val="auto"/>
                <w:kern w:val="2"/>
                <w:sz w:val="21"/>
                <w:szCs w:val="21"/>
                <w:lang w:val="en-US" w:eastAsia="zh-CN" w:bidi="ar-SA"/>
              </w:rPr>
            </w:pPr>
            <w:r>
              <w:rPr>
                <w:rFonts w:hint="eastAsia" w:ascii="Times New Roman" w:hAnsi="Times New Roman" w:eastAsia="宋体" w:cs="Times New Roman"/>
                <w:b/>
                <w:bCs/>
                <w:color w:val="auto"/>
                <w:kern w:val="0"/>
                <w:sz w:val="21"/>
                <w:szCs w:val="21"/>
                <w:lang w:val="en-US" w:eastAsia="zh-CN" w:bidi="ar"/>
              </w:rPr>
              <w:t>图4-1 运行期光伏电站运行流程及产污节点图</w:t>
            </w:r>
          </w:p>
          <w:p>
            <w:pPr>
              <w:widowControl w:val="0"/>
              <w:spacing w:beforeLines="0" w:afterLines="0" w:line="360" w:lineRule="auto"/>
              <w:ind w:firstLine="482" w:firstLineChars="200"/>
              <w:jc w:val="both"/>
              <w:rPr>
                <w:rFonts w:hint="default" w:ascii="Times New Roman" w:hAnsi="Times New Roman" w:eastAsia="宋体" w:cs="Times New Roman"/>
                <w:b/>
                <w:color w:val="auto"/>
                <w:kern w:val="2"/>
                <w:sz w:val="24"/>
                <w:szCs w:val="24"/>
                <w:lang w:val="en-US" w:eastAsia="zh-CN" w:bidi="ar-SA"/>
              </w:rPr>
            </w:pPr>
            <w:r>
              <w:rPr>
                <w:rFonts w:hint="eastAsia" w:cs="Times New Roman"/>
                <w:b/>
                <w:color w:val="auto"/>
                <w:kern w:val="2"/>
                <w:sz w:val="24"/>
                <w:szCs w:val="24"/>
                <w:lang w:val="en-US" w:eastAsia="zh-CN" w:bidi="ar-SA"/>
              </w:rPr>
              <w:t>4.3</w:t>
            </w:r>
            <w:r>
              <w:rPr>
                <w:rFonts w:hint="eastAsia" w:ascii="Times New Roman" w:hAnsi="Times New Roman" w:eastAsia="宋体" w:cs="Times New Roman"/>
                <w:b/>
                <w:color w:val="auto"/>
                <w:kern w:val="2"/>
                <w:sz w:val="24"/>
                <w:szCs w:val="24"/>
                <w:lang w:val="en-US" w:eastAsia="zh-CN" w:bidi="ar-SA"/>
              </w:rPr>
              <w:t>运营期环境影响分析</w:t>
            </w:r>
          </w:p>
          <w:p>
            <w:pPr>
              <w:widowControl w:val="0"/>
              <w:spacing w:beforeLines="0" w:afterLines="0" w:line="360" w:lineRule="auto"/>
              <w:ind w:firstLine="482" w:firstLineChars="200"/>
              <w:jc w:val="both"/>
              <w:rPr>
                <w:rFonts w:hint="eastAsia" w:ascii="Times New Roman" w:hAnsi="Times New Roman" w:eastAsia="宋体" w:cs="Times New Roman"/>
                <w:b/>
                <w:color w:val="auto"/>
                <w:kern w:val="2"/>
                <w:sz w:val="24"/>
                <w:szCs w:val="24"/>
                <w:lang w:val="en-US" w:eastAsia="zh-CN" w:bidi="ar-SA"/>
              </w:rPr>
            </w:pPr>
            <w:r>
              <w:rPr>
                <w:rFonts w:hint="eastAsia" w:cs="Times New Roman"/>
                <w:b/>
                <w:color w:val="auto"/>
                <w:kern w:val="2"/>
                <w:sz w:val="24"/>
                <w:szCs w:val="24"/>
                <w:lang w:val="en-US" w:eastAsia="zh-CN" w:bidi="ar-SA"/>
              </w:rPr>
              <w:t>4.3.1</w:t>
            </w:r>
            <w:r>
              <w:rPr>
                <w:rFonts w:hint="eastAsia" w:ascii="Times New Roman" w:hAnsi="Times New Roman" w:eastAsia="宋体" w:cs="Times New Roman"/>
                <w:b/>
                <w:color w:val="auto"/>
                <w:kern w:val="2"/>
                <w:sz w:val="24"/>
                <w:szCs w:val="24"/>
                <w:lang w:val="en-US" w:eastAsia="zh-CN" w:bidi="ar-SA"/>
              </w:rPr>
              <w:t>运营期生态环境影响</w:t>
            </w:r>
          </w:p>
          <w:p>
            <w:pPr>
              <w:widowControl w:val="0"/>
              <w:spacing w:beforeLines="0" w:afterLines="0" w:line="360" w:lineRule="auto"/>
              <w:ind w:firstLine="482" w:firstLineChars="200"/>
              <w:jc w:val="both"/>
              <w:rPr>
                <w:rFonts w:hint="eastAsia"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1</w:t>
            </w:r>
            <w:r>
              <w:rPr>
                <w:rFonts w:hint="eastAsia" w:ascii="Times New Roman" w:hAnsi="Times New Roman" w:cs="Times New Roman"/>
                <w:b/>
                <w:color w:val="auto"/>
                <w:kern w:val="2"/>
                <w:sz w:val="24"/>
                <w:szCs w:val="24"/>
                <w:lang w:val="en-US" w:eastAsia="zh-CN" w:bidi="ar-SA"/>
              </w:rPr>
              <w:t>、</w:t>
            </w:r>
            <w:r>
              <w:rPr>
                <w:rFonts w:hint="eastAsia" w:ascii="Times New Roman" w:hAnsi="Times New Roman" w:eastAsia="宋体" w:cs="Times New Roman"/>
                <w:b/>
                <w:color w:val="auto"/>
                <w:kern w:val="2"/>
                <w:sz w:val="24"/>
                <w:szCs w:val="24"/>
                <w:lang w:val="en-US" w:eastAsia="zh-CN" w:bidi="ar-SA"/>
              </w:rPr>
              <w:t>植物植被影响分析</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项目</w:t>
            </w:r>
            <w:r>
              <w:rPr>
                <w:rFonts w:hint="default" w:ascii="Times New Roman" w:hAnsi="Times New Roman" w:eastAsia="宋体" w:cs="Times New Roman"/>
                <w:b w:val="0"/>
                <w:bCs w:val="0"/>
                <w:snapToGrid w:val="0"/>
                <w:color w:val="auto"/>
                <w:spacing w:val="10"/>
                <w:sz w:val="24"/>
                <w:highlight w:val="none"/>
                <w:lang w:val="en-US" w:eastAsia="zh-CN"/>
              </w:rPr>
              <w:t>运</w:t>
            </w:r>
            <w:r>
              <w:rPr>
                <w:rFonts w:hint="eastAsia" w:ascii="Times New Roman" w:hAnsi="Times New Roman" w:eastAsia="宋体" w:cs="Times New Roman"/>
                <w:b w:val="0"/>
                <w:bCs w:val="0"/>
                <w:snapToGrid w:val="0"/>
                <w:color w:val="auto"/>
                <w:spacing w:val="10"/>
                <w:sz w:val="24"/>
                <w:highlight w:val="none"/>
                <w:lang w:val="en-US" w:eastAsia="zh-CN"/>
              </w:rPr>
              <w:t>营</w:t>
            </w:r>
            <w:r>
              <w:rPr>
                <w:rFonts w:hint="default" w:ascii="Times New Roman" w:hAnsi="Times New Roman" w:eastAsia="宋体" w:cs="Times New Roman"/>
                <w:b w:val="0"/>
                <w:bCs w:val="0"/>
                <w:snapToGrid w:val="0"/>
                <w:color w:val="auto"/>
                <w:spacing w:val="10"/>
                <w:sz w:val="24"/>
                <w:highlight w:val="none"/>
                <w:lang w:val="en-US" w:eastAsia="zh-CN"/>
              </w:rPr>
              <w:t>期对植被的影响主要体现在</w:t>
            </w:r>
            <w:r>
              <w:rPr>
                <w:rFonts w:hint="eastAsia" w:ascii="Times New Roman" w:hAnsi="Times New Roman" w:eastAsia="宋体" w:cs="Times New Roman"/>
                <w:b w:val="0"/>
                <w:bCs w:val="0"/>
                <w:snapToGrid w:val="0"/>
                <w:color w:val="auto"/>
                <w:spacing w:val="10"/>
                <w:sz w:val="24"/>
                <w:highlight w:val="none"/>
                <w:lang w:val="en-US" w:eastAsia="zh-CN"/>
              </w:rPr>
              <w:t>光伏</w:t>
            </w:r>
            <w:r>
              <w:rPr>
                <w:rFonts w:hint="default" w:ascii="Times New Roman" w:hAnsi="Times New Roman" w:eastAsia="宋体" w:cs="Times New Roman"/>
                <w:b w:val="0"/>
                <w:bCs w:val="0"/>
                <w:snapToGrid w:val="0"/>
                <w:color w:val="auto"/>
                <w:spacing w:val="10"/>
                <w:sz w:val="24"/>
                <w:highlight w:val="none"/>
                <w:lang w:val="en-US" w:eastAsia="zh-CN"/>
              </w:rPr>
              <w:t>面板架设后在地面产生阴影，阴影影响区域内的植被受到的日照减少，将对植物的生长产生一定程度的影响。</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default" w:ascii="Times New Roman" w:hAnsi="Times New Roman" w:eastAsia="宋体" w:cs="Times New Roman"/>
                <w:b w:val="0"/>
                <w:bCs w:val="0"/>
                <w:snapToGrid w:val="0"/>
                <w:color w:val="auto"/>
                <w:spacing w:val="10"/>
                <w:sz w:val="24"/>
                <w:highlight w:val="none"/>
                <w:lang w:val="en-US" w:eastAsia="zh-CN"/>
              </w:rPr>
              <w:t>本项目</w:t>
            </w:r>
            <w:r>
              <w:rPr>
                <w:rFonts w:hint="eastAsia" w:ascii="Times New Roman" w:hAnsi="Times New Roman" w:eastAsia="宋体" w:cs="Times New Roman"/>
                <w:b w:val="0"/>
                <w:bCs w:val="0"/>
                <w:snapToGrid w:val="0"/>
                <w:color w:val="auto"/>
                <w:spacing w:val="10"/>
                <w:sz w:val="24"/>
                <w:highlight w:val="none"/>
                <w:lang w:val="en-US" w:eastAsia="zh-CN"/>
              </w:rPr>
              <w:t>光伏组件按最低沿高于地面2.5m、桩基间列间距大于4m、行间距大于6.5m的架设要求执行，</w:t>
            </w:r>
            <w:r>
              <w:rPr>
                <w:rFonts w:hint="default" w:ascii="Times New Roman" w:hAnsi="Times New Roman" w:eastAsia="宋体" w:cs="Times New Roman"/>
                <w:b w:val="0"/>
                <w:bCs w:val="0"/>
                <w:snapToGrid w:val="0"/>
                <w:color w:val="auto"/>
                <w:spacing w:val="10"/>
                <w:sz w:val="24"/>
                <w:highlight w:val="none"/>
                <w:lang w:val="en-US" w:eastAsia="zh-CN"/>
              </w:rPr>
              <w:t>支架结构较高，基本满足植物的生长需要。对于喜阳植物而言，该光照度可能不足以满足植物个体的健康生长需要、造成其无法繁殖甚至死亡</w:t>
            </w:r>
            <w:r>
              <w:rPr>
                <w:rFonts w:hint="eastAsia" w:ascii="Times New Roman" w:hAnsi="Times New Roman" w:eastAsia="宋体" w:cs="Times New Roman"/>
                <w:b w:val="0"/>
                <w:bCs w:val="0"/>
                <w:snapToGrid w:val="0"/>
                <w:color w:val="auto"/>
                <w:spacing w:val="10"/>
                <w:sz w:val="24"/>
                <w:highlight w:val="none"/>
                <w:lang w:val="en-US" w:eastAsia="zh-CN"/>
              </w:rPr>
              <w:t>；</w:t>
            </w:r>
            <w:r>
              <w:rPr>
                <w:rFonts w:hint="default" w:ascii="Times New Roman" w:hAnsi="Times New Roman" w:eastAsia="宋体" w:cs="Times New Roman"/>
                <w:b w:val="0"/>
                <w:bCs w:val="0"/>
                <w:snapToGrid w:val="0"/>
                <w:color w:val="auto"/>
                <w:spacing w:val="10"/>
                <w:sz w:val="24"/>
                <w:highlight w:val="none"/>
                <w:lang w:val="en-US" w:eastAsia="zh-CN"/>
              </w:rPr>
              <w:t>但对于耐阴植物来说，其影响不是很大，甚至适宜于喜阴作物的生长</w:t>
            </w:r>
            <w:r>
              <w:rPr>
                <w:rFonts w:hint="eastAsia" w:ascii="Times New Roman" w:hAnsi="Times New Roman" w:eastAsia="宋体" w:cs="Times New Roman"/>
                <w:b w:val="0"/>
                <w:bCs w:val="0"/>
                <w:snapToGrid w:val="0"/>
                <w:color w:val="auto"/>
                <w:spacing w:val="10"/>
                <w:sz w:val="24"/>
                <w:highlight w:val="none"/>
                <w:lang w:val="en-US" w:eastAsia="zh-CN"/>
              </w:rPr>
              <w:t>。</w:t>
            </w:r>
          </w:p>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default" w:ascii="Times New Roman" w:hAnsi="Times New Roman" w:eastAsia="宋体" w:cs="Times New Roman"/>
                <w:b w:val="0"/>
                <w:bCs w:val="0"/>
                <w:snapToGrid w:val="0"/>
                <w:color w:val="auto"/>
                <w:spacing w:val="10"/>
                <w:sz w:val="24"/>
                <w:highlight w:val="none"/>
                <w:lang w:val="en-US" w:eastAsia="zh-CN"/>
              </w:rPr>
              <w:t>项目光伏场区现状主要植被类型为干热</w:t>
            </w:r>
            <w:r>
              <w:rPr>
                <w:rFonts w:hint="eastAsia" w:ascii="Times New Roman" w:hAnsi="Times New Roman" w:eastAsia="宋体" w:cs="Times New Roman"/>
                <w:b w:val="0"/>
                <w:bCs w:val="0"/>
                <w:snapToGrid w:val="0"/>
                <w:color w:val="auto"/>
                <w:spacing w:val="10"/>
                <w:sz w:val="24"/>
                <w:highlight w:val="none"/>
                <w:lang w:val="en-US" w:eastAsia="zh-CN"/>
              </w:rPr>
              <w:t>稀树</w:t>
            </w:r>
            <w:r>
              <w:rPr>
                <w:rFonts w:hint="default" w:ascii="Times New Roman" w:hAnsi="Times New Roman" w:eastAsia="宋体" w:cs="Times New Roman"/>
                <w:b w:val="0"/>
                <w:bCs w:val="0"/>
                <w:snapToGrid w:val="0"/>
                <w:color w:val="auto"/>
                <w:spacing w:val="10"/>
                <w:sz w:val="24"/>
                <w:highlight w:val="none"/>
                <w:lang w:val="en-US" w:eastAsia="zh-CN"/>
              </w:rPr>
              <w:t>灌草丛，是</w:t>
            </w:r>
            <w:r>
              <w:rPr>
                <w:rFonts w:hint="eastAsia" w:ascii="Times New Roman" w:hAnsi="Times New Roman" w:eastAsia="宋体" w:cs="Times New Roman"/>
                <w:b w:val="0"/>
                <w:bCs w:val="0"/>
                <w:snapToGrid w:val="0"/>
                <w:color w:val="auto"/>
                <w:spacing w:val="10"/>
                <w:sz w:val="24"/>
                <w:highlight w:val="none"/>
                <w:lang w:val="en-US" w:eastAsia="zh-CN"/>
              </w:rPr>
              <w:t>受强烈的人为活动干扰后形成的次生植被类型，</w:t>
            </w:r>
            <w:r>
              <w:rPr>
                <w:rFonts w:hint="default" w:ascii="Times New Roman" w:hAnsi="Times New Roman" w:eastAsia="宋体" w:cs="Times New Roman"/>
                <w:b w:val="0"/>
                <w:bCs w:val="0"/>
                <w:snapToGrid w:val="0"/>
                <w:color w:val="auto"/>
                <w:spacing w:val="10"/>
                <w:sz w:val="24"/>
                <w:highlight w:val="none"/>
                <w:lang w:val="en-US" w:eastAsia="zh-CN"/>
              </w:rPr>
              <w:t>生态价值和经济价值均较低，且在地区广泛分布。项目建设后将实施农林光互补</w:t>
            </w:r>
            <w:r>
              <w:rPr>
                <w:rFonts w:hint="eastAsia" w:ascii="Times New Roman" w:hAnsi="Times New Roman" w:eastAsia="宋体" w:cs="Times New Roman"/>
                <w:b w:val="0"/>
                <w:bCs w:val="0"/>
                <w:snapToGrid w:val="0"/>
                <w:color w:val="auto"/>
                <w:spacing w:val="10"/>
                <w:sz w:val="24"/>
                <w:highlight w:val="none"/>
                <w:lang w:val="en-US" w:eastAsia="zh-CN"/>
              </w:rPr>
              <w:t>及生态修复</w:t>
            </w:r>
            <w:r>
              <w:rPr>
                <w:rFonts w:hint="default" w:ascii="Times New Roman" w:hAnsi="Times New Roman" w:eastAsia="宋体" w:cs="Times New Roman"/>
                <w:b w:val="0"/>
                <w:bCs w:val="0"/>
                <w:snapToGrid w:val="0"/>
                <w:color w:val="auto"/>
                <w:spacing w:val="10"/>
                <w:sz w:val="24"/>
                <w:highlight w:val="none"/>
                <w:lang w:val="en-US" w:eastAsia="zh-CN"/>
              </w:rPr>
              <w:t>工程，选取适宜的农作物及水保林</w:t>
            </w:r>
            <w:r>
              <w:rPr>
                <w:rFonts w:hint="eastAsia" w:ascii="Times New Roman" w:hAnsi="Times New Roman" w:eastAsia="宋体" w:cs="Times New Roman"/>
                <w:b w:val="0"/>
                <w:bCs w:val="0"/>
                <w:snapToGrid w:val="0"/>
                <w:color w:val="auto"/>
                <w:spacing w:val="10"/>
                <w:sz w:val="24"/>
                <w:highlight w:val="none"/>
                <w:lang w:val="en-US" w:eastAsia="zh-CN"/>
              </w:rPr>
              <w:t>进行</w:t>
            </w:r>
            <w:r>
              <w:rPr>
                <w:rFonts w:hint="default" w:ascii="Times New Roman" w:hAnsi="Times New Roman" w:eastAsia="宋体" w:cs="Times New Roman"/>
                <w:b w:val="0"/>
                <w:bCs w:val="0"/>
                <w:snapToGrid w:val="0"/>
                <w:color w:val="auto"/>
                <w:spacing w:val="10"/>
                <w:sz w:val="24"/>
                <w:highlight w:val="none"/>
                <w:lang w:val="en-US" w:eastAsia="zh-CN"/>
              </w:rPr>
              <w:t>播种，重新种植的植物将选取喜阴作物，可充分适应板下环境特征，辅以人工养护后，可健康生长。</w:t>
            </w:r>
            <w:r>
              <w:rPr>
                <w:rFonts w:hint="eastAsia" w:ascii="Times New Roman" w:hAnsi="Times New Roman" w:eastAsia="宋体" w:cs="Times New Roman"/>
                <w:b w:val="0"/>
                <w:bCs w:val="0"/>
                <w:snapToGrid w:val="0"/>
                <w:color w:val="auto"/>
                <w:spacing w:val="10"/>
                <w:sz w:val="24"/>
                <w:highlight w:val="none"/>
                <w:lang w:val="en-US" w:eastAsia="zh-CN"/>
              </w:rPr>
              <w:t>通过农林光互补及生态修复工程，</w:t>
            </w:r>
            <w:r>
              <w:rPr>
                <w:rFonts w:hint="default" w:ascii="Times New Roman" w:hAnsi="Times New Roman" w:eastAsia="宋体" w:cs="Times New Roman"/>
                <w:b w:val="0"/>
                <w:bCs w:val="0"/>
                <w:snapToGrid w:val="0"/>
                <w:color w:val="auto"/>
                <w:spacing w:val="10"/>
                <w:sz w:val="24"/>
                <w:highlight w:val="none"/>
                <w:lang w:val="en-US" w:eastAsia="zh-CN"/>
              </w:rPr>
              <w:t>在</w:t>
            </w:r>
            <w:r>
              <w:rPr>
                <w:rFonts w:hint="eastAsia" w:ascii="Times New Roman" w:hAnsi="Times New Roman" w:eastAsia="宋体" w:cs="Times New Roman"/>
                <w:b w:val="0"/>
                <w:bCs w:val="0"/>
                <w:snapToGrid w:val="0"/>
                <w:color w:val="auto"/>
                <w:spacing w:val="10"/>
                <w:sz w:val="24"/>
                <w:highlight w:val="none"/>
                <w:lang w:val="en-US" w:eastAsia="zh-CN"/>
              </w:rPr>
              <w:t>一定程度上，项目实施后地区的植被覆盖度及生物多样性要优于现状。</w:t>
            </w:r>
          </w:p>
          <w:p>
            <w:pPr>
              <w:widowControl w:val="0"/>
              <w:spacing w:line="360" w:lineRule="auto"/>
              <w:ind w:firstLine="482" w:firstLineChars="200"/>
              <w:jc w:val="both"/>
              <w:rPr>
                <w:rFonts w:hint="default" w:ascii="Times New Roman" w:hAnsi="Times New Roman" w:eastAsia="宋体" w:cs="Times New Roman"/>
                <w:b/>
                <w:bCs/>
                <w:color w:val="auto"/>
                <w:kern w:val="28"/>
                <w:sz w:val="24"/>
                <w:szCs w:val="24"/>
                <w:lang w:val="en-US" w:eastAsia="zh-CN" w:bidi="ar-SA"/>
              </w:rPr>
            </w:pPr>
            <w:r>
              <w:rPr>
                <w:rFonts w:hint="eastAsia" w:ascii="Times New Roman" w:hAnsi="Times New Roman" w:eastAsia="宋体" w:cs="Times New Roman"/>
                <w:b/>
                <w:bCs/>
                <w:color w:val="auto"/>
                <w:kern w:val="28"/>
                <w:sz w:val="24"/>
                <w:szCs w:val="24"/>
                <w:lang w:val="en-US" w:eastAsia="zh-CN" w:bidi="ar-SA"/>
              </w:rPr>
              <w:t>2、</w:t>
            </w:r>
            <w:r>
              <w:rPr>
                <w:rFonts w:hint="default" w:ascii="Times New Roman" w:hAnsi="Times New Roman" w:eastAsia="宋体" w:cs="Times New Roman"/>
                <w:b/>
                <w:bCs/>
                <w:color w:val="auto"/>
                <w:kern w:val="28"/>
                <w:sz w:val="24"/>
                <w:szCs w:val="24"/>
                <w:lang w:val="en-US" w:eastAsia="zh-CN" w:bidi="ar-SA"/>
              </w:rPr>
              <w:t>对当地动物的影响</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default" w:ascii="Times New Roman" w:hAnsi="Times New Roman" w:eastAsia="宋体" w:cs="Times New Roman"/>
                <w:b w:val="0"/>
                <w:bCs w:val="0"/>
                <w:snapToGrid w:val="0"/>
                <w:color w:val="auto"/>
                <w:spacing w:val="10"/>
                <w:sz w:val="24"/>
                <w:highlight w:val="none"/>
                <w:lang w:val="en-US" w:eastAsia="zh-CN"/>
              </w:rPr>
              <w:t>项目运营期间，现场维护和检修等工作均在昼间进行，避免影响周边动物夜间正常活动。电站运行噪声可能会使对声环境敏感的动物迁移至远离光伏电站处，但光伏电站运行噪声影响范围主要为站界外几十米范围内的区域，影响范围较小。因此，项目运营不会对项目所在区域内野生动物的日常迁徙和活动造成明显影响。</w:t>
            </w:r>
          </w:p>
          <w:p>
            <w:pPr>
              <w:widowControl w:val="0"/>
              <w:spacing w:line="360" w:lineRule="auto"/>
              <w:ind w:firstLine="482" w:firstLineChars="200"/>
              <w:jc w:val="both"/>
              <w:rPr>
                <w:rFonts w:hint="default" w:ascii="Times New Roman" w:hAnsi="Times New Roman" w:eastAsia="宋体" w:cs="Times New Roman"/>
                <w:b/>
                <w:bCs/>
                <w:color w:val="auto"/>
                <w:kern w:val="28"/>
                <w:sz w:val="24"/>
                <w:szCs w:val="24"/>
                <w:lang w:val="en-US" w:eastAsia="zh-CN" w:bidi="ar-SA"/>
              </w:rPr>
            </w:pPr>
            <w:r>
              <w:rPr>
                <w:rFonts w:hint="eastAsia" w:ascii="Times New Roman" w:hAnsi="Times New Roman" w:eastAsia="宋体" w:cs="Times New Roman"/>
                <w:b/>
                <w:bCs/>
                <w:color w:val="auto"/>
                <w:kern w:val="28"/>
                <w:sz w:val="24"/>
                <w:szCs w:val="24"/>
                <w:lang w:val="en-US" w:eastAsia="zh-CN" w:bidi="ar-SA"/>
              </w:rPr>
              <w:t>3</w:t>
            </w:r>
            <w:r>
              <w:rPr>
                <w:rFonts w:hint="eastAsia" w:cs="Times New Roman"/>
                <w:b/>
                <w:bCs/>
                <w:color w:val="auto"/>
                <w:kern w:val="28"/>
                <w:sz w:val="24"/>
                <w:szCs w:val="24"/>
                <w:lang w:val="en-US" w:eastAsia="zh-CN" w:bidi="ar-SA"/>
              </w:rPr>
              <w:t>、</w:t>
            </w:r>
            <w:r>
              <w:rPr>
                <w:rFonts w:hint="eastAsia" w:ascii="Times New Roman" w:hAnsi="Times New Roman" w:eastAsia="宋体" w:cs="Times New Roman"/>
                <w:b/>
                <w:bCs/>
                <w:color w:val="auto"/>
                <w:kern w:val="28"/>
                <w:sz w:val="24"/>
                <w:szCs w:val="24"/>
                <w:lang w:val="en-US" w:eastAsia="zh-CN" w:bidi="ar-SA"/>
              </w:rPr>
              <w:t>对水土流失的</w:t>
            </w:r>
            <w:r>
              <w:rPr>
                <w:rFonts w:hint="default" w:ascii="Times New Roman" w:hAnsi="Times New Roman" w:eastAsia="宋体" w:cs="Times New Roman"/>
                <w:b/>
                <w:bCs/>
                <w:color w:val="auto"/>
                <w:kern w:val="28"/>
                <w:sz w:val="24"/>
                <w:szCs w:val="24"/>
                <w:lang w:val="en-US" w:eastAsia="zh-CN" w:bidi="ar-SA"/>
              </w:rPr>
              <w:t>影响分析</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项目光伏场区属向阳、迎风坡面，蒸发量较大，又由于水源较缺乏，现状植被生长情况较差，主要为干热草丛及少量低矮灌丛，水土保持能力一般，存在植被退化向荒漠化发展的趋势。</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本项目建成后，在光伏板的拦挡作用下，可减少大风对土地的直接吹拂，减轻风化作用；同时光伏板遮挡一部分阳光，避免阳光对土地的直接暴晒，可降低土壤温度，减少水分蒸发损失，避免土壤干裂。此外项目建成后，将选取适宜的农作物及水保林进行种植，通过人工养护，促进植被生长，可达到较好的水土保持效果。因此，项目建设后将有利于地区水土保持、起到一定的生态修复作用。</w:t>
            </w:r>
          </w:p>
          <w:p>
            <w:pPr>
              <w:widowControl w:val="0"/>
              <w:spacing w:line="360" w:lineRule="auto"/>
              <w:ind w:firstLine="482" w:firstLineChars="200"/>
              <w:jc w:val="both"/>
              <w:rPr>
                <w:rFonts w:hint="default" w:ascii="Times New Roman" w:hAnsi="Times New Roman" w:eastAsia="宋体" w:cs="Times New Roman"/>
                <w:b/>
                <w:bCs/>
                <w:color w:val="auto"/>
                <w:kern w:val="28"/>
                <w:sz w:val="24"/>
                <w:szCs w:val="24"/>
                <w:lang w:val="en-US" w:eastAsia="zh-CN" w:bidi="ar-SA"/>
              </w:rPr>
            </w:pPr>
            <w:r>
              <w:rPr>
                <w:rFonts w:hint="eastAsia" w:ascii="Times New Roman" w:hAnsi="Times New Roman" w:eastAsia="宋体" w:cs="Times New Roman"/>
                <w:b/>
                <w:bCs/>
                <w:color w:val="auto"/>
                <w:kern w:val="28"/>
                <w:sz w:val="24"/>
                <w:szCs w:val="24"/>
                <w:lang w:val="en-US" w:eastAsia="zh-CN" w:bidi="ar-SA"/>
              </w:rPr>
              <w:t>4、景观的影响分析</w:t>
            </w:r>
          </w:p>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项目区域无特殊景点，原有景观类型以农业景观和疏林草地景观为主。项目实施后，安装大量的太阳能电池组件，由于占地面积较大，且颜色、样式单一，将使地区原有景观类型发生改变。</w:t>
            </w:r>
          </w:p>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电站在设计光伏组件的布局时，在满足设计要求的同时，将尽量依山势布置，加上太阳能光伏板朝向天空，安装倾角不会面向地面，在视觉上不面向人眼，光伏板不会反光，以减少对景观在形态上的影响。</w:t>
            </w:r>
          </w:p>
          <w:p>
            <w:pPr>
              <w:widowControl w:val="0"/>
              <w:spacing w:line="360" w:lineRule="auto"/>
              <w:ind w:firstLine="482" w:firstLineChars="200"/>
              <w:jc w:val="both"/>
              <w:rPr>
                <w:rFonts w:hint="eastAsia" w:ascii="Times New Roman" w:hAnsi="Times New Roman" w:eastAsia="宋体" w:cs="Times New Roman"/>
                <w:b/>
                <w:bCs/>
                <w:color w:val="auto"/>
                <w:kern w:val="28"/>
                <w:sz w:val="24"/>
                <w:szCs w:val="24"/>
                <w:lang w:val="en-US" w:eastAsia="zh-CN" w:bidi="ar-SA"/>
              </w:rPr>
            </w:pPr>
            <w:r>
              <w:rPr>
                <w:rFonts w:hint="eastAsia" w:ascii="Times New Roman" w:hAnsi="Times New Roman" w:eastAsia="宋体" w:cs="Times New Roman"/>
                <w:b/>
                <w:bCs/>
                <w:color w:val="auto"/>
                <w:kern w:val="28"/>
                <w:sz w:val="24"/>
                <w:szCs w:val="24"/>
                <w:lang w:val="en-US" w:eastAsia="zh-CN" w:bidi="ar-SA"/>
              </w:rPr>
              <w:t>5、光污染的影响分析</w:t>
            </w:r>
          </w:p>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太阳电池组件由钢化玻璃、EVA膜、太阳电池片和背膜等组成。其中主要会产生反光的是表面的钢化玻璃，此外太阳电池片也具有一定的反光特性。</w:t>
            </w:r>
          </w:p>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基于光能利用的需要，太阳能电池组件产品在设计时要求最大程度地减少对太阳光的反射，增加光的吸收，以提高光能利用效率。因此，一般太阳能光伏组件的表面玻璃均采用透光率极高的超白绒面的钢化玻璃：超白是指这种玻璃中的Fe2O3（着色氧化物）含量比普通玻璃低，从玻璃边缘看，这种玻璃要比普通玻璃更白一些，其对可见光的透光率高，一般常用面板玻璃厚度3.2mm和4mm透光率在91%以上，光反射作用很小。绒面是这种玻璃为了减少阳光的反射，在其表面通过物理和化学方法进行减反射处理，使玻璃表面呈绒状，从而增加光线的入射量，进一步减少反射量，且使得反射光呈漫反射状，避免眩光影响。</w:t>
            </w:r>
          </w:p>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单晶硅太阳电池片为深色吸光材料，光谱响应波长范围为320~1l00nm，只对大于1200nm的红外光有较高的反射率，对可见光和近红外光（波长400~1050nn）则以吸收为主，光反射的影响很小。</w:t>
            </w:r>
          </w:p>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根据上述分析，光伏阵列的反射光极少，且对阳光的反射以散射为主，无眩光，故不会对周边公路交通出行、上方航线飞机飞行造成安全隐患；对周边居民也基本不产生光污染影响。</w:t>
            </w:r>
          </w:p>
          <w:p>
            <w:pPr>
              <w:widowControl w:val="0"/>
              <w:spacing w:beforeLines="0" w:afterLines="0" w:line="360" w:lineRule="auto"/>
              <w:ind w:firstLine="482" w:firstLineChars="200"/>
              <w:jc w:val="both"/>
              <w:rPr>
                <w:rFonts w:hint="eastAsia" w:ascii="Times New Roman" w:hAnsi="Times New Roman" w:eastAsia="宋体" w:cs="Times New Roman"/>
                <w:b/>
                <w:color w:val="auto"/>
                <w:kern w:val="2"/>
                <w:sz w:val="24"/>
                <w:szCs w:val="24"/>
                <w:lang w:val="en-US" w:eastAsia="zh-CN" w:bidi="ar-SA"/>
              </w:rPr>
            </w:pPr>
            <w:r>
              <w:rPr>
                <w:rFonts w:hint="eastAsia" w:cs="Times New Roman"/>
                <w:b/>
                <w:color w:val="auto"/>
                <w:kern w:val="2"/>
                <w:sz w:val="24"/>
                <w:szCs w:val="24"/>
                <w:lang w:val="en-US" w:eastAsia="zh-CN" w:bidi="ar-SA"/>
              </w:rPr>
              <w:t>4.3.2</w:t>
            </w:r>
            <w:r>
              <w:rPr>
                <w:rFonts w:hint="eastAsia" w:ascii="Times New Roman" w:hAnsi="Times New Roman" w:eastAsia="宋体" w:cs="Times New Roman"/>
                <w:b/>
                <w:color w:val="auto"/>
                <w:kern w:val="2"/>
                <w:sz w:val="24"/>
                <w:szCs w:val="24"/>
                <w:lang w:val="en-US" w:eastAsia="zh-CN" w:bidi="ar-SA"/>
              </w:rPr>
              <w:t>运营期污染环境影响分析</w:t>
            </w:r>
          </w:p>
          <w:p>
            <w:pPr>
              <w:widowControl w:val="0"/>
              <w:spacing w:beforeLines="0" w:afterLines="0" w:line="360" w:lineRule="auto"/>
              <w:ind w:firstLine="482" w:firstLineChars="200"/>
              <w:jc w:val="both"/>
              <w:rPr>
                <w:rFonts w:hint="eastAsia"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1、运营期大气环境影响</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项目电站光伏场区运行期无大气环境影响产生。仅升压站内员工生活在综合楼内设置一个食堂，采用电能供能，运行过程中产生少量油烟废气；此外升压站进出车辆产生一定尾气排放、生活污水处理设施产生一定恶臭影响。</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（1）食堂油烟</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default" w:ascii="Times New Roman" w:hAnsi="Times New Roman" w:eastAsia="宋体" w:cs="Times New Roman"/>
                <w:b w:val="0"/>
                <w:bCs w:val="0"/>
                <w:snapToGrid w:val="0"/>
                <w:color w:val="auto"/>
                <w:spacing w:val="10"/>
                <w:sz w:val="24"/>
                <w:highlight w:val="none"/>
                <w:lang w:val="en-US" w:eastAsia="zh-CN"/>
              </w:rPr>
              <w:t>项目拟设置1个</w:t>
            </w:r>
            <w:r>
              <w:rPr>
                <w:rFonts w:hint="eastAsia" w:ascii="Times New Roman" w:hAnsi="Times New Roman" w:eastAsia="宋体" w:cs="Times New Roman"/>
                <w:b w:val="0"/>
                <w:bCs w:val="0"/>
                <w:snapToGrid w:val="0"/>
                <w:color w:val="auto"/>
                <w:spacing w:val="10"/>
                <w:sz w:val="24"/>
                <w:highlight w:val="none"/>
                <w:lang w:val="en-US" w:eastAsia="zh-CN"/>
              </w:rPr>
              <w:t>11</w:t>
            </w:r>
            <w:r>
              <w:rPr>
                <w:rFonts w:hint="default" w:ascii="Times New Roman" w:hAnsi="Times New Roman" w:eastAsia="宋体" w:cs="Times New Roman"/>
                <w:b w:val="0"/>
                <w:bCs w:val="0"/>
                <w:snapToGrid w:val="0"/>
                <w:color w:val="auto"/>
                <w:spacing w:val="10"/>
                <w:sz w:val="24"/>
                <w:highlight w:val="none"/>
                <w:lang w:val="en-US" w:eastAsia="zh-CN"/>
              </w:rPr>
              <w:t>0kV升压站，升压站运行期定员为</w:t>
            </w:r>
            <w:r>
              <w:rPr>
                <w:rFonts w:hint="eastAsia" w:ascii="Times New Roman" w:hAnsi="Times New Roman" w:eastAsia="宋体" w:cs="Times New Roman"/>
                <w:b w:val="0"/>
                <w:bCs w:val="0"/>
                <w:snapToGrid w:val="0"/>
                <w:color w:val="auto"/>
                <w:spacing w:val="10"/>
                <w:sz w:val="24"/>
                <w:highlight w:val="none"/>
                <w:lang w:val="en-US" w:eastAsia="zh-CN"/>
              </w:rPr>
              <w:t>2</w:t>
            </w:r>
            <w:r>
              <w:rPr>
                <w:rFonts w:hint="default" w:ascii="Times New Roman" w:hAnsi="Times New Roman" w:eastAsia="宋体" w:cs="Times New Roman"/>
                <w:b w:val="0"/>
                <w:bCs w:val="0"/>
                <w:snapToGrid w:val="0"/>
                <w:color w:val="auto"/>
                <w:spacing w:val="10"/>
                <w:sz w:val="24"/>
                <w:highlight w:val="none"/>
                <w:lang w:val="en-US" w:eastAsia="zh-CN"/>
              </w:rPr>
              <w:t>0人。项目运营期产生的废气主要为升压站生活区的食堂油烟废气。</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default" w:ascii="Times New Roman" w:hAnsi="Times New Roman" w:eastAsia="宋体" w:cs="Times New Roman"/>
                <w:b w:val="0"/>
                <w:bCs w:val="0"/>
                <w:snapToGrid w:val="0"/>
                <w:color w:val="auto"/>
                <w:spacing w:val="10"/>
                <w:sz w:val="24"/>
                <w:highlight w:val="none"/>
                <w:lang w:val="en-US" w:eastAsia="zh-CN"/>
              </w:rPr>
              <w:t>升压站每人</w:t>
            </w:r>
            <w:r>
              <w:rPr>
                <w:rFonts w:hint="eastAsia" w:ascii="Times New Roman" w:hAnsi="Times New Roman" w:eastAsia="宋体" w:cs="Times New Roman"/>
                <w:b w:val="0"/>
                <w:bCs w:val="0"/>
                <w:snapToGrid w:val="0"/>
                <w:color w:val="auto"/>
                <w:spacing w:val="10"/>
                <w:sz w:val="24"/>
                <w:highlight w:val="none"/>
                <w:lang w:val="en-US" w:eastAsia="zh-CN"/>
              </w:rPr>
              <w:t>每天</w:t>
            </w:r>
            <w:r>
              <w:rPr>
                <w:rFonts w:hint="default" w:ascii="Times New Roman" w:hAnsi="Times New Roman" w:eastAsia="宋体" w:cs="Times New Roman"/>
                <w:b w:val="0"/>
                <w:bCs w:val="0"/>
                <w:snapToGrid w:val="0"/>
                <w:color w:val="auto"/>
                <w:spacing w:val="10"/>
                <w:sz w:val="24"/>
                <w:highlight w:val="none"/>
                <w:lang w:val="en-US" w:eastAsia="zh-CN"/>
              </w:rPr>
              <w:t>食用食物中油量约为0.0</w:t>
            </w:r>
            <w:r>
              <w:rPr>
                <w:rFonts w:hint="eastAsia" w:ascii="Times New Roman" w:hAnsi="Times New Roman" w:eastAsia="宋体" w:cs="Times New Roman"/>
                <w:b w:val="0"/>
                <w:bCs w:val="0"/>
                <w:snapToGrid w:val="0"/>
                <w:color w:val="auto"/>
                <w:spacing w:val="10"/>
                <w:sz w:val="24"/>
                <w:highlight w:val="none"/>
                <w:lang w:val="en-US" w:eastAsia="zh-CN"/>
              </w:rPr>
              <w:t>3</w:t>
            </w:r>
            <w:r>
              <w:rPr>
                <w:rFonts w:hint="default" w:ascii="Times New Roman" w:hAnsi="Times New Roman" w:eastAsia="宋体" w:cs="Times New Roman"/>
                <w:b w:val="0"/>
                <w:bCs w:val="0"/>
                <w:snapToGrid w:val="0"/>
                <w:color w:val="auto"/>
                <w:spacing w:val="10"/>
                <w:sz w:val="24"/>
                <w:highlight w:val="none"/>
                <w:lang w:val="en-US" w:eastAsia="zh-CN"/>
              </w:rPr>
              <w:t>kg，就餐人数约为</w:t>
            </w:r>
            <w:r>
              <w:rPr>
                <w:rFonts w:hint="eastAsia" w:ascii="Times New Roman" w:hAnsi="Times New Roman" w:eastAsia="宋体" w:cs="Times New Roman"/>
                <w:b w:val="0"/>
                <w:bCs w:val="0"/>
                <w:snapToGrid w:val="0"/>
                <w:color w:val="auto"/>
                <w:spacing w:val="10"/>
                <w:sz w:val="24"/>
                <w:highlight w:val="none"/>
                <w:lang w:val="en-US" w:eastAsia="zh-CN"/>
              </w:rPr>
              <w:t>20</w:t>
            </w:r>
            <w:r>
              <w:rPr>
                <w:rFonts w:hint="default" w:ascii="Times New Roman" w:hAnsi="Times New Roman" w:eastAsia="宋体" w:cs="Times New Roman"/>
                <w:b w:val="0"/>
                <w:bCs w:val="0"/>
                <w:snapToGrid w:val="0"/>
                <w:color w:val="auto"/>
                <w:spacing w:val="10"/>
                <w:sz w:val="24"/>
                <w:highlight w:val="none"/>
                <w:lang w:val="en-US" w:eastAsia="zh-CN"/>
              </w:rPr>
              <w:t>人/d，则项目食物合计含油量为0.</w:t>
            </w:r>
            <w:r>
              <w:rPr>
                <w:rFonts w:hint="eastAsia" w:ascii="Times New Roman" w:hAnsi="Times New Roman" w:eastAsia="宋体" w:cs="Times New Roman"/>
                <w:b w:val="0"/>
                <w:bCs w:val="0"/>
                <w:snapToGrid w:val="0"/>
                <w:color w:val="auto"/>
                <w:spacing w:val="10"/>
                <w:sz w:val="24"/>
                <w:highlight w:val="none"/>
                <w:lang w:val="en-US" w:eastAsia="zh-CN"/>
              </w:rPr>
              <w:t>3</w:t>
            </w:r>
            <w:r>
              <w:rPr>
                <w:rFonts w:hint="default" w:ascii="Times New Roman" w:hAnsi="Times New Roman" w:eastAsia="宋体" w:cs="Times New Roman"/>
                <w:b w:val="0"/>
                <w:bCs w:val="0"/>
                <w:snapToGrid w:val="0"/>
                <w:color w:val="auto"/>
                <w:spacing w:val="10"/>
                <w:sz w:val="24"/>
                <w:highlight w:val="none"/>
                <w:lang w:val="en-US" w:eastAsia="zh-CN"/>
              </w:rPr>
              <w:t>kg/d。油烟废气的产生量与食堂烹饪过程中油的分解挥发量与炒作工况有关，</w:t>
            </w:r>
            <w:r>
              <w:rPr>
                <w:rFonts w:hint="eastAsia" w:ascii="Times New Roman" w:hAnsi="Times New Roman" w:eastAsia="宋体" w:cs="Times New Roman"/>
                <w:b w:val="0"/>
                <w:bCs w:val="0"/>
                <w:snapToGrid w:val="0"/>
                <w:color w:val="auto"/>
                <w:spacing w:val="10"/>
                <w:sz w:val="24"/>
                <w:highlight w:val="none"/>
                <w:lang w:val="en-US" w:eastAsia="zh-CN"/>
              </w:rPr>
              <w:t>油烟产生量按2.83</w:t>
            </w:r>
            <w:r>
              <w:rPr>
                <w:rFonts w:hint="default" w:ascii="Times New Roman" w:hAnsi="Times New Roman" w:eastAsia="宋体" w:cs="Times New Roman"/>
                <w:b w:val="0"/>
                <w:bCs w:val="0"/>
                <w:snapToGrid w:val="0"/>
                <w:color w:val="auto"/>
                <w:spacing w:val="10"/>
                <w:sz w:val="24"/>
                <w:highlight w:val="none"/>
                <w:lang w:val="en-US" w:eastAsia="zh-CN"/>
              </w:rPr>
              <w:t>%计算，</w:t>
            </w:r>
            <w:r>
              <w:rPr>
                <w:rFonts w:hint="eastAsia" w:ascii="Times New Roman" w:hAnsi="Times New Roman" w:eastAsia="宋体" w:cs="Times New Roman"/>
                <w:b w:val="0"/>
                <w:bCs w:val="0"/>
                <w:snapToGrid w:val="0"/>
                <w:color w:val="auto"/>
                <w:spacing w:val="10"/>
                <w:sz w:val="24"/>
                <w:highlight w:val="none"/>
                <w:lang w:val="en-US" w:eastAsia="zh-CN"/>
              </w:rPr>
              <w:t>油烟机</w:t>
            </w:r>
            <w:r>
              <w:rPr>
                <w:rFonts w:hint="default" w:ascii="Times New Roman" w:hAnsi="Times New Roman" w:eastAsia="宋体" w:cs="Times New Roman"/>
                <w:b w:val="0"/>
                <w:bCs w:val="0"/>
                <w:snapToGrid w:val="0"/>
                <w:color w:val="auto"/>
                <w:spacing w:val="10"/>
                <w:sz w:val="24"/>
                <w:highlight w:val="none"/>
                <w:lang w:val="en-US" w:eastAsia="zh-CN"/>
              </w:rPr>
              <w:t>风量</w:t>
            </w:r>
            <w:r>
              <w:rPr>
                <w:rFonts w:hint="eastAsia" w:ascii="Times New Roman" w:hAnsi="Times New Roman" w:eastAsia="宋体" w:cs="Times New Roman"/>
                <w:b w:val="0"/>
                <w:bCs w:val="0"/>
                <w:snapToGrid w:val="0"/>
                <w:color w:val="auto"/>
                <w:spacing w:val="10"/>
                <w:sz w:val="24"/>
                <w:highlight w:val="none"/>
                <w:lang w:val="en-US" w:eastAsia="zh-CN"/>
              </w:rPr>
              <w:t>为200</w:t>
            </w:r>
            <w:r>
              <w:rPr>
                <w:rFonts w:hint="default" w:ascii="Times New Roman" w:hAnsi="Times New Roman" w:eastAsia="宋体" w:cs="Times New Roman"/>
                <w:b w:val="0"/>
                <w:bCs w:val="0"/>
                <w:snapToGrid w:val="0"/>
                <w:color w:val="auto"/>
                <w:spacing w:val="10"/>
                <w:sz w:val="24"/>
                <w:highlight w:val="none"/>
                <w:lang w:val="en-US" w:eastAsia="zh-CN"/>
              </w:rPr>
              <w:t>0m³/h</w:t>
            </w:r>
            <w:r>
              <w:rPr>
                <w:rFonts w:hint="eastAsia" w:ascii="Times New Roman" w:hAnsi="Times New Roman" w:eastAsia="宋体" w:cs="Times New Roman"/>
                <w:b w:val="0"/>
                <w:bCs w:val="0"/>
                <w:snapToGrid w:val="0"/>
                <w:color w:val="auto"/>
                <w:spacing w:val="10"/>
                <w:sz w:val="24"/>
                <w:highlight w:val="none"/>
                <w:lang w:val="en-US" w:eastAsia="zh-CN"/>
              </w:rPr>
              <w:t>，</w:t>
            </w:r>
            <w:r>
              <w:rPr>
                <w:rFonts w:hint="default" w:ascii="Times New Roman" w:hAnsi="Times New Roman" w:eastAsia="宋体" w:cs="Times New Roman"/>
                <w:b w:val="0"/>
                <w:bCs w:val="0"/>
                <w:snapToGrid w:val="0"/>
                <w:color w:val="auto"/>
                <w:spacing w:val="10"/>
                <w:sz w:val="24"/>
                <w:highlight w:val="none"/>
                <w:lang w:val="en-US" w:eastAsia="zh-CN"/>
              </w:rPr>
              <w:t>每年365天工作日计算，则厨房油烟产生量为0.0</w:t>
            </w:r>
            <w:r>
              <w:rPr>
                <w:rFonts w:hint="eastAsia" w:ascii="Times New Roman" w:hAnsi="Times New Roman" w:eastAsia="宋体" w:cs="Times New Roman"/>
                <w:b w:val="0"/>
                <w:bCs w:val="0"/>
                <w:snapToGrid w:val="0"/>
                <w:color w:val="auto"/>
                <w:spacing w:val="10"/>
                <w:sz w:val="24"/>
                <w:highlight w:val="none"/>
                <w:lang w:val="en-US" w:eastAsia="zh-CN"/>
              </w:rPr>
              <w:t>17</w:t>
            </w:r>
            <w:r>
              <w:rPr>
                <w:rFonts w:hint="default" w:ascii="Times New Roman" w:hAnsi="Times New Roman" w:eastAsia="宋体" w:cs="Times New Roman"/>
                <w:b w:val="0"/>
                <w:bCs w:val="0"/>
                <w:snapToGrid w:val="0"/>
                <w:color w:val="auto"/>
                <w:spacing w:val="10"/>
                <w:sz w:val="24"/>
                <w:highlight w:val="none"/>
                <w:lang w:val="en-US" w:eastAsia="zh-CN"/>
              </w:rPr>
              <w:t>kg/d，</w:t>
            </w:r>
            <w:r>
              <w:rPr>
                <w:rFonts w:hint="eastAsia" w:ascii="Times New Roman" w:hAnsi="Times New Roman" w:eastAsia="宋体" w:cs="Times New Roman"/>
                <w:b w:val="0"/>
                <w:bCs w:val="0"/>
                <w:snapToGrid w:val="0"/>
                <w:color w:val="auto"/>
                <w:spacing w:val="10"/>
                <w:sz w:val="24"/>
                <w:highlight w:val="none"/>
                <w:lang w:val="en-US" w:eastAsia="zh-CN"/>
              </w:rPr>
              <w:t>6.2</w:t>
            </w:r>
            <w:r>
              <w:rPr>
                <w:rFonts w:hint="default" w:ascii="Times New Roman" w:hAnsi="Times New Roman" w:eastAsia="宋体" w:cs="Times New Roman"/>
                <w:b w:val="0"/>
                <w:bCs w:val="0"/>
                <w:snapToGrid w:val="0"/>
                <w:color w:val="auto"/>
                <w:spacing w:val="10"/>
                <w:sz w:val="24"/>
                <w:highlight w:val="none"/>
                <w:lang w:val="en-US" w:eastAsia="zh-CN"/>
              </w:rPr>
              <w:t>kg/a。项目食堂设置一台</w:t>
            </w:r>
            <w:r>
              <w:rPr>
                <w:rFonts w:hint="eastAsia" w:ascii="Times New Roman" w:hAnsi="Times New Roman" w:eastAsia="宋体" w:cs="Times New Roman"/>
                <w:b w:val="0"/>
                <w:bCs w:val="0"/>
                <w:snapToGrid w:val="0"/>
                <w:color w:val="auto"/>
                <w:spacing w:val="10"/>
                <w:sz w:val="24"/>
                <w:highlight w:val="none"/>
                <w:lang w:val="en-US" w:eastAsia="zh-CN"/>
              </w:rPr>
              <w:t>抽油烟机</w:t>
            </w:r>
            <w:r>
              <w:rPr>
                <w:rFonts w:hint="default" w:ascii="Times New Roman" w:hAnsi="Times New Roman" w:eastAsia="宋体" w:cs="Times New Roman"/>
                <w:b w:val="0"/>
                <w:bCs w:val="0"/>
                <w:snapToGrid w:val="0"/>
                <w:color w:val="auto"/>
                <w:spacing w:val="10"/>
                <w:sz w:val="24"/>
                <w:highlight w:val="none"/>
                <w:lang w:val="en-US" w:eastAsia="zh-CN"/>
              </w:rPr>
              <w:t>，按</w:t>
            </w:r>
            <w:r>
              <w:rPr>
                <w:rFonts w:hint="eastAsia" w:ascii="Times New Roman" w:hAnsi="Times New Roman" w:eastAsia="宋体" w:cs="Times New Roman"/>
                <w:b w:val="0"/>
                <w:bCs w:val="0"/>
                <w:snapToGrid w:val="0"/>
                <w:color w:val="auto"/>
                <w:spacing w:val="10"/>
                <w:sz w:val="24"/>
                <w:highlight w:val="none"/>
                <w:lang w:val="en-US" w:eastAsia="zh-CN"/>
              </w:rPr>
              <w:t>抽油烟机</w:t>
            </w:r>
            <w:r>
              <w:rPr>
                <w:rFonts w:hint="default" w:ascii="Times New Roman" w:hAnsi="Times New Roman" w:eastAsia="宋体" w:cs="Times New Roman"/>
                <w:b w:val="0"/>
                <w:bCs w:val="0"/>
                <w:snapToGrid w:val="0"/>
                <w:color w:val="auto"/>
                <w:spacing w:val="10"/>
                <w:sz w:val="24"/>
                <w:highlight w:val="none"/>
                <w:lang w:val="en-US" w:eastAsia="zh-CN"/>
              </w:rPr>
              <w:t>累计使用时间一天3小时，</w:t>
            </w:r>
            <w:r>
              <w:rPr>
                <w:rFonts w:hint="eastAsia" w:ascii="Times New Roman" w:hAnsi="Times New Roman" w:eastAsia="宋体" w:cs="Times New Roman"/>
                <w:b w:val="0"/>
                <w:bCs w:val="0"/>
                <w:snapToGrid w:val="0"/>
                <w:color w:val="auto"/>
                <w:spacing w:val="10"/>
                <w:sz w:val="24"/>
                <w:highlight w:val="none"/>
                <w:lang w:val="en-US" w:eastAsia="zh-CN"/>
              </w:rPr>
              <w:t>抽油烟机收集处理效率</w:t>
            </w:r>
            <w:r>
              <w:rPr>
                <w:rFonts w:hint="default" w:ascii="Times New Roman" w:hAnsi="Times New Roman" w:eastAsia="宋体" w:cs="Times New Roman"/>
                <w:b w:val="0"/>
                <w:bCs w:val="0"/>
                <w:snapToGrid w:val="0"/>
                <w:color w:val="auto"/>
                <w:spacing w:val="10"/>
                <w:sz w:val="24"/>
                <w:highlight w:val="none"/>
                <w:lang w:val="en-US" w:eastAsia="zh-CN"/>
              </w:rPr>
              <w:t>为</w:t>
            </w:r>
            <w:r>
              <w:rPr>
                <w:rFonts w:hint="eastAsia" w:ascii="Times New Roman" w:hAnsi="Times New Roman" w:eastAsia="宋体" w:cs="Times New Roman"/>
                <w:b w:val="0"/>
                <w:bCs w:val="0"/>
                <w:snapToGrid w:val="0"/>
                <w:color w:val="auto"/>
                <w:spacing w:val="10"/>
                <w:sz w:val="24"/>
                <w:highlight w:val="none"/>
                <w:lang w:val="en-US" w:eastAsia="zh-CN"/>
              </w:rPr>
              <w:t>3</w:t>
            </w:r>
            <w:r>
              <w:rPr>
                <w:rFonts w:hint="default" w:ascii="Times New Roman" w:hAnsi="Times New Roman" w:eastAsia="宋体" w:cs="Times New Roman"/>
                <w:b w:val="0"/>
                <w:bCs w:val="0"/>
                <w:snapToGrid w:val="0"/>
                <w:color w:val="auto"/>
                <w:spacing w:val="10"/>
                <w:sz w:val="24"/>
                <w:highlight w:val="none"/>
                <w:lang w:val="en-US" w:eastAsia="zh-CN"/>
              </w:rPr>
              <w:t>0%计算，则油烟废气排放量为0.0</w:t>
            </w:r>
            <w:r>
              <w:rPr>
                <w:rFonts w:hint="eastAsia" w:ascii="Times New Roman" w:hAnsi="Times New Roman" w:eastAsia="宋体" w:cs="Times New Roman"/>
                <w:b w:val="0"/>
                <w:bCs w:val="0"/>
                <w:snapToGrid w:val="0"/>
                <w:color w:val="auto"/>
                <w:spacing w:val="10"/>
                <w:sz w:val="24"/>
                <w:highlight w:val="none"/>
                <w:lang w:val="en-US" w:eastAsia="zh-CN"/>
              </w:rPr>
              <w:t>1</w:t>
            </w:r>
            <w:r>
              <w:rPr>
                <w:rFonts w:hint="default" w:ascii="Times New Roman" w:hAnsi="Times New Roman" w:eastAsia="宋体" w:cs="Times New Roman"/>
                <w:b w:val="0"/>
                <w:bCs w:val="0"/>
                <w:snapToGrid w:val="0"/>
                <w:color w:val="auto"/>
                <w:spacing w:val="10"/>
                <w:sz w:val="24"/>
                <w:highlight w:val="none"/>
                <w:lang w:val="en-US" w:eastAsia="zh-CN"/>
              </w:rPr>
              <w:t>kg/d，</w:t>
            </w:r>
            <w:r>
              <w:rPr>
                <w:rFonts w:hint="eastAsia" w:ascii="Times New Roman" w:hAnsi="Times New Roman" w:eastAsia="宋体" w:cs="Times New Roman"/>
                <w:b w:val="0"/>
                <w:bCs w:val="0"/>
                <w:snapToGrid w:val="0"/>
                <w:color w:val="auto"/>
                <w:spacing w:val="10"/>
                <w:sz w:val="24"/>
                <w:highlight w:val="none"/>
                <w:lang w:val="en-US" w:eastAsia="zh-CN"/>
              </w:rPr>
              <w:t>3.72</w:t>
            </w:r>
            <w:r>
              <w:rPr>
                <w:rFonts w:hint="default" w:ascii="Times New Roman" w:hAnsi="Times New Roman" w:eastAsia="宋体" w:cs="Times New Roman"/>
                <w:b w:val="0"/>
                <w:bCs w:val="0"/>
                <w:snapToGrid w:val="0"/>
                <w:color w:val="auto"/>
                <w:spacing w:val="10"/>
                <w:sz w:val="24"/>
                <w:highlight w:val="none"/>
                <w:lang w:val="en-US" w:eastAsia="zh-CN"/>
              </w:rPr>
              <w:t>kg/a</w:t>
            </w:r>
            <w:r>
              <w:rPr>
                <w:rFonts w:hint="eastAsia" w:ascii="Times New Roman" w:hAnsi="Times New Roman" w:eastAsia="宋体" w:cs="Times New Roman"/>
                <w:b w:val="0"/>
                <w:bCs w:val="0"/>
                <w:snapToGrid w:val="0"/>
                <w:color w:val="auto"/>
                <w:spacing w:val="10"/>
                <w:sz w:val="24"/>
                <w:highlight w:val="none"/>
                <w:lang w:val="en-US" w:eastAsia="zh-CN"/>
              </w:rPr>
              <w:t>，排放浓度为1.7mg</w:t>
            </w:r>
            <w:r>
              <w:rPr>
                <w:rFonts w:hint="default" w:ascii="Times New Roman" w:hAnsi="Times New Roman" w:eastAsia="宋体" w:cs="Times New Roman"/>
                <w:b w:val="0"/>
                <w:bCs w:val="0"/>
                <w:snapToGrid w:val="0"/>
                <w:color w:val="auto"/>
                <w:spacing w:val="10"/>
                <w:sz w:val="24"/>
                <w:highlight w:val="none"/>
                <w:lang w:val="en-US" w:eastAsia="zh-CN"/>
              </w:rPr>
              <w:t>/m³。若要使油烟排放浓度满足《饮食业油烟排放标准》（GB18438-2001）中最高允许排放标准2.0mg/m³的要求。项目食堂应设置内置排烟管道，油烟废气经集气罩收集进入</w:t>
            </w:r>
            <w:r>
              <w:rPr>
                <w:rFonts w:hint="eastAsia" w:ascii="Times New Roman" w:hAnsi="Times New Roman" w:eastAsia="宋体" w:cs="Times New Roman"/>
                <w:b w:val="0"/>
                <w:bCs w:val="0"/>
                <w:snapToGrid w:val="0"/>
                <w:color w:val="auto"/>
                <w:spacing w:val="10"/>
                <w:sz w:val="24"/>
                <w:highlight w:val="none"/>
                <w:lang w:val="en-US" w:eastAsia="zh-CN"/>
              </w:rPr>
              <w:t>抽油烟机</w:t>
            </w:r>
            <w:r>
              <w:rPr>
                <w:rFonts w:hint="default" w:ascii="Times New Roman" w:hAnsi="Times New Roman" w:eastAsia="宋体" w:cs="Times New Roman"/>
                <w:b w:val="0"/>
                <w:bCs w:val="0"/>
                <w:snapToGrid w:val="0"/>
                <w:color w:val="auto"/>
                <w:spacing w:val="10"/>
                <w:sz w:val="24"/>
                <w:highlight w:val="none"/>
                <w:lang w:val="en-US" w:eastAsia="zh-CN"/>
              </w:rPr>
              <w:t>处理后，通过内置排烟管道高于食堂楼顶1.5m高排放</w:t>
            </w:r>
            <w:r>
              <w:rPr>
                <w:rFonts w:hint="eastAsia" w:ascii="Times New Roman" w:hAnsi="Times New Roman" w:eastAsia="宋体" w:cs="Times New Roman"/>
                <w:b w:val="0"/>
                <w:bCs w:val="0"/>
                <w:snapToGrid w:val="0"/>
                <w:color w:val="auto"/>
                <w:spacing w:val="10"/>
                <w:sz w:val="24"/>
                <w:highlight w:val="none"/>
                <w:lang w:val="en-US" w:eastAsia="zh-CN"/>
              </w:rPr>
              <w:t>。</w:t>
            </w:r>
          </w:p>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（2）汽车废气</w:t>
            </w:r>
          </w:p>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项目运行期进入项目区内的车辆较少，主要为项目内的物料运输车辆。汽车排放的废气主要集中于停车场地，为地上停车位，在汽车的启动和停车过程中产生，废气中主要污染物为CO、HC、NO</w:t>
            </w:r>
            <w:r>
              <w:rPr>
                <w:rFonts w:hint="eastAsia" w:ascii="Times New Roman" w:hAnsi="Times New Roman" w:eastAsia="宋体" w:cs="Times New Roman"/>
                <w:b w:val="0"/>
                <w:bCs w:val="0"/>
                <w:snapToGrid w:val="0"/>
                <w:color w:val="auto"/>
                <w:spacing w:val="10"/>
                <w:sz w:val="24"/>
                <w:highlight w:val="none"/>
                <w:vertAlign w:val="subscript"/>
                <w:lang w:val="en-US" w:eastAsia="zh-CN"/>
              </w:rPr>
              <w:t>X</w:t>
            </w:r>
            <w:r>
              <w:rPr>
                <w:rFonts w:hint="eastAsia" w:ascii="Times New Roman" w:hAnsi="Times New Roman" w:eastAsia="宋体" w:cs="Times New Roman"/>
                <w:b w:val="0"/>
                <w:bCs w:val="0"/>
                <w:snapToGrid w:val="0"/>
                <w:color w:val="auto"/>
                <w:spacing w:val="10"/>
                <w:sz w:val="24"/>
                <w:highlight w:val="none"/>
                <w:lang w:val="en-US" w:eastAsia="zh-CN"/>
              </w:rPr>
              <w:t>等，产生量较少，呈无组织排放。</w:t>
            </w:r>
          </w:p>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（3）异味</w:t>
            </w:r>
          </w:p>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项目异味主要来自垃圾桶和化粪池+一体化污水处理设备。</w:t>
            </w:r>
          </w:p>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生活垃圾主要来自于生活区，产生的生活垃圾统一收集于垃圾桶内。垃圾在临时存放过程中将会产生异味，局部空气臭气浓度增加。主要为无组织排放，一般排放量较小。</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升压站内设置水冲厕+化粪池+一体化污水处理设备处理生活污水，化粪池在清掏时会产生异味，主要为无组织排放，其排放量较小。</w:t>
            </w:r>
          </w:p>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default" w:ascii="Times New Roman" w:hAnsi="Times New Roman" w:eastAsia="宋体" w:cs="Times New Roman"/>
                <w:b w:val="0"/>
                <w:bCs w:val="0"/>
                <w:snapToGrid w:val="0"/>
                <w:color w:val="auto"/>
                <w:spacing w:val="10"/>
                <w:sz w:val="24"/>
                <w:highlight w:val="none"/>
                <w:lang w:val="en-US" w:eastAsia="zh-CN"/>
              </w:rPr>
              <w:t>综上，本项目运营期对大气环境影响较小</w:t>
            </w:r>
            <w:r>
              <w:rPr>
                <w:rFonts w:hint="eastAsia" w:ascii="Times New Roman" w:hAnsi="Times New Roman" w:eastAsia="宋体" w:cs="Times New Roman"/>
                <w:b w:val="0"/>
                <w:bCs w:val="0"/>
                <w:snapToGrid w:val="0"/>
                <w:color w:val="auto"/>
                <w:spacing w:val="10"/>
                <w:sz w:val="24"/>
                <w:highlight w:val="none"/>
                <w:lang w:val="en-US" w:eastAsia="zh-CN"/>
              </w:rPr>
              <w:t>。</w:t>
            </w:r>
          </w:p>
          <w:p>
            <w:pPr>
              <w:adjustRightInd w:val="0"/>
              <w:snapToGrid w:val="0"/>
              <w:spacing w:line="360" w:lineRule="auto"/>
              <w:ind w:firstLine="482" w:firstLineChars="200"/>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2、水环境影响分析</w:t>
            </w:r>
          </w:p>
          <w:p>
            <w:pPr>
              <w:widowControl w:val="0"/>
              <w:spacing w:beforeLines="0" w:afterLines="0" w:line="360" w:lineRule="auto"/>
              <w:ind w:firstLine="520" w:firstLineChars="200"/>
              <w:jc w:val="both"/>
              <w:rPr>
                <w:rFonts w:hint="default"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项目运营期废水主要主要是光伏电池板清洗废水和值班人员的生活污水。</w:t>
            </w:r>
          </w:p>
          <w:p>
            <w:pPr>
              <w:spacing w:line="360" w:lineRule="auto"/>
              <w:ind w:firstLine="480"/>
              <w:rPr>
                <w:rFonts w:ascii="Times New Roman" w:hAnsi="Times New Roman" w:eastAsia="宋体" w:cs="Times New Roman"/>
                <w:b/>
                <w:color w:val="auto"/>
                <w:sz w:val="24"/>
              </w:rPr>
            </w:pPr>
            <w:r>
              <w:rPr>
                <w:rFonts w:hint="eastAsia" w:ascii="Times New Roman" w:hAnsi="Times New Roman" w:eastAsia="宋体" w:cs="Times New Roman"/>
                <w:b/>
                <w:color w:val="auto"/>
                <w:sz w:val="24"/>
              </w:rPr>
              <w:t>（1）生活污水</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A．产生情况</w:t>
            </w:r>
          </w:p>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升压站内定员20人，按《云南省地方标准 用水定额》（DB53/T168-2019），生活用水量以100L/（人·d）计，全站生活用水约为2m</w:t>
            </w:r>
            <w:r>
              <w:rPr>
                <w:rFonts w:hint="eastAsia" w:ascii="Times New Roman" w:hAnsi="Times New Roman" w:eastAsia="宋体" w:cs="Times New Roman"/>
                <w:b w:val="0"/>
                <w:bCs w:val="0"/>
                <w:snapToGrid w:val="0"/>
                <w:color w:val="auto"/>
                <w:spacing w:val="10"/>
                <w:sz w:val="24"/>
                <w:highlight w:val="none"/>
                <w:vertAlign w:val="superscript"/>
                <w:lang w:val="en-US" w:eastAsia="zh-CN"/>
              </w:rPr>
              <w:t>3</w:t>
            </w:r>
            <w:r>
              <w:rPr>
                <w:rFonts w:hint="eastAsia" w:ascii="Times New Roman" w:hAnsi="Times New Roman" w:eastAsia="宋体" w:cs="Times New Roman"/>
                <w:b w:val="0"/>
                <w:bCs w:val="0"/>
                <w:snapToGrid w:val="0"/>
                <w:color w:val="auto"/>
                <w:spacing w:val="10"/>
                <w:sz w:val="24"/>
                <w:highlight w:val="none"/>
                <w:lang w:val="en-US" w:eastAsia="zh-CN"/>
              </w:rPr>
              <w:t>/d；排水系数以0.8计，生活污水产生量约为1.6m</w:t>
            </w:r>
            <w:r>
              <w:rPr>
                <w:rFonts w:hint="eastAsia" w:ascii="Times New Roman" w:hAnsi="Times New Roman" w:eastAsia="宋体" w:cs="Times New Roman"/>
                <w:b w:val="0"/>
                <w:bCs w:val="0"/>
                <w:snapToGrid w:val="0"/>
                <w:color w:val="auto"/>
                <w:spacing w:val="10"/>
                <w:sz w:val="24"/>
                <w:highlight w:val="none"/>
                <w:vertAlign w:val="superscript"/>
                <w:lang w:val="en-US" w:eastAsia="zh-CN"/>
              </w:rPr>
              <w:t>3</w:t>
            </w:r>
            <w:r>
              <w:rPr>
                <w:rFonts w:hint="eastAsia" w:ascii="Times New Roman" w:hAnsi="Times New Roman" w:eastAsia="宋体" w:cs="Times New Roman"/>
                <w:b w:val="0"/>
                <w:bCs w:val="0"/>
                <w:snapToGrid w:val="0"/>
                <w:color w:val="auto"/>
                <w:spacing w:val="10"/>
                <w:sz w:val="24"/>
                <w:highlight w:val="none"/>
                <w:lang w:val="en-US" w:eastAsia="zh-CN"/>
              </w:rPr>
              <w:t>/d。生活用排水中，约20%为食堂餐饮用排水，则项目食堂用水量约为0.4m</w:t>
            </w:r>
            <w:r>
              <w:rPr>
                <w:rFonts w:hint="eastAsia" w:ascii="Times New Roman" w:hAnsi="Times New Roman" w:eastAsia="宋体" w:cs="Times New Roman"/>
                <w:b w:val="0"/>
                <w:bCs w:val="0"/>
                <w:snapToGrid w:val="0"/>
                <w:color w:val="auto"/>
                <w:spacing w:val="10"/>
                <w:sz w:val="24"/>
                <w:highlight w:val="none"/>
                <w:vertAlign w:val="superscript"/>
                <w:lang w:val="en-US" w:eastAsia="zh-CN"/>
              </w:rPr>
              <w:t>3</w:t>
            </w:r>
            <w:r>
              <w:rPr>
                <w:rFonts w:hint="eastAsia" w:ascii="Times New Roman" w:hAnsi="Times New Roman" w:eastAsia="宋体" w:cs="Times New Roman"/>
                <w:b w:val="0"/>
                <w:bCs w:val="0"/>
                <w:snapToGrid w:val="0"/>
                <w:color w:val="auto"/>
                <w:spacing w:val="10"/>
                <w:sz w:val="24"/>
                <w:highlight w:val="none"/>
                <w:lang w:val="en-US" w:eastAsia="zh-CN"/>
              </w:rPr>
              <w:t>/d，食堂废水产生量约为0.32m</w:t>
            </w:r>
            <w:r>
              <w:rPr>
                <w:rFonts w:hint="eastAsia" w:ascii="Times New Roman" w:hAnsi="Times New Roman" w:eastAsia="宋体" w:cs="Times New Roman"/>
                <w:b w:val="0"/>
                <w:bCs w:val="0"/>
                <w:snapToGrid w:val="0"/>
                <w:color w:val="auto"/>
                <w:spacing w:val="10"/>
                <w:sz w:val="24"/>
                <w:highlight w:val="none"/>
                <w:vertAlign w:val="superscript"/>
                <w:lang w:val="en-US" w:eastAsia="zh-CN"/>
              </w:rPr>
              <w:t>3</w:t>
            </w:r>
            <w:r>
              <w:rPr>
                <w:rFonts w:hint="eastAsia" w:ascii="Times New Roman" w:hAnsi="Times New Roman" w:eastAsia="宋体" w:cs="Times New Roman"/>
                <w:b w:val="0"/>
                <w:bCs w:val="0"/>
                <w:snapToGrid w:val="0"/>
                <w:color w:val="auto"/>
                <w:spacing w:val="10"/>
                <w:sz w:val="24"/>
                <w:highlight w:val="none"/>
                <w:lang w:val="en-US" w:eastAsia="zh-CN"/>
              </w:rPr>
              <w:t>/d。</w:t>
            </w:r>
          </w:p>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类比生活污水监测资料，产生的废水中，主要污染物及浓度约为CODCr：400mg/L，BOD</w:t>
            </w:r>
            <w:r>
              <w:rPr>
                <w:rFonts w:hint="eastAsia" w:ascii="Times New Roman" w:hAnsi="Times New Roman" w:eastAsia="宋体" w:cs="Times New Roman"/>
                <w:b w:val="0"/>
                <w:bCs w:val="0"/>
                <w:snapToGrid w:val="0"/>
                <w:color w:val="auto"/>
                <w:spacing w:val="10"/>
                <w:sz w:val="24"/>
                <w:highlight w:val="none"/>
                <w:vertAlign w:val="subscript"/>
                <w:lang w:val="en-US" w:eastAsia="zh-CN"/>
              </w:rPr>
              <w:t>5</w:t>
            </w:r>
            <w:r>
              <w:rPr>
                <w:rFonts w:hint="eastAsia" w:ascii="Times New Roman" w:hAnsi="Times New Roman" w:eastAsia="宋体" w:cs="Times New Roman"/>
                <w:b w:val="0"/>
                <w:bCs w:val="0"/>
                <w:snapToGrid w:val="0"/>
                <w:color w:val="auto"/>
                <w:spacing w:val="10"/>
                <w:sz w:val="24"/>
                <w:highlight w:val="none"/>
                <w:lang w:val="en-US" w:eastAsia="zh-CN"/>
              </w:rPr>
              <w:t>：250mg/L，SS：300mg/L，NH</w:t>
            </w:r>
            <w:r>
              <w:rPr>
                <w:rFonts w:hint="eastAsia" w:ascii="Times New Roman" w:hAnsi="Times New Roman" w:eastAsia="宋体" w:cs="Times New Roman"/>
                <w:b w:val="0"/>
                <w:bCs w:val="0"/>
                <w:snapToGrid w:val="0"/>
                <w:color w:val="auto"/>
                <w:spacing w:val="10"/>
                <w:sz w:val="24"/>
                <w:highlight w:val="none"/>
                <w:vertAlign w:val="subscript"/>
                <w:lang w:val="en-US" w:eastAsia="zh-CN"/>
              </w:rPr>
              <w:t>3</w:t>
            </w:r>
            <w:r>
              <w:rPr>
                <w:rFonts w:hint="eastAsia" w:ascii="Times New Roman" w:hAnsi="Times New Roman" w:eastAsia="宋体" w:cs="Times New Roman"/>
                <w:b w:val="0"/>
                <w:bCs w:val="0"/>
                <w:snapToGrid w:val="0"/>
                <w:color w:val="auto"/>
                <w:spacing w:val="10"/>
                <w:sz w:val="24"/>
                <w:highlight w:val="none"/>
                <w:lang w:val="en-US" w:eastAsia="zh-CN"/>
              </w:rPr>
              <w:t>-N：30mg/L，总磷7mg/L，动植物油10mg/L。</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B</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排水方案</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根据可研设计，项目拟在食堂排水口设置一个有效容积</w:t>
            </w:r>
            <w:r>
              <w:rPr>
                <w:rFonts w:hint="eastAsia" w:ascii="Times New Roman" w:hAnsi="Times New Roman" w:eastAsia="宋体" w:cs="Times New Roman"/>
                <w:color w:val="auto"/>
                <w:sz w:val="24"/>
              </w:rPr>
              <w:t>1</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的不锈钢成品隔油池、在生活区设置1个有效容积</w:t>
            </w:r>
            <w:r>
              <w:rPr>
                <w:rFonts w:hint="eastAsia" w:ascii="Times New Roman" w:hAnsi="Times New Roman" w:eastAsia="宋体" w:cs="Times New Roman"/>
                <w:color w:val="auto"/>
                <w:sz w:val="24"/>
              </w:rPr>
              <w:t>6</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的玻璃钢成品化粪池，并配套一套处理能力</w:t>
            </w:r>
            <w:r>
              <w:rPr>
                <w:rFonts w:hint="eastAsia" w:ascii="Times New Roman" w:hAnsi="Times New Roman" w:eastAsia="宋体" w:cs="Times New Roman"/>
                <w:color w:val="auto"/>
                <w:sz w:val="24"/>
              </w:rPr>
              <w:t>5</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/d的“接触氧化</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MBR膜工艺”一体化污水处理系统。食堂废水经隔油池隔油、其他生活污水经化粪池预处理后，送入污水处理系统，处理达回用标准后回用于升压站绿化。</w:t>
            </w:r>
          </w:p>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C．污水处理设施的可行性分析</w:t>
            </w:r>
          </w:p>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①可行技术对比</w:t>
            </w:r>
          </w:p>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对照《排污许可证申请预核发技术规范 水处理通用工序》（HJ1120-2020）附录A，项目生活污水采用隔油池、化粪池预处理后，采用接触氧化+MBR膜处理工艺深度处理，属污水处理可行技术。</w:t>
            </w:r>
          </w:p>
          <w:p>
            <w:pPr>
              <w:autoSpaceDE w:val="0"/>
              <w:autoSpaceDN w:val="0"/>
              <w:spacing w:line="360" w:lineRule="auto"/>
              <w:jc w:val="center"/>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表4.</w:t>
            </w:r>
            <w:r>
              <w:rPr>
                <w:rFonts w:hint="eastAsia" w:cs="Times New Roman"/>
                <w:b/>
                <w:bCs/>
                <w:color w:val="auto"/>
                <w:sz w:val="24"/>
                <w:lang w:val="en-US" w:eastAsia="zh-CN"/>
              </w:rPr>
              <w:t>3</w:t>
            </w:r>
            <w:r>
              <w:rPr>
                <w:rFonts w:hint="eastAsia" w:ascii="Times New Roman" w:hAnsi="Times New Roman" w:eastAsia="宋体" w:cs="Times New Roman"/>
                <w:b/>
                <w:bCs/>
                <w:color w:val="auto"/>
                <w:sz w:val="24"/>
              </w:rPr>
              <w:t>-1</w:t>
            </w:r>
            <w:r>
              <w:rPr>
                <w:rFonts w:ascii="Times New Roman" w:hAnsi="Times New Roman" w:eastAsia="宋体" w:cs="Times New Roman"/>
                <w:b/>
                <w:bCs/>
                <w:color w:val="auto"/>
                <w:sz w:val="24"/>
              </w:rPr>
              <w:t xml:space="preserve">  HJ1120-2020</w:t>
            </w:r>
            <w:r>
              <w:rPr>
                <w:rFonts w:hint="eastAsia" w:ascii="Times New Roman" w:hAnsi="Times New Roman" w:eastAsia="宋体" w:cs="Times New Roman"/>
                <w:b/>
                <w:bCs/>
                <w:color w:val="auto"/>
                <w:sz w:val="24"/>
              </w:rPr>
              <w:t>污水处理可行技术参照表</w:t>
            </w:r>
          </w:p>
          <w:tbl>
            <w:tblPr>
              <w:tblStyle w:val="18"/>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679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92" w:type="pct"/>
                  <w:noWrap w:val="0"/>
                  <w:vAlign w:val="center"/>
                </w:tcPr>
                <w:p>
                  <w:pPr>
                    <w:widowControl/>
                    <w:adjustRightInd w:val="0"/>
                    <w:snapToGri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废水类别</w:t>
                  </w:r>
                </w:p>
              </w:tc>
              <w:tc>
                <w:tcPr>
                  <w:tcW w:w="4208" w:type="pct"/>
                  <w:noWrap w:val="0"/>
                  <w:vAlign w:val="center"/>
                </w:tcPr>
                <w:p>
                  <w:pPr>
                    <w:widowControl/>
                    <w:adjustRightInd w:val="0"/>
                    <w:snapToGri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可行技术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57" w:hRule="atLeast"/>
              </w:trPr>
              <w:tc>
                <w:tcPr>
                  <w:tcW w:w="792" w:type="pct"/>
                  <w:noWrap w:val="0"/>
                  <w:vAlign w:val="center"/>
                </w:tcPr>
                <w:p>
                  <w:pPr>
                    <w:widowControl/>
                    <w:adjustRightInd w:val="0"/>
                    <w:snapToGri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服务类排污单位废水和生活污水</w:t>
                  </w:r>
                </w:p>
              </w:tc>
              <w:tc>
                <w:tcPr>
                  <w:tcW w:w="4208" w:type="pct"/>
                  <w:noWrap w:val="0"/>
                  <w:vAlign w:val="center"/>
                </w:tcPr>
                <w:p>
                  <w:pPr>
                    <w:widowControl/>
                    <w:adjustRightInd w:val="0"/>
                    <w:snapToGrid w:val="0"/>
                    <w:rPr>
                      <w:rFonts w:ascii="Times New Roman" w:hAnsi="Times New Roman" w:eastAsia="宋体" w:cs="Times New Roman"/>
                      <w:color w:val="auto"/>
                      <w:kern w:val="0"/>
                      <w:szCs w:val="21"/>
                    </w:rPr>
                  </w:pPr>
                  <w:r>
                    <w:rPr>
                      <w:rFonts w:hint="eastAsia" w:ascii="Times New Roman" w:hAnsi="Times New Roman" w:eastAsia="宋体" w:cs="Times New Roman"/>
                      <w:b/>
                      <w:bCs/>
                      <w:color w:val="auto"/>
                      <w:kern w:val="0"/>
                      <w:szCs w:val="21"/>
                    </w:rPr>
                    <w:t>预处理：</w:t>
                  </w:r>
                  <w:r>
                    <w:rPr>
                      <w:rFonts w:hint="eastAsia" w:ascii="Times New Roman" w:hAnsi="Times New Roman" w:eastAsia="宋体" w:cs="Times New Roman"/>
                      <w:color w:val="auto"/>
                      <w:kern w:val="0"/>
                      <w:szCs w:val="21"/>
                    </w:rPr>
                    <w:t>调节、隔油、格栅、沉淀、气浮、混凝；</w:t>
                  </w:r>
                </w:p>
                <w:p>
                  <w:pPr>
                    <w:widowControl/>
                    <w:adjustRightInd w:val="0"/>
                    <w:snapToGrid w:val="0"/>
                    <w:rPr>
                      <w:rFonts w:ascii="Times New Roman" w:hAnsi="Times New Roman" w:eastAsia="宋体" w:cs="Times New Roman"/>
                      <w:color w:val="auto"/>
                      <w:kern w:val="0"/>
                      <w:szCs w:val="21"/>
                    </w:rPr>
                  </w:pPr>
                  <w:r>
                    <w:rPr>
                      <w:rFonts w:hint="eastAsia" w:ascii="Times New Roman" w:hAnsi="Times New Roman" w:eastAsia="宋体" w:cs="Times New Roman"/>
                      <w:b/>
                      <w:bCs/>
                      <w:color w:val="auto"/>
                      <w:kern w:val="0"/>
                      <w:szCs w:val="21"/>
                    </w:rPr>
                    <w:t>生化处理：</w:t>
                  </w:r>
                  <w:r>
                    <w:rPr>
                      <w:rFonts w:hint="eastAsia" w:ascii="Times New Roman" w:hAnsi="Times New Roman" w:eastAsia="宋体" w:cs="Times New Roman"/>
                      <w:color w:val="auto"/>
                      <w:kern w:val="0"/>
                      <w:szCs w:val="21"/>
                    </w:rPr>
                    <w:t>水解酸化、厌氧、好氧、缺氧好氧（A/O）、厌氧缺氧好氧（A</w:t>
                  </w:r>
                  <w:r>
                    <w:rPr>
                      <w:rFonts w:ascii="Times New Roman" w:hAnsi="Times New Roman" w:eastAsia="宋体" w:cs="Times New Roman"/>
                      <w:color w:val="auto"/>
                      <w:kern w:val="0"/>
                      <w:szCs w:val="21"/>
                      <w:vertAlign w:val="superscript"/>
                    </w:rPr>
                    <w:t>2</w:t>
                  </w:r>
                  <w:r>
                    <w:rPr>
                      <w:rFonts w:hint="eastAsia" w:ascii="Times New Roman" w:hAnsi="Times New Roman" w:eastAsia="宋体" w:cs="Times New Roman"/>
                      <w:color w:val="auto"/>
                      <w:kern w:val="0"/>
                      <w:szCs w:val="21"/>
                    </w:rPr>
                    <w:t>/O）、序批式活性污泥（SBR）、氧化沟、曝气生物滤池（BAF）、移动生物床反应器（MBBR）、膜生物反应器（MBR）、二沉池；</w:t>
                  </w:r>
                </w:p>
                <w:p>
                  <w:pPr>
                    <w:widowControl/>
                    <w:adjustRightInd w:val="0"/>
                    <w:snapToGrid w:val="0"/>
                    <w:rPr>
                      <w:rFonts w:ascii="Times New Roman" w:hAnsi="Times New Roman" w:eastAsia="宋体" w:cs="Times New Roman"/>
                      <w:color w:val="auto"/>
                      <w:kern w:val="0"/>
                      <w:szCs w:val="21"/>
                    </w:rPr>
                  </w:pPr>
                  <w:r>
                    <w:rPr>
                      <w:rFonts w:hint="eastAsia" w:ascii="Times New Roman" w:hAnsi="Times New Roman" w:eastAsia="宋体" w:cs="Times New Roman"/>
                      <w:b/>
                      <w:bCs/>
                      <w:color w:val="auto"/>
                      <w:kern w:val="0"/>
                      <w:szCs w:val="21"/>
                    </w:rPr>
                    <w:t>深度处理及回用：</w:t>
                  </w:r>
                  <w:r>
                    <w:rPr>
                      <w:rFonts w:hint="eastAsia" w:ascii="Times New Roman" w:hAnsi="Times New Roman" w:eastAsia="宋体" w:cs="Times New Roman"/>
                      <w:color w:val="auto"/>
                      <w:kern w:val="0"/>
                      <w:szCs w:val="21"/>
                    </w:rPr>
                    <w:t>沉淀、过滤、高级氧化、曝气生物滤池、超滤、反渗透、电渗析、离子交换、消毒（次氯酸钠、臭氧、紫外、二氧化氯）。</w:t>
                  </w:r>
                </w:p>
              </w:tc>
            </w:tr>
          </w:tbl>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②达标分析</w:t>
            </w:r>
          </w:p>
          <w:p>
            <w:pPr>
              <w:widowControl w:val="0"/>
              <w:spacing w:beforeLines="0" w:afterLines="0" w:line="360" w:lineRule="auto"/>
              <w:ind w:firstLine="520" w:firstLineChars="200"/>
              <w:jc w:val="both"/>
              <w:rPr>
                <w:rFonts w:hint="eastAsia"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根据《MBR与接触氧化组合处理生活污水的研究》（郑艳芳等）实验研究结论：采用接触氧化+MBR膜处理工艺进行生活污水处理，COD的平均去除率达到93.8%，氨氮的平均去除率达到93.7%，对TN的平均去除率有41.4%，对TP的平均去除率有40.6%；处理出水COD质量浓度小于30mg/L，NH3-N质量浓度小于4mg/L，SS检不出，出水水质好，能达到《城市污水再生利用-城市杂用水水质》（GBT18920-2002）中绿化用水标准。回用于场内绿化浇灌，是可行的。</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520" w:firstLineChars="200"/>
              <w:jc w:val="both"/>
              <w:textAlignment w:val="auto"/>
              <w:rPr>
                <w:rFonts w:hint="eastAsia" w:ascii="Times New Roman" w:hAnsi="Times New Roman" w:eastAsia="宋体" w:cs="Times New Roman"/>
                <w:b w:val="0"/>
                <w:bCs w:val="0"/>
                <w:snapToGrid w:val="0"/>
                <w:color w:val="auto"/>
                <w:spacing w:val="10"/>
                <w:sz w:val="24"/>
                <w:highlight w:val="none"/>
                <w:lang w:val="en-US" w:eastAsia="zh-CN"/>
              </w:rPr>
            </w:pPr>
            <w:r>
              <w:rPr>
                <w:rFonts w:hint="eastAsia" w:ascii="Times New Roman" w:hAnsi="Times New Roman" w:eastAsia="宋体" w:cs="Times New Roman"/>
                <w:b w:val="0"/>
                <w:bCs w:val="0"/>
                <w:snapToGrid w:val="0"/>
                <w:color w:val="auto"/>
                <w:spacing w:val="10"/>
                <w:sz w:val="24"/>
                <w:highlight w:val="none"/>
                <w:lang w:val="en-US" w:eastAsia="zh-CN"/>
              </w:rPr>
              <w:t>③污水处理设施规模可行性分析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rPr>
            </w:pPr>
            <w:r>
              <w:rPr>
                <w:rFonts w:ascii="Times New Roman" w:hAnsi="宋体" w:eastAsia="宋体" w:cs="Times New Roman"/>
                <w:color w:val="auto"/>
                <w:sz w:val="24"/>
              </w:rPr>
              <w:t>根据设计要求，一般隔油池水力停留时间为</w:t>
            </w:r>
            <w:r>
              <w:rPr>
                <w:rFonts w:hint="eastAsia" w:ascii="Times New Roman" w:hAnsi="宋体" w:eastAsia="宋体" w:cs="Times New Roman"/>
                <w:color w:val="auto"/>
                <w:sz w:val="24"/>
              </w:rPr>
              <w:t>3</w:t>
            </w:r>
            <w:r>
              <w:rPr>
                <w:rFonts w:ascii="Times New Roman" w:hAnsi="宋体" w:eastAsia="宋体" w:cs="Times New Roman"/>
                <w:color w:val="auto"/>
                <w:sz w:val="24"/>
              </w:rPr>
              <w:t>0min；项目食堂</w:t>
            </w:r>
            <w:r>
              <w:rPr>
                <w:rFonts w:ascii="Times New Roman" w:hAnsi="Times New Roman" w:eastAsia="宋体" w:cs="Times New Roman"/>
                <w:color w:val="auto"/>
                <w:sz w:val="24"/>
              </w:rPr>
              <w:t>废水产生量约为</w:t>
            </w:r>
            <w:r>
              <w:rPr>
                <w:rFonts w:hint="eastAsia" w:ascii="Times New Roman" w:hAnsi="Times New Roman" w:eastAsia="宋体" w:cs="Times New Roman"/>
                <w:color w:val="auto"/>
                <w:sz w:val="24"/>
              </w:rPr>
              <w:t>0</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32</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/d，拟设置隔油池有效容积</w:t>
            </w:r>
            <w:r>
              <w:rPr>
                <w:rFonts w:hint="eastAsia" w:ascii="Times New Roman" w:hAnsi="Times New Roman" w:eastAsia="宋体" w:cs="Times New Roman"/>
                <w:color w:val="auto"/>
                <w:sz w:val="24"/>
              </w:rPr>
              <w:t>1</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，完全满足隔油需要。化粪池水力停留时间一般为</w:t>
            </w:r>
            <w:r>
              <w:rPr>
                <w:rFonts w:hint="eastAsia" w:ascii="Times New Roman" w:hAnsi="Times New Roman" w:eastAsia="宋体" w:cs="Times New Roman"/>
                <w:color w:val="auto"/>
                <w:sz w:val="24"/>
              </w:rPr>
              <w:t>1</w:t>
            </w:r>
            <w:r>
              <w:rPr>
                <w:rFonts w:ascii="Times New Roman" w:hAnsi="Times New Roman" w:eastAsia="宋体" w:cs="Times New Roman"/>
                <w:color w:val="auto"/>
                <w:sz w:val="24"/>
              </w:rPr>
              <w:t>2~24h，项目其它生活污水产生量约</w:t>
            </w:r>
            <w:r>
              <w:rPr>
                <w:rFonts w:hint="eastAsia" w:ascii="Times New Roman" w:hAnsi="Times New Roman" w:eastAsia="宋体" w:cs="Times New Roman"/>
                <w:color w:val="auto"/>
                <w:sz w:val="24"/>
              </w:rPr>
              <w:t>1.28</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/d，拟设置化粪池有效容积</w:t>
            </w:r>
            <w:r>
              <w:rPr>
                <w:rFonts w:hint="eastAsia" w:ascii="Times New Roman" w:hAnsi="Times New Roman" w:eastAsia="宋体" w:cs="Times New Roman"/>
                <w:color w:val="auto"/>
                <w:sz w:val="24"/>
              </w:rPr>
              <w:t>6</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，完全可满足生活污水预处理需要。升压站内生活污水产生总量估算约</w:t>
            </w:r>
            <w:r>
              <w:rPr>
                <w:rFonts w:hint="eastAsia" w:ascii="Times New Roman" w:hAnsi="Times New Roman" w:eastAsia="宋体" w:cs="Times New Roman"/>
                <w:color w:val="auto"/>
                <w:sz w:val="24"/>
              </w:rPr>
              <w:t>1,6</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/d，拟设置的一体化污水处理系统设计处理能力5m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/d，完全满足生活污水处理需要。因此，从水量的角度分析，项目拟设污水处理设施规模满足本项目污水处理需要。</w:t>
            </w:r>
          </w:p>
          <w:p>
            <w:pPr>
              <w:spacing w:line="360" w:lineRule="auto"/>
              <w:ind w:firstLine="480" w:firstLineChars="200"/>
              <w:rPr>
                <w:rFonts w:ascii="Times New Roman" w:hAnsi="宋体" w:eastAsia="宋体" w:cs="Times New Roman"/>
                <w:color w:val="auto"/>
                <w:sz w:val="24"/>
              </w:rPr>
            </w:pPr>
            <w:r>
              <w:rPr>
                <w:rFonts w:hint="eastAsia" w:ascii="宋体" w:hAnsi="宋体" w:eastAsia="宋体" w:cs="Times New Roman"/>
                <w:color w:val="auto"/>
                <w:sz w:val="24"/>
              </w:rPr>
              <w:t>④</w:t>
            </w:r>
            <w:r>
              <w:rPr>
                <w:rFonts w:ascii="Times New Roman" w:hAnsi="宋体" w:eastAsia="宋体" w:cs="Times New Roman"/>
                <w:color w:val="auto"/>
                <w:sz w:val="24"/>
              </w:rPr>
              <w:t>回用可行性分析</w:t>
            </w:r>
          </w:p>
          <w:p>
            <w:pPr>
              <w:spacing w:line="360" w:lineRule="auto"/>
              <w:ind w:firstLine="480" w:firstLineChars="200"/>
              <w:rPr>
                <w:rFonts w:ascii="Times New Roman" w:hAnsi="Times New Roman" w:eastAsia="宋体" w:cs="Times New Roman"/>
                <w:color w:val="auto"/>
                <w:sz w:val="24"/>
              </w:rPr>
            </w:pPr>
            <w:r>
              <w:rPr>
                <w:rFonts w:hint="eastAsia" w:ascii="Times New Roman" w:hAnsi="宋体" w:eastAsia="宋体" w:cs="Times New Roman"/>
                <w:color w:val="auto"/>
                <w:sz w:val="24"/>
              </w:rPr>
              <w:t>项目升压站绿化面积共</w:t>
            </w:r>
            <w:r>
              <w:rPr>
                <w:rFonts w:ascii="Times New Roman" w:hAnsi="宋体" w:eastAsia="宋体" w:cs="Times New Roman"/>
                <w:color w:val="auto"/>
                <w:sz w:val="24"/>
              </w:rPr>
              <w:t>400m</w:t>
            </w:r>
            <w:r>
              <w:rPr>
                <w:rFonts w:ascii="Times New Roman" w:hAnsi="宋体" w:eastAsia="宋体" w:cs="Times New Roman"/>
                <w:color w:val="auto"/>
                <w:sz w:val="24"/>
                <w:vertAlign w:val="superscript"/>
              </w:rPr>
              <w:t>2</w:t>
            </w:r>
            <w:r>
              <w:rPr>
                <w:rFonts w:ascii="Times New Roman" w:hAnsi="宋体" w:eastAsia="宋体" w:cs="Times New Roman"/>
                <w:color w:val="auto"/>
                <w:sz w:val="24"/>
              </w:rPr>
              <w:t>。参照</w:t>
            </w:r>
            <w:r>
              <w:rPr>
                <w:rFonts w:ascii="Times New Roman" w:hAnsi="Times New Roman" w:eastAsia="宋体" w:cs="Times New Roman"/>
                <w:color w:val="auto"/>
                <w:sz w:val="24"/>
              </w:rPr>
              <w:t>《云南省地方标准</w:t>
            </w:r>
            <w:r>
              <w:rPr>
                <w:rFonts w:hint="eastAsia" w:ascii="Times New Roman" w:hAnsi="Times New Roman" w:eastAsia="宋体" w:cs="Times New Roman"/>
                <w:color w:val="auto"/>
                <w:sz w:val="24"/>
              </w:rPr>
              <w:t xml:space="preserve"> </w:t>
            </w:r>
            <w:r>
              <w:rPr>
                <w:rFonts w:ascii="Times New Roman" w:hAnsi="Times New Roman" w:eastAsia="宋体" w:cs="Times New Roman"/>
                <w:color w:val="auto"/>
                <w:sz w:val="24"/>
              </w:rPr>
              <w:t>用水定额》</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DB53/T168-2019</w:t>
            </w:r>
            <w:r>
              <w:rPr>
                <w:rFonts w:hint="eastAsia" w:ascii="Times New Roman" w:hAnsi="Times New Roman" w:eastAsia="宋体" w:cs="Times New Roman"/>
                <w:color w:val="auto"/>
                <w:sz w:val="24"/>
              </w:rPr>
              <w:t>），绿化灌溉用水量以3L/（m</w:t>
            </w:r>
            <w:r>
              <w:rPr>
                <w:rFonts w:ascii="Times New Roman" w:hAnsi="Times New Roman" w:eastAsia="宋体" w:cs="Times New Roman"/>
                <w:color w:val="auto"/>
                <w:sz w:val="24"/>
                <w:vertAlign w:val="superscript"/>
              </w:rPr>
              <w:t>2</w:t>
            </w:r>
            <w:r>
              <w:rPr>
                <w:rFonts w:hint="eastAsia" w:ascii="Times New Roman" w:hAnsi="Times New Roman" w:eastAsia="宋体" w:cs="Times New Roman"/>
                <w:color w:val="auto"/>
                <w:sz w:val="24"/>
              </w:rPr>
              <w:t>•次）计；绿化浇灌频率按非雨天每天浇灌一次，全站绿化需用水量为</w:t>
            </w:r>
            <w:r>
              <w:rPr>
                <w:rFonts w:ascii="Times New Roman" w:hAnsi="Times New Roman" w:eastAsia="宋体" w:cs="Times New Roman"/>
                <w:color w:val="auto"/>
                <w:sz w:val="24"/>
              </w:rPr>
              <w:t>1.2</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/d。项目中水产生量约为</w:t>
            </w:r>
            <w:r>
              <w:rPr>
                <w:rFonts w:ascii="Times New Roman" w:hAnsi="Times New Roman" w:eastAsia="宋体" w:cs="Times New Roman"/>
                <w:color w:val="auto"/>
                <w:sz w:val="24"/>
              </w:rPr>
              <w:t>0.8m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/d，</w:t>
            </w:r>
            <w:r>
              <w:rPr>
                <w:rFonts w:hint="eastAsia" w:ascii="Times New Roman" w:hAnsi="Times New Roman" w:eastAsia="宋体" w:cs="Times New Roman"/>
                <w:color w:val="auto"/>
                <w:sz w:val="24"/>
              </w:rPr>
              <w:t>非雨天可全部回用</w:t>
            </w:r>
            <w:r>
              <w:rPr>
                <w:rFonts w:ascii="Times New Roman" w:hAnsi="Times New Roman" w:eastAsia="宋体" w:cs="Times New Roman"/>
                <w:color w:val="auto"/>
                <w:sz w:val="24"/>
              </w:rPr>
              <w:t>。</w:t>
            </w:r>
          </w:p>
          <w:p>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项目内应设置1个回用水池，雨天时污水处理系统出水进入回用水池收集后，待非雨天逐步回用。根据相关气象资料，元谋县一般连续降雨天数较短，按满足连续1</w:t>
            </w:r>
            <w:r>
              <w:rPr>
                <w:rFonts w:ascii="Times New Roman" w:hAnsi="Times New Roman" w:eastAsia="宋体" w:cs="Times New Roman"/>
                <w:color w:val="auto"/>
                <w:sz w:val="24"/>
              </w:rPr>
              <w:t>0</w:t>
            </w:r>
            <w:r>
              <w:rPr>
                <w:rFonts w:hint="eastAsia" w:ascii="Times New Roman" w:hAnsi="Times New Roman" w:eastAsia="宋体" w:cs="Times New Roman"/>
                <w:color w:val="auto"/>
                <w:sz w:val="24"/>
              </w:rPr>
              <w:t>天的中水储存量计算，回用水池容积应不小于8</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w:t>
            </w:r>
          </w:p>
          <w:p>
            <w:pPr>
              <w:adjustRightInd w:val="0"/>
              <w:snapToGrid w:val="0"/>
              <w:spacing w:line="360" w:lineRule="auto"/>
              <w:ind w:firstLine="482" w:firstLineChars="200"/>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（2）电池板区域雨水及清洁废水</w:t>
            </w:r>
          </w:p>
          <w:p>
            <w:pPr>
              <w:adjustRightInd w:val="0"/>
              <w:snapToGrid w:val="0"/>
              <w:spacing w:line="360" w:lineRule="auto"/>
              <w:ind w:firstLine="482" w:firstLineChars="200"/>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1）电池板清洁废水</w:t>
            </w:r>
          </w:p>
          <w:p>
            <w:pPr>
              <w:autoSpaceDE w:val="0"/>
              <w:autoSpaceDN w:val="0"/>
              <w:spacing w:line="360" w:lineRule="auto"/>
              <w:ind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太阳电池组件周围环境所产生的灰尘及杂物随着空气的流动，会附着在电池组件的表面，影响其光电的转换效率，降低其使用性能。如果树叶、鸟粪粘在其表面还会引起太阳电池局部发热而烧坏组件。据相关文献报道，该项因素会对光伏组件的输出功率产生约</w:t>
            </w:r>
            <w:r>
              <w:rPr>
                <w:rFonts w:hint="default" w:ascii="Times New Roman" w:hAnsi="Times New Roman" w:eastAsia="宋体"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val="en-US" w:eastAsia="zh-CN"/>
              </w:rPr>
              <w:t>的影响。因此，需对太阳能电池组件表面进行定期清洗。在旱季的时候，为保证太阳能电池组件的正常工作，通过人工清洗（用人工</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抹布带水擦拭光伏电池板，分片区清洗）光伏电池板表面的尘埃，减少灰尘、杂物对太阳电池组件发电的影响。</w:t>
            </w:r>
          </w:p>
          <w:p>
            <w:pPr>
              <w:autoSpaceDE w:val="0"/>
              <w:autoSpaceDN w:val="0"/>
              <w:spacing w:line="360" w:lineRule="auto"/>
              <w:ind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rPr>
              <w:t>在旱季的时候，为保证太阳能电池组件的正常工作，可通过人工擦拭，减少灰尘、杂物对太阳电池组件发电的影响。根据实际情况，每年在旱季需要清洁一次，清洁方式为用湿布擦拭或者玻璃刮刀进行清洁，且不使用清洁液清洁。用水量以2L/m</w:t>
            </w:r>
            <w:r>
              <w:rPr>
                <w:rFonts w:hint="eastAsia"/>
                <w:color w:val="auto"/>
                <w:sz w:val="24"/>
                <w:vertAlign w:val="superscript"/>
              </w:rPr>
              <w:t>2</w:t>
            </w:r>
            <w:r>
              <w:rPr>
                <w:rFonts w:hint="eastAsia"/>
                <w:color w:val="auto"/>
                <w:sz w:val="24"/>
              </w:rPr>
              <w:t>计，本项目共有太阳能</w:t>
            </w:r>
            <w:r>
              <w:rPr>
                <w:color w:val="auto"/>
                <w:sz w:val="24"/>
              </w:rPr>
              <w:t>电池板</w:t>
            </w:r>
            <w:r>
              <w:rPr>
                <w:rFonts w:hint="eastAsia"/>
                <w:color w:val="auto"/>
                <w:sz w:val="24"/>
                <w:lang w:val="en-US" w:eastAsia="zh-CN"/>
              </w:rPr>
              <w:t>387772</w:t>
            </w:r>
            <w:r>
              <w:rPr>
                <w:rFonts w:hint="eastAsia"/>
                <w:color w:val="auto"/>
                <w:sz w:val="24"/>
              </w:rPr>
              <w:t>块，每块</w:t>
            </w:r>
            <w:r>
              <w:rPr>
                <w:color w:val="auto"/>
                <w:sz w:val="24"/>
              </w:rPr>
              <w:t>电池板</w:t>
            </w:r>
            <w:r>
              <w:rPr>
                <w:rFonts w:hint="eastAsia"/>
                <w:color w:val="auto"/>
                <w:sz w:val="24"/>
              </w:rPr>
              <w:t>面积</w:t>
            </w:r>
            <w:r>
              <w:rPr>
                <w:rFonts w:hint="eastAsia"/>
                <w:color w:val="auto"/>
                <w:sz w:val="24"/>
                <w:lang w:val="en-US" w:eastAsia="zh-CN"/>
              </w:rPr>
              <w:t>约为</w:t>
            </w:r>
            <w:r>
              <w:rPr>
                <w:rFonts w:hint="eastAsia"/>
                <w:color w:val="auto"/>
                <w:sz w:val="24"/>
              </w:rPr>
              <w:t>2</w:t>
            </w:r>
            <w:r>
              <w:rPr>
                <w:color w:val="auto"/>
                <w:sz w:val="24"/>
              </w:rPr>
              <w:t>.5</w:t>
            </w:r>
            <w:r>
              <w:rPr>
                <w:rFonts w:hint="eastAsia"/>
                <w:color w:val="auto"/>
                <w:sz w:val="24"/>
                <w:lang w:val="en-US" w:eastAsia="zh-CN"/>
              </w:rPr>
              <w:t>83</w:t>
            </w:r>
            <w:r>
              <w:rPr>
                <w:color w:val="auto"/>
                <w:sz w:val="24"/>
              </w:rPr>
              <w:t>m</w:t>
            </w:r>
            <w:r>
              <w:rPr>
                <w:color w:val="auto"/>
                <w:sz w:val="24"/>
                <w:vertAlign w:val="superscript"/>
              </w:rPr>
              <w:t>2</w:t>
            </w:r>
            <w:r>
              <w:rPr>
                <w:color w:val="auto"/>
                <w:sz w:val="24"/>
              </w:rPr>
              <w:t>，光伏场区所有电池板的总面积共</w:t>
            </w:r>
            <w:r>
              <w:rPr>
                <w:rFonts w:hint="eastAsia"/>
                <w:color w:val="auto"/>
                <w:sz w:val="24"/>
                <w:lang w:val="en-US" w:eastAsia="zh-CN"/>
              </w:rPr>
              <w:t>1001615.08</w:t>
            </w:r>
            <w:r>
              <w:rPr>
                <w:color w:val="auto"/>
                <w:sz w:val="24"/>
              </w:rPr>
              <w:t>m</w:t>
            </w:r>
            <w:r>
              <w:rPr>
                <w:color w:val="auto"/>
                <w:sz w:val="24"/>
                <w:vertAlign w:val="superscript"/>
              </w:rPr>
              <w:t>2</w:t>
            </w:r>
            <w:r>
              <w:rPr>
                <w:rFonts w:hint="eastAsia"/>
                <w:color w:val="auto"/>
                <w:sz w:val="24"/>
              </w:rPr>
              <w:t>，则每次清洁用水量为</w:t>
            </w:r>
            <w:r>
              <w:rPr>
                <w:rFonts w:hint="eastAsia"/>
                <w:color w:val="auto"/>
                <w:sz w:val="24"/>
                <w:lang w:val="en-US" w:eastAsia="zh-CN"/>
              </w:rPr>
              <w:t>2003.23</w:t>
            </w:r>
            <w:r>
              <w:rPr>
                <w:rFonts w:hint="eastAsia"/>
                <w:color w:val="auto"/>
                <w:sz w:val="24"/>
              </w:rPr>
              <w:t>m</w:t>
            </w:r>
            <w:r>
              <w:rPr>
                <w:rFonts w:hint="eastAsia"/>
                <w:color w:val="auto"/>
                <w:sz w:val="24"/>
                <w:vertAlign w:val="superscript"/>
              </w:rPr>
              <w:t>3</w:t>
            </w:r>
            <w:r>
              <w:rPr>
                <w:rFonts w:hint="eastAsia"/>
                <w:color w:val="auto"/>
                <w:sz w:val="24"/>
              </w:rPr>
              <w:t>。每次清洁电池板约需15天，每天清洁用水量为1</w:t>
            </w:r>
            <w:r>
              <w:rPr>
                <w:rFonts w:hint="eastAsia"/>
                <w:color w:val="auto"/>
                <w:sz w:val="24"/>
                <w:lang w:val="en-US" w:eastAsia="zh-CN"/>
              </w:rPr>
              <w:t>33.55</w:t>
            </w:r>
            <w:r>
              <w:rPr>
                <w:rFonts w:hint="eastAsia"/>
                <w:color w:val="auto"/>
                <w:sz w:val="24"/>
              </w:rPr>
              <w:t>m</w:t>
            </w:r>
            <w:r>
              <w:rPr>
                <w:rFonts w:hint="eastAsia"/>
                <w:color w:val="auto"/>
                <w:sz w:val="24"/>
                <w:vertAlign w:val="superscript"/>
              </w:rPr>
              <w:t>3</w:t>
            </w:r>
            <w:r>
              <w:rPr>
                <w:rFonts w:hint="eastAsia"/>
                <w:color w:val="auto"/>
                <w:sz w:val="24"/>
              </w:rPr>
              <w:t>/d，废水产生量按用水量的90%计算，</w:t>
            </w:r>
            <w:r>
              <w:rPr>
                <w:rFonts w:hint="eastAsia"/>
                <w:color w:val="auto"/>
                <w:sz w:val="24"/>
                <w:lang w:val="en-US" w:eastAsia="zh-CN"/>
              </w:rPr>
              <w:t>1802.91</w:t>
            </w:r>
            <w:r>
              <w:rPr>
                <w:rFonts w:hint="eastAsia"/>
                <w:color w:val="auto"/>
                <w:sz w:val="24"/>
              </w:rPr>
              <w:t>m</w:t>
            </w:r>
            <w:r>
              <w:rPr>
                <w:rFonts w:hint="eastAsia"/>
                <w:color w:val="auto"/>
                <w:sz w:val="24"/>
                <w:vertAlign w:val="superscript"/>
              </w:rPr>
              <w:t>3</w:t>
            </w:r>
            <w:r>
              <w:rPr>
                <w:rFonts w:hint="eastAsia"/>
                <w:color w:val="auto"/>
                <w:sz w:val="24"/>
              </w:rPr>
              <w:t>/a，每天产生的清洁废水量为</w:t>
            </w:r>
            <w:r>
              <w:rPr>
                <w:rFonts w:hint="eastAsia"/>
                <w:color w:val="auto"/>
                <w:sz w:val="24"/>
                <w:lang w:val="en-US" w:eastAsia="zh-CN"/>
              </w:rPr>
              <w:t>120.19</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主要污染物为SS。</w:t>
            </w:r>
            <w:r>
              <w:rPr>
                <w:rFonts w:hint="eastAsia"/>
                <w:color w:val="auto"/>
                <w:sz w:val="24"/>
              </w:rPr>
              <w:t>清洁废水用于浇灌电池板下方的植物，用不完的暂存于蓄水池内，本项目共布设</w:t>
            </w:r>
            <w:r>
              <w:rPr>
                <w:rFonts w:hint="eastAsia"/>
                <w:color w:val="auto"/>
                <w:sz w:val="24"/>
                <w:lang w:val="en-US" w:eastAsia="zh-CN"/>
              </w:rPr>
              <w:t>3</w:t>
            </w:r>
            <w:r>
              <w:rPr>
                <w:rFonts w:hint="eastAsia"/>
                <w:color w:val="auto"/>
                <w:sz w:val="24"/>
              </w:rPr>
              <w:t>座水窖（每个片区不少于1个），均位于低洼汇水区域。蓄水池容量规格为25m</w:t>
            </w:r>
            <w:r>
              <w:rPr>
                <w:rFonts w:hint="eastAsia"/>
                <w:color w:val="auto"/>
                <w:sz w:val="24"/>
                <w:vertAlign w:val="superscript"/>
              </w:rPr>
              <w:t>3</w:t>
            </w:r>
            <w:r>
              <w:rPr>
                <w:rFonts w:hint="eastAsia"/>
                <w:color w:val="auto"/>
                <w:sz w:val="24"/>
              </w:rPr>
              <w:t>。</w:t>
            </w:r>
          </w:p>
          <w:p>
            <w:pPr>
              <w:adjustRightInd w:val="0"/>
              <w:snapToGrid w:val="0"/>
              <w:spacing w:line="360" w:lineRule="auto"/>
              <w:ind w:firstLine="482" w:firstLineChars="200"/>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3、</w:t>
            </w:r>
            <w:r>
              <w:rPr>
                <w:rFonts w:hint="eastAsia" w:ascii="Times New Roman" w:hAnsi="Times New Roman" w:eastAsia="宋体" w:cs="Times New Roman"/>
                <w:b/>
                <w:bCs/>
                <w:color w:val="auto"/>
                <w:sz w:val="24"/>
              </w:rPr>
              <w:t>运营期声环境影响分析</w:t>
            </w:r>
          </w:p>
          <w:p>
            <w:pPr>
              <w:spacing w:line="360" w:lineRule="auto"/>
              <w:ind w:firstLine="480"/>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（1）光伏场区</w:t>
            </w:r>
          </w:p>
          <w:p>
            <w:pPr>
              <w:pStyle w:val="37"/>
              <w:ind w:firstLine="480"/>
              <w:rPr>
                <w:rFonts w:ascii="Times New Roman" w:hAnsi="Times New Roman" w:eastAsia="宋体" w:cs="Times New Roman"/>
                <w:color w:val="auto"/>
              </w:rPr>
            </w:pPr>
            <w:r>
              <w:rPr>
                <w:rFonts w:ascii="Times New Roman" w:hAnsi="Times New Roman" w:eastAsia="宋体" w:cs="Times New Roman"/>
                <w:color w:val="auto"/>
              </w:rPr>
              <w:t>电站光伏发电场区各主体设备基本没有机械传动或运动部件，</w:t>
            </w:r>
            <w:r>
              <w:rPr>
                <w:rFonts w:hint="eastAsia" w:ascii="Times New Roman" w:hAnsi="Times New Roman" w:eastAsia="宋体" w:cs="Times New Roman"/>
                <w:color w:val="auto"/>
              </w:rPr>
              <w:t>场内仅逆变器、箱式变压器运行时有噪声产生，源强在5</w:t>
            </w:r>
            <w:r>
              <w:rPr>
                <w:rFonts w:ascii="Times New Roman" w:hAnsi="Times New Roman" w:eastAsia="宋体" w:cs="Times New Roman"/>
                <w:color w:val="auto"/>
              </w:rPr>
              <w:t>5~6</w:t>
            </w:r>
            <w:r>
              <w:rPr>
                <w:rFonts w:hint="eastAsia" w:cs="Times New Roman"/>
                <w:color w:val="auto"/>
                <w:lang w:val="en-US" w:eastAsia="zh-CN"/>
              </w:rPr>
              <w:t>5</w:t>
            </w:r>
            <w:r>
              <w:rPr>
                <w:rFonts w:ascii="Times New Roman" w:hAnsi="Times New Roman" w:eastAsia="宋体" w:cs="Times New Roman"/>
                <w:color w:val="auto"/>
              </w:rPr>
              <w:t>dB(A</w:t>
            </w:r>
            <w:r>
              <w:rPr>
                <w:rFonts w:hint="eastAsia" w:ascii="Times New Roman" w:hAnsi="Times New Roman" w:eastAsia="宋体" w:cs="Times New Roman"/>
                <w:color w:val="auto"/>
              </w:rPr>
              <w:t>)。</w:t>
            </w:r>
            <w:r>
              <w:rPr>
                <w:rFonts w:ascii="Times New Roman" w:hAnsi="Times New Roman" w:eastAsia="宋体" w:cs="Times New Roman"/>
                <w:color w:val="auto"/>
              </w:rPr>
              <w:t>采用《环境影响评价技术导则声环境》（HJ2.4－2009）室外点声源预测模式，噪声源随传播距离的衰减按下式计算：</w:t>
            </w:r>
          </w:p>
          <w:p>
            <w:pPr>
              <w:adjustRightInd w:val="0"/>
              <w:snapToGrid w:val="0"/>
              <w:spacing w:line="360" w:lineRule="auto"/>
              <w:ind w:firstLine="720" w:firstLineChars="300"/>
              <w:jc w:val="center"/>
              <w:rPr>
                <w:rFonts w:ascii="Times New Roman" w:hAnsi="Times New Roman" w:eastAsia="宋体" w:cs="Times New Roman"/>
                <w:color w:val="auto"/>
                <w:sz w:val="24"/>
              </w:rPr>
            </w:pPr>
            <w:r>
              <w:rPr>
                <w:rFonts w:ascii="Times New Roman" w:hAnsi="Times New Roman" w:eastAsia="宋体" w:cs="Times New Roman"/>
                <w:color w:val="auto"/>
                <w:sz w:val="24"/>
              </w:rPr>
              <w:t>LA(r)=Lr</w:t>
            </w:r>
            <w:r>
              <w:rPr>
                <w:rFonts w:ascii="Times New Roman" w:hAnsi="Times New Roman" w:eastAsia="宋体" w:cs="Times New Roman"/>
                <w:color w:val="auto"/>
                <w:sz w:val="24"/>
                <w:vertAlign w:val="subscript"/>
              </w:rPr>
              <w:t>0</w:t>
            </w:r>
            <w:r>
              <w:rPr>
                <w:rFonts w:ascii="Times New Roman" w:hAnsi="Times New Roman" w:eastAsia="宋体" w:cs="Times New Roman"/>
                <w:color w:val="auto"/>
                <w:sz w:val="24"/>
              </w:rPr>
              <w:t>-20lg(r/r</w:t>
            </w:r>
            <w:r>
              <w:rPr>
                <w:rFonts w:ascii="Times New Roman" w:hAnsi="Times New Roman" w:eastAsia="宋体" w:cs="Times New Roman"/>
                <w:color w:val="auto"/>
                <w:sz w:val="24"/>
                <w:vertAlign w:val="subscript"/>
              </w:rPr>
              <w:t>0</w:t>
            </w:r>
            <w:r>
              <w:rPr>
                <w:rFonts w:ascii="Times New Roman" w:hAnsi="Times New Roman" w:eastAsia="宋体" w:cs="Times New Roman"/>
                <w:color w:val="auto"/>
                <w:sz w:val="24"/>
              </w:rPr>
              <w:t>)-△L</w:t>
            </w:r>
          </w:p>
          <w:p>
            <w:pPr>
              <w:autoSpaceDE w:val="0"/>
              <w:autoSpaceDN w:val="0"/>
              <w:adjustRightInd w:val="0"/>
              <w:snapToGrid w:val="0"/>
              <w:spacing w:line="360" w:lineRule="auto"/>
              <w:ind w:firstLine="480"/>
              <w:jc w:val="left"/>
              <w:rPr>
                <w:rFonts w:ascii="Times New Roman" w:hAnsi="Times New Roman" w:eastAsia="宋体" w:cs="Times New Roman"/>
                <w:color w:val="auto"/>
                <w:sz w:val="24"/>
              </w:rPr>
            </w:pPr>
            <w:r>
              <w:rPr>
                <w:rFonts w:ascii="Times New Roman" w:hAnsi="Times New Roman" w:eastAsia="宋体" w:cs="Times New Roman"/>
                <w:color w:val="auto"/>
                <w:sz w:val="24"/>
              </w:rPr>
              <w:t>式中：LA(r)---距声源r</w:t>
            </w:r>
            <w:r>
              <w:rPr>
                <w:rFonts w:hint="eastAsia" w:ascii="Times New Roman" w:hAnsi="Times New Roman" w:eastAsia="宋体" w:cs="Times New Roman"/>
                <w:color w:val="auto"/>
                <w:sz w:val="24"/>
              </w:rPr>
              <w:t>米</w:t>
            </w:r>
            <w:r>
              <w:rPr>
                <w:rFonts w:ascii="Times New Roman" w:hAnsi="Times New Roman" w:eastAsia="宋体" w:cs="Times New Roman"/>
                <w:color w:val="auto"/>
                <w:sz w:val="24"/>
              </w:rPr>
              <w:t>处受声点的A声级；</w:t>
            </w:r>
          </w:p>
          <w:p>
            <w:pPr>
              <w:autoSpaceDE w:val="0"/>
              <w:autoSpaceDN w:val="0"/>
              <w:adjustRightInd w:val="0"/>
              <w:snapToGrid w:val="0"/>
              <w:spacing w:line="360" w:lineRule="auto"/>
              <w:ind w:firstLine="1200" w:firstLineChars="500"/>
              <w:jc w:val="left"/>
              <w:rPr>
                <w:rFonts w:ascii="Times New Roman" w:hAnsi="Times New Roman" w:eastAsia="宋体" w:cs="Times New Roman"/>
                <w:color w:val="auto"/>
                <w:sz w:val="24"/>
              </w:rPr>
            </w:pPr>
            <w:r>
              <w:rPr>
                <w:rFonts w:ascii="Times New Roman" w:hAnsi="Times New Roman" w:eastAsia="宋体" w:cs="Times New Roman"/>
                <w:color w:val="auto"/>
                <w:sz w:val="24"/>
              </w:rPr>
              <w:t>Lr</w:t>
            </w:r>
            <w:r>
              <w:rPr>
                <w:rFonts w:ascii="Times New Roman" w:hAnsi="Times New Roman" w:eastAsia="宋体" w:cs="Times New Roman"/>
                <w:color w:val="auto"/>
                <w:sz w:val="24"/>
                <w:vertAlign w:val="subscript"/>
              </w:rPr>
              <w:t>0</w:t>
            </w:r>
            <w:r>
              <w:rPr>
                <w:rFonts w:ascii="Times New Roman" w:hAnsi="Times New Roman" w:eastAsia="宋体" w:cs="Times New Roman"/>
                <w:color w:val="auto"/>
                <w:sz w:val="24"/>
              </w:rPr>
              <w:t>----参考点声源强度；</w:t>
            </w:r>
          </w:p>
          <w:p>
            <w:pPr>
              <w:autoSpaceDE w:val="0"/>
              <w:autoSpaceDN w:val="0"/>
              <w:adjustRightInd w:val="0"/>
              <w:snapToGrid w:val="0"/>
              <w:spacing w:line="360" w:lineRule="auto"/>
              <w:ind w:firstLine="1200" w:firstLineChars="500"/>
              <w:jc w:val="left"/>
              <w:rPr>
                <w:rFonts w:ascii="Times New Roman" w:hAnsi="Times New Roman" w:eastAsia="宋体" w:cs="Times New Roman"/>
                <w:color w:val="auto"/>
                <w:sz w:val="24"/>
              </w:rPr>
            </w:pPr>
            <w:r>
              <w:rPr>
                <w:rFonts w:ascii="Times New Roman" w:hAnsi="Times New Roman" w:eastAsia="宋体" w:cs="Times New Roman"/>
                <w:color w:val="auto"/>
                <w:sz w:val="24"/>
              </w:rPr>
              <w:t>r-----预测受声点与源之间的距离（m）；</w:t>
            </w:r>
          </w:p>
          <w:p>
            <w:pPr>
              <w:autoSpaceDE w:val="0"/>
              <w:autoSpaceDN w:val="0"/>
              <w:adjustRightInd w:val="0"/>
              <w:snapToGrid w:val="0"/>
              <w:spacing w:line="360" w:lineRule="auto"/>
              <w:ind w:firstLine="1200" w:firstLineChars="500"/>
              <w:jc w:val="left"/>
              <w:rPr>
                <w:rFonts w:ascii="Times New Roman" w:hAnsi="Times New Roman" w:eastAsia="宋体" w:cs="Times New Roman"/>
                <w:color w:val="auto"/>
                <w:sz w:val="24"/>
              </w:rPr>
            </w:pPr>
            <w:r>
              <w:rPr>
                <w:rFonts w:ascii="Times New Roman" w:hAnsi="Times New Roman" w:eastAsia="宋体" w:cs="Times New Roman"/>
                <w:color w:val="auto"/>
                <w:sz w:val="24"/>
              </w:rPr>
              <w:t>r</w:t>
            </w:r>
            <w:r>
              <w:rPr>
                <w:rFonts w:ascii="Times New Roman" w:hAnsi="Times New Roman" w:eastAsia="宋体" w:cs="Times New Roman"/>
                <w:color w:val="auto"/>
                <w:sz w:val="24"/>
                <w:vertAlign w:val="subscript"/>
              </w:rPr>
              <w:t>0</w:t>
            </w:r>
            <w:r>
              <w:rPr>
                <w:rFonts w:ascii="Times New Roman" w:hAnsi="Times New Roman" w:eastAsia="宋体" w:cs="Times New Roman"/>
                <w:color w:val="auto"/>
                <w:sz w:val="24"/>
              </w:rPr>
              <w:t>-----参考点与源之间的距离（m）。</w:t>
            </w:r>
          </w:p>
          <w:p>
            <w:pPr>
              <w:snapToGrid w:val="0"/>
              <w:spacing w:line="360" w:lineRule="auto"/>
              <w:ind w:firstLine="1200" w:firstLineChars="500"/>
              <w:jc w:val="left"/>
              <w:rPr>
                <w:rFonts w:ascii="Times New Roman" w:hAnsi="Times New Roman" w:eastAsia="宋体" w:cs="Times New Roman"/>
                <w:color w:val="auto"/>
                <w:sz w:val="24"/>
              </w:rPr>
            </w:pPr>
            <w:r>
              <w:rPr>
                <w:rFonts w:ascii="Times New Roman" w:hAnsi="Times New Roman" w:eastAsia="宋体" w:cs="Times New Roman"/>
                <w:color w:val="auto"/>
                <w:sz w:val="24"/>
              </w:rPr>
              <w:t>△L---其它衰减因素</w:t>
            </w:r>
          </w:p>
          <w:p>
            <w:pPr>
              <w:spacing w:line="360" w:lineRule="auto"/>
              <w:jc w:val="center"/>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表4.</w:t>
            </w:r>
            <w:r>
              <w:rPr>
                <w:rFonts w:hint="eastAsia" w:cs="Times New Roman"/>
                <w:b/>
                <w:bCs/>
                <w:color w:val="auto"/>
                <w:sz w:val="24"/>
                <w:lang w:val="en-US" w:eastAsia="zh-CN"/>
              </w:rPr>
              <w:t>3</w:t>
            </w:r>
            <w:r>
              <w:rPr>
                <w:rFonts w:hint="eastAsia" w:ascii="Times New Roman" w:hAnsi="Times New Roman" w:eastAsia="宋体" w:cs="Times New Roman"/>
                <w:b/>
                <w:bCs/>
                <w:color w:val="auto"/>
                <w:sz w:val="24"/>
              </w:rPr>
              <w:t>-2</w:t>
            </w:r>
            <w:r>
              <w:rPr>
                <w:rFonts w:ascii="Times New Roman" w:hAnsi="Times New Roman" w:eastAsia="宋体" w:cs="Times New Roman"/>
                <w:b/>
                <w:bCs/>
                <w:color w:val="auto"/>
                <w:sz w:val="24"/>
              </w:rPr>
              <w:t xml:space="preserve">  </w:t>
            </w:r>
            <w:r>
              <w:rPr>
                <w:rFonts w:hint="eastAsia" w:ascii="Times New Roman" w:hAnsi="Times New Roman" w:eastAsia="宋体" w:cs="Times New Roman"/>
                <w:b/>
                <w:bCs/>
                <w:color w:val="auto"/>
                <w:sz w:val="24"/>
              </w:rPr>
              <w:t xml:space="preserve">光伏场区逆变器及升压站噪声贡献值预测 </w:t>
            </w:r>
            <w:r>
              <w:rPr>
                <w:rFonts w:ascii="Times New Roman" w:hAnsi="Times New Roman" w:eastAsia="宋体" w:cs="Times New Roman"/>
                <w:b/>
                <w:bCs/>
                <w:color w:val="auto"/>
                <w:sz w:val="24"/>
              </w:rPr>
              <w:t xml:space="preserve">   </w:t>
            </w:r>
            <w:r>
              <w:rPr>
                <w:rFonts w:hint="eastAsia" w:ascii="Times New Roman" w:hAnsi="Times New Roman" w:eastAsia="宋体" w:cs="Times New Roman"/>
                <w:b/>
                <w:bCs/>
                <w:color w:val="auto"/>
                <w:sz w:val="24"/>
              </w:rPr>
              <w:t>单位：d</w:t>
            </w:r>
            <w:r>
              <w:rPr>
                <w:rFonts w:ascii="Times New Roman" w:hAnsi="Times New Roman" w:eastAsia="宋体" w:cs="Times New Roman"/>
                <w:b/>
                <w:bCs/>
                <w:color w:val="auto"/>
                <w:sz w:val="24"/>
              </w:rPr>
              <w:t>B(A)</w:t>
            </w:r>
          </w:p>
          <w:tbl>
            <w:tblPr>
              <w:tblStyle w:val="18"/>
              <w:tblW w:w="4989"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773"/>
              <w:gridCol w:w="773"/>
              <w:gridCol w:w="773"/>
              <w:gridCol w:w="773"/>
              <w:gridCol w:w="773"/>
              <w:gridCol w:w="780"/>
              <w:gridCol w:w="780"/>
              <w:gridCol w:w="781"/>
              <w:gridCol w:w="77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noWrap/>
                  <w:vAlign w:val="center"/>
                </w:tcPr>
                <w:p>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距离</w:t>
                  </w:r>
                </w:p>
              </w:tc>
              <w:tc>
                <w:tcPr>
                  <w:tcW w:w="480" w:type="pct"/>
                  <w:noWrap w:val="0"/>
                  <w:vAlign w:val="center"/>
                </w:tcPr>
                <w:p>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1m</w:t>
                  </w:r>
                </w:p>
              </w:tc>
              <w:tc>
                <w:tcPr>
                  <w:tcW w:w="480" w:type="pct"/>
                  <w:noWrap w:val="0"/>
                  <w:vAlign w:val="center"/>
                </w:tcPr>
                <w:p>
                  <w:pPr>
                    <w:widowControl/>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2m</w:t>
                  </w:r>
                </w:p>
              </w:tc>
              <w:tc>
                <w:tcPr>
                  <w:tcW w:w="480" w:type="pct"/>
                  <w:noWrap w:val="0"/>
                  <w:vAlign w:val="center"/>
                </w:tcPr>
                <w:p>
                  <w:pPr>
                    <w:widowControl/>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3m</w:t>
                  </w:r>
                </w:p>
              </w:tc>
              <w:tc>
                <w:tcPr>
                  <w:tcW w:w="480" w:type="pct"/>
                  <w:noWrap w:val="0"/>
                  <w:vAlign w:val="center"/>
                </w:tcPr>
                <w:p>
                  <w:pPr>
                    <w:widowControl/>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4</w:t>
                  </w:r>
                  <w:r>
                    <w:rPr>
                      <w:rFonts w:ascii="Times New Roman" w:hAnsi="Times New Roman" w:eastAsia="宋体" w:cs="Times New Roman"/>
                      <w:b/>
                      <w:bCs/>
                      <w:color w:val="auto"/>
                      <w:kern w:val="0"/>
                      <w:szCs w:val="21"/>
                    </w:rPr>
                    <w:t>m</w:t>
                  </w:r>
                </w:p>
              </w:tc>
              <w:tc>
                <w:tcPr>
                  <w:tcW w:w="480" w:type="pct"/>
                  <w:noWrap w:val="0"/>
                  <w:vAlign w:val="center"/>
                </w:tcPr>
                <w:p>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5m</w:t>
                  </w:r>
                </w:p>
              </w:tc>
              <w:tc>
                <w:tcPr>
                  <w:tcW w:w="484" w:type="pct"/>
                  <w:noWrap w:val="0"/>
                  <w:vAlign w:val="center"/>
                </w:tcPr>
                <w:p>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10m</w:t>
                  </w:r>
                </w:p>
              </w:tc>
              <w:tc>
                <w:tcPr>
                  <w:tcW w:w="484" w:type="pct"/>
                  <w:noWrap w:val="0"/>
                  <w:vAlign w:val="center"/>
                </w:tcPr>
                <w:p>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15m</w:t>
                  </w:r>
                </w:p>
              </w:tc>
              <w:tc>
                <w:tcPr>
                  <w:tcW w:w="484" w:type="pct"/>
                  <w:noWrap w:val="0"/>
                  <w:vAlign w:val="center"/>
                </w:tcPr>
                <w:p>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20m</w:t>
                  </w:r>
                </w:p>
              </w:tc>
              <w:tc>
                <w:tcPr>
                  <w:tcW w:w="483" w:type="pct"/>
                  <w:noWrap w:val="0"/>
                  <w:vAlign w:val="center"/>
                </w:tcPr>
                <w:p>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25m</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noWrap w:val="0"/>
                  <w:vAlign w:val="center"/>
                </w:tcPr>
                <w:p>
                  <w:pPr>
                    <w:widowControl/>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逆变器</w:t>
                  </w:r>
                </w:p>
              </w:tc>
              <w:tc>
                <w:tcPr>
                  <w:tcW w:w="480" w:type="pct"/>
                  <w:noWrap/>
                  <w:vAlign w:val="center"/>
                </w:tcPr>
                <w:p>
                  <w:pPr>
                    <w:widowControl/>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5</w:t>
                  </w:r>
                  <w:r>
                    <w:rPr>
                      <w:rFonts w:ascii="Times New Roman" w:hAnsi="Times New Roman" w:eastAsia="宋体" w:cs="Times New Roman"/>
                      <w:color w:val="auto"/>
                      <w:kern w:val="0"/>
                      <w:szCs w:val="21"/>
                    </w:rPr>
                    <w:t>5.0</w:t>
                  </w:r>
                </w:p>
              </w:tc>
              <w:tc>
                <w:tcPr>
                  <w:tcW w:w="480" w:type="pct"/>
                  <w:noWrap w:val="0"/>
                  <w:vAlign w:val="center"/>
                </w:tcPr>
                <w:p>
                  <w:pPr>
                    <w:widowControl/>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w:t>
                  </w:r>
                  <w:r>
                    <w:rPr>
                      <w:rFonts w:ascii="Times New Roman" w:hAnsi="Times New Roman" w:eastAsia="宋体" w:cs="Times New Roman"/>
                      <w:color w:val="auto"/>
                      <w:kern w:val="0"/>
                      <w:szCs w:val="21"/>
                    </w:rPr>
                    <w:t>9.0</w:t>
                  </w:r>
                </w:p>
              </w:tc>
              <w:tc>
                <w:tcPr>
                  <w:tcW w:w="480" w:type="pct"/>
                  <w:noWrap w:val="0"/>
                  <w:vAlign w:val="center"/>
                </w:tcPr>
                <w:p>
                  <w:pPr>
                    <w:widowControl/>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w:t>
                  </w:r>
                  <w:r>
                    <w:rPr>
                      <w:rFonts w:ascii="Times New Roman" w:hAnsi="Times New Roman" w:eastAsia="宋体" w:cs="Times New Roman"/>
                      <w:color w:val="auto"/>
                      <w:kern w:val="0"/>
                      <w:szCs w:val="21"/>
                    </w:rPr>
                    <w:t>5.5</w:t>
                  </w:r>
                </w:p>
              </w:tc>
              <w:tc>
                <w:tcPr>
                  <w:tcW w:w="480" w:type="pct"/>
                  <w:noWrap w:val="0"/>
                  <w:vAlign w:val="center"/>
                </w:tcPr>
                <w:p>
                  <w:pPr>
                    <w:widowControl/>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w:t>
                  </w:r>
                  <w:r>
                    <w:rPr>
                      <w:rFonts w:ascii="Times New Roman" w:hAnsi="Times New Roman" w:eastAsia="宋体" w:cs="Times New Roman"/>
                      <w:color w:val="auto"/>
                      <w:kern w:val="0"/>
                      <w:szCs w:val="21"/>
                    </w:rPr>
                    <w:t>3.0</w:t>
                  </w:r>
                </w:p>
              </w:tc>
              <w:tc>
                <w:tcPr>
                  <w:tcW w:w="480" w:type="pct"/>
                  <w:noWrap/>
                  <w:vAlign w:val="center"/>
                </w:tcPr>
                <w:p>
                  <w:pPr>
                    <w:widowControl/>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w:t>
                  </w:r>
                  <w:r>
                    <w:rPr>
                      <w:rFonts w:ascii="Times New Roman" w:hAnsi="Times New Roman" w:eastAsia="宋体" w:cs="Times New Roman"/>
                      <w:color w:val="auto"/>
                      <w:kern w:val="0"/>
                      <w:szCs w:val="21"/>
                    </w:rPr>
                    <w:t>1.0</w:t>
                  </w:r>
                </w:p>
              </w:tc>
              <w:tc>
                <w:tcPr>
                  <w:tcW w:w="484" w:type="pct"/>
                  <w:noWrap/>
                  <w:vAlign w:val="center"/>
                </w:tcPr>
                <w:p>
                  <w:pPr>
                    <w:widowControl/>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w:t>
                  </w:r>
                  <w:r>
                    <w:rPr>
                      <w:rFonts w:ascii="Times New Roman" w:hAnsi="Times New Roman" w:eastAsia="宋体" w:cs="Times New Roman"/>
                      <w:color w:val="auto"/>
                      <w:kern w:val="0"/>
                      <w:szCs w:val="21"/>
                    </w:rPr>
                    <w:t>5.0</w:t>
                  </w:r>
                </w:p>
              </w:tc>
              <w:tc>
                <w:tcPr>
                  <w:tcW w:w="484" w:type="pct"/>
                  <w:noWrap/>
                  <w:vAlign w:val="center"/>
                </w:tcPr>
                <w:p>
                  <w:pPr>
                    <w:widowControl/>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w:t>
                  </w:r>
                  <w:r>
                    <w:rPr>
                      <w:rFonts w:ascii="Times New Roman" w:hAnsi="Times New Roman" w:eastAsia="宋体" w:cs="Times New Roman"/>
                      <w:color w:val="auto"/>
                      <w:kern w:val="0"/>
                      <w:szCs w:val="21"/>
                    </w:rPr>
                    <w:t>1.5</w:t>
                  </w:r>
                </w:p>
              </w:tc>
              <w:tc>
                <w:tcPr>
                  <w:tcW w:w="484" w:type="pct"/>
                  <w:noWrap/>
                  <w:vAlign w:val="center"/>
                </w:tcPr>
                <w:p>
                  <w:pPr>
                    <w:widowControl/>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w:t>
                  </w:r>
                  <w:r>
                    <w:rPr>
                      <w:rFonts w:ascii="Times New Roman" w:hAnsi="Times New Roman" w:eastAsia="宋体" w:cs="Times New Roman"/>
                      <w:color w:val="auto"/>
                      <w:kern w:val="0"/>
                      <w:szCs w:val="21"/>
                    </w:rPr>
                    <w:t>9.0</w:t>
                  </w:r>
                </w:p>
              </w:tc>
              <w:tc>
                <w:tcPr>
                  <w:tcW w:w="483" w:type="pct"/>
                  <w:noWrap/>
                  <w:vAlign w:val="center"/>
                </w:tcPr>
                <w:p>
                  <w:pPr>
                    <w:widowControl/>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w:t>
                  </w:r>
                  <w:r>
                    <w:rPr>
                      <w:rFonts w:ascii="Times New Roman" w:hAnsi="Times New Roman" w:eastAsia="宋体" w:cs="Times New Roman"/>
                      <w:color w:val="auto"/>
                      <w:kern w:val="0"/>
                      <w:szCs w:val="21"/>
                    </w:rPr>
                    <w:t>7.0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noWrap/>
                  <w:vAlign w:val="center"/>
                </w:tcPr>
                <w:p>
                  <w:pPr>
                    <w:widowControl/>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箱变</w:t>
                  </w:r>
                </w:p>
              </w:tc>
              <w:tc>
                <w:tcPr>
                  <w:tcW w:w="480" w:type="pct"/>
                  <w:noWrap/>
                  <w:vAlign w:val="center"/>
                </w:tcPr>
                <w:p>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60.0</w:t>
                  </w:r>
                </w:p>
              </w:tc>
              <w:tc>
                <w:tcPr>
                  <w:tcW w:w="480" w:type="pct"/>
                  <w:noWrap w:val="0"/>
                  <w:vAlign w:val="center"/>
                </w:tcPr>
                <w:p>
                  <w:pPr>
                    <w:widowControl/>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5</w:t>
                  </w:r>
                  <w:r>
                    <w:rPr>
                      <w:rFonts w:ascii="Times New Roman" w:hAnsi="Times New Roman" w:eastAsia="宋体" w:cs="Times New Roman"/>
                      <w:color w:val="auto"/>
                      <w:kern w:val="0"/>
                      <w:szCs w:val="21"/>
                    </w:rPr>
                    <w:t>4.0</w:t>
                  </w:r>
                </w:p>
              </w:tc>
              <w:tc>
                <w:tcPr>
                  <w:tcW w:w="480" w:type="pct"/>
                  <w:noWrap w:val="0"/>
                  <w:vAlign w:val="center"/>
                </w:tcPr>
                <w:p>
                  <w:pPr>
                    <w:widowControl/>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5</w:t>
                  </w:r>
                  <w:r>
                    <w:rPr>
                      <w:rFonts w:ascii="Times New Roman" w:hAnsi="Times New Roman" w:eastAsia="宋体" w:cs="Times New Roman"/>
                      <w:color w:val="auto"/>
                      <w:kern w:val="0"/>
                      <w:szCs w:val="21"/>
                    </w:rPr>
                    <w:t>0.5</w:t>
                  </w:r>
                </w:p>
              </w:tc>
              <w:tc>
                <w:tcPr>
                  <w:tcW w:w="480" w:type="pct"/>
                  <w:noWrap w:val="0"/>
                  <w:vAlign w:val="center"/>
                </w:tcPr>
                <w:p>
                  <w:pPr>
                    <w:widowControl/>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w:t>
                  </w:r>
                  <w:r>
                    <w:rPr>
                      <w:rFonts w:ascii="Times New Roman" w:hAnsi="Times New Roman" w:eastAsia="宋体" w:cs="Times New Roman"/>
                      <w:color w:val="auto"/>
                      <w:kern w:val="0"/>
                      <w:szCs w:val="21"/>
                    </w:rPr>
                    <w:t>8.0</w:t>
                  </w:r>
                </w:p>
              </w:tc>
              <w:tc>
                <w:tcPr>
                  <w:tcW w:w="480" w:type="pct"/>
                  <w:noWrap/>
                  <w:vAlign w:val="center"/>
                </w:tcPr>
                <w:p>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46.0</w:t>
                  </w:r>
                </w:p>
              </w:tc>
              <w:tc>
                <w:tcPr>
                  <w:tcW w:w="484" w:type="pct"/>
                  <w:noWrap/>
                  <w:vAlign w:val="center"/>
                </w:tcPr>
                <w:p>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40.0</w:t>
                  </w:r>
                </w:p>
              </w:tc>
              <w:tc>
                <w:tcPr>
                  <w:tcW w:w="484" w:type="pct"/>
                  <w:noWrap/>
                  <w:vAlign w:val="center"/>
                </w:tcPr>
                <w:p>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36.5</w:t>
                  </w:r>
                </w:p>
              </w:tc>
              <w:tc>
                <w:tcPr>
                  <w:tcW w:w="484" w:type="pct"/>
                  <w:noWrap/>
                  <w:vAlign w:val="center"/>
                </w:tcPr>
                <w:p>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34.0</w:t>
                  </w:r>
                </w:p>
              </w:tc>
              <w:tc>
                <w:tcPr>
                  <w:tcW w:w="483" w:type="pct"/>
                  <w:noWrap/>
                  <w:vAlign w:val="center"/>
                </w:tcPr>
                <w:p>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32.0</w:t>
                  </w:r>
                </w:p>
              </w:tc>
            </w:tr>
          </w:tbl>
          <w:p>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经计算，项目光伏场区逆变器噪声在2</w:t>
            </w:r>
            <w:r>
              <w:rPr>
                <w:rFonts w:ascii="Times New Roman" w:hAnsi="Times New Roman" w:eastAsia="宋体" w:cs="Times New Roman"/>
                <w:color w:val="auto"/>
                <w:sz w:val="24"/>
              </w:rPr>
              <w:t>m</w:t>
            </w:r>
            <w:r>
              <w:rPr>
                <w:rFonts w:hint="eastAsia" w:ascii="Times New Roman" w:hAnsi="Times New Roman" w:eastAsia="宋体" w:cs="Times New Roman"/>
                <w:color w:val="auto"/>
                <w:sz w:val="24"/>
              </w:rPr>
              <w:t>之外、箱变噪声在</w:t>
            </w:r>
            <w:r>
              <w:rPr>
                <w:rFonts w:ascii="Times New Roman" w:hAnsi="Times New Roman" w:eastAsia="宋体" w:cs="Times New Roman"/>
                <w:color w:val="auto"/>
                <w:sz w:val="24"/>
              </w:rPr>
              <w:t>4</w:t>
            </w:r>
            <w:r>
              <w:rPr>
                <w:rFonts w:hint="eastAsia" w:ascii="Times New Roman" w:hAnsi="Times New Roman" w:eastAsia="宋体" w:cs="Times New Roman"/>
                <w:color w:val="auto"/>
                <w:sz w:val="24"/>
              </w:rPr>
              <w:t>m之外能满足《工业企业厂界环境噪声排放标准》（GB12348-2008）2类标准（昼间：60dB(A)，夜间：50dB(A)）要求。根据工程总体布局情况，各逆变器及箱变与厂界的距离均在4</w:t>
            </w:r>
            <w:r>
              <w:rPr>
                <w:rFonts w:ascii="Times New Roman" w:hAnsi="Times New Roman" w:eastAsia="宋体" w:cs="Times New Roman"/>
                <w:color w:val="auto"/>
                <w:sz w:val="24"/>
              </w:rPr>
              <w:t>m</w:t>
            </w:r>
            <w:r>
              <w:rPr>
                <w:rFonts w:hint="eastAsia" w:ascii="Times New Roman" w:hAnsi="Times New Roman" w:eastAsia="宋体" w:cs="Times New Roman"/>
                <w:color w:val="auto"/>
                <w:sz w:val="24"/>
              </w:rPr>
              <w:t>以上，且各设备布局较为分散，光伏场区场界噪声可达标。周边最近的保护目标与项目光伏场区场界距离为2</w:t>
            </w:r>
            <w:r>
              <w:rPr>
                <w:rFonts w:ascii="Times New Roman" w:hAnsi="Times New Roman" w:eastAsia="宋体" w:cs="Times New Roman"/>
                <w:color w:val="auto"/>
                <w:sz w:val="24"/>
              </w:rPr>
              <w:t>5m</w:t>
            </w:r>
            <w:r>
              <w:rPr>
                <w:rFonts w:hint="eastAsia" w:ascii="Times New Roman" w:hAnsi="Times New Roman" w:eastAsia="宋体" w:cs="Times New Roman"/>
                <w:color w:val="auto"/>
                <w:sz w:val="24"/>
              </w:rPr>
              <w:t>，逆变器及箱变等的噪声对保护目标的影响不大。</w:t>
            </w:r>
          </w:p>
          <w:p>
            <w:pPr>
              <w:spacing w:line="360" w:lineRule="auto"/>
              <w:ind w:firstLine="480"/>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（2）升压站</w:t>
            </w:r>
          </w:p>
          <w:p>
            <w:pPr>
              <w:spacing w:line="360" w:lineRule="auto"/>
              <w:ind w:firstLine="480"/>
              <w:rPr>
                <w:rFonts w:ascii="Times New Roman" w:hAnsi="Times New Roman" w:eastAsia="宋体" w:cs="Times New Roman"/>
                <w:color w:val="auto"/>
                <w:sz w:val="24"/>
              </w:rPr>
            </w:pPr>
            <w:r>
              <w:rPr>
                <w:rFonts w:hint="eastAsia" w:ascii="Times New Roman" w:hAnsi="Times New Roman" w:eastAsia="宋体" w:cs="Times New Roman"/>
                <w:color w:val="auto"/>
                <w:sz w:val="24"/>
              </w:rPr>
              <w:t>拟建</w:t>
            </w:r>
            <w:r>
              <w:rPr>
                <w:rFonts w:hint="eastAsia" w:cs="Times New Roman"/>
                <w:color w:val="auto"/>
                <w:sz w:val="24"/>
                <w:lang w:val="en-US" w:eastAsia="zh-CN"/>
              </w:rPr>
              <w:t>11</w:t>
            </w:r>
            <w:r>
              <w:rPr>
                <w:rFonts w:hint="eastAsia" w:ascii="Times New Roman" w:hAnsi="Times New Roman" w:eastAsia="宋体" w:cs="Times New Roman"/>
                <w:color w:val="auto"/>
                <w:sz w:val="24"/>
              </w:rPr>
              <w:t>0kV升压站内运行期噪声主要来源于变压器、电抗器和配电装置等电气设备所产生的电磁可听噪声，以及风机、水泵等设备的机械噪声；这些噪声主要是中低频噪声。本项目主要电气设备均采用成套装置或预制舱，其内的电气设备电磁噪声及配套风机等装置的机械噪声经舱体隔声、基础减振后，可减少1</w:t>
            </w:r>
            <w:r>
              <w:rPr>
                <w:rFonts w:ascii="Times New Roman" w:hAnsi="Times New Roman" w:eastAsia="宋体" w:cs="Times New Roman"/>
                <w:color w:val="auto"/>
                <w:sz w:val="24"/>
              </w:rPr>
              <w:t>0~15dB(A)；</w:t>
            </w:r>
            <w:r>
              <w:rPr>
                <w:rFonts w:hint="eastAsia" w:ascii="Times New Roman" w:hAnsi="Times New Roman" w:eastAsia="宋体" w:cs="Times New Roman"/>
                <w:color w:val="auto"/>
                <w:sz w:val="24"/>
              </w:rPr>
              <w:t>给水水泵、消防水泵等布置于封闭式水泵房内，污水处理系统水泵集成于一体化设备内地埋式设置，运行期噪声均较小。项目升压站运行期噪声主要来源于室外露天布置的主变。</w:t>
            </w:r>
          </w:p>
          <w:p>
            <w:pPr>
              <w:spacing w:line="360" w:lineRule="auto"/>
              <w:ind w:firstLine="48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项目拟选用一台SZ11-170000/</w:t>
            </w:r>
            <w:r>
              <w:rPr>
                <w:rFonts w:hint="eastAsia" w:ascii="Times New Roman" w:hAnsi="Times New Roman" w:eastAsia="宋体" w:cs="Times New Roman"/>
                <w:color w:val="auto"/>
                <w:sz w:val="24"/>
                <w:lang w:val="en-US" w:eastAsia="zh-CN"/>
              </w:rPr>
              <w:t>11</w:t>
            </w:r>
            <w:r>
              <w:rPr>
                <w:rFonts w:hint="eastAsia" w:ascii="Times New Roman" w:hAnsi="Times New Roman" w:eastAsia="宋体" w:cs="Times New Roman"/>
                <w:color w:val="auto"/>
                <w:sz w:val="24"/>
              </w:rPr>
              <w:t>0GY型三相油浸式双绕组有载调压升压变压器，属低噪声变压器，源强为70dB(A)，即距离主变压器1m处噪声为70dB(A)</w:t>
            </w:r>
            <w:r>
              <w:rPr>
                <w:rFonts w:hint="eastAsia" w:ascii="Times New Roman" w:hAnsi="Times New Roman" w:eastAsia="宋体" w:cs="Times New Roman"/>
                <w:color w:val="auto"/>
                <w:sz w:val="24"/>
                <w:lang w:eastAsia="zh-CN"/>
              </w:rPr>
              <w:t>，</w:t>
            </w:r>
            <w:r>
              <w:rPr>
                <w:rFonts w:hint="eastAsia" w:cs="Times New Roman"/>
                <w:color w:val="auto"/>
                <w:sz w:val="24"/>
                <w:lang w:val="en-US" w:eastAsia="zh-CN"/>
              </w:rPr>
              <w:t>考虑项目升压站有围墙与建筑围挡，且项目升压站厂界内设置绿化隔音，因此设置变压器噪声源强为65dB</w:t>
            </w:r>
            <w:r>
              <w:rPr>
                <w:rFonts w:hint="eastAsia" w:ascii="Times New Roman" w:hAnsi="Times New Roman" w:eastAsia="宋体" w:cs="Times New Roman"/>
                <w:color w:val="auto"/>
                <w:sz w:val="24"/>
              </w:rPr>
              <w:t>(A)。</w:t>
            </w:r>
            <w:r>
              <w:rPr>
                <w:rFonts w:hint="eastAsia" w:cs="Times New Roman"/>
                <w:color w:val="auto"/>
                <w:sz w:val="24"/>
                <w:lang w:val="en-US" w:eastAsia="zh-CN"/>
              </w:rPr>
              <w:t>项目升压站设置围墙围挡，能有效降低噪音。</w:t>
            </w:r>
            <w:r>
              <w:rPr>
                <w:rFonts w:hint="eastAsia" w:ascii="Times New Roman" w:hAnsi="Times New Roman" w:eastAsia="宋体" w:cs="Times New Roman"/>
                <w:color w:val="auto"/>
                <w:sz w:val="24"/>
              </w:rPr>
              <w:t>根据升压站总平面布置图，项目主变位置距离东面围墙距离8m，距离西面围墙</w:t>
            </w:r>
            <w:r>
              <w:rPr>
                <w:rFonts w:hint="eastAsia" w:cs="Times New Roman"/>
                <w:color w:val="auto"/>
                <w:sz w:val="24"/>
                <w:lang w:val="en-US" w:eastAsia="zh-CN"/>
              </w:rPr>
              <w:t>15</w:t>
            </w:r>
            <w:r>
              <w:rPr>
                <w:rFonts w:hint="eastAsia" w:ascii="Times New Roman" w:hAnsi="Times New Roman" w:eastAsia="宋体" w:cs="Times New Roman"/>
                <w:color w:val="auto"/>
                <w:sz w:val="24"/>
              </w:rPr>
              <w:t>m，距离南面围墙</w:t>
            </w:r>
            <w:r>
              <w:rPr>
                <w:rFonts w:hint="eastAsia" w:cs="Times New Roman"/>
                <w:color w:val="auto"/>
                <w:sz w:val="24"/>
                <w:lang w:val="en-US" w:eastAsia="zh-CN"/>
              </w:rPr>
              <w:t>9</w:t>
            </w:r>
            <w:r>
              <w:rPr>
                <w:rFonts w:hint="eastAsia" w:ascii="Times New Roman" w:hAnsi="Times New Roman" w:eastAsia="宋体" w:cs="Times New Roman"/>
                <w:color w:val="auto"/>
                <w:sz w:val="24"/>
              </w:rPr>
              <w:t>m，距离北面围墙</w:t>
            </w:r>
            <w:r>
              <w:rPr>
                <w:rFonts w:hint="eastAsia" w:cs="Times New Roman"/>
                <w:color w:val="auto"/>
                <w:sz w:val="24"/>
                <w:lang w:val="en-US" w:eastAsia="zh-CN"/>
              </w:rPr>
              <w:t>8</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lang w:val="en-US" w:eastAsia="zh-CN"/>
              </w:rPr>
              <w:t>根据升压站总平面布置图，计算得出110</w:t>
            </w:r>
            <w:r>
              <w:rPr>
                <w:rFonts w:hint="eastAsia" w:ascii="Times New Roman" w:hAnsi="Times New Roman" w:eastAsia="宋体" w:cs="Times New Roman"/>
                <w:color w:val="auto"/>
                <w:sz w:val="24"/>
              </w:rPr>
              <w:t>kV升压站厂界处噪声</w:t>
            </w:r>
            <w:r>
              <w:rPr>
                <w:rFonts w:hint="eastAsia" w:ascii="Times New Roman" w:hAnsi="Times New Roman" w:eastAsia="宋体" w:cs="Times New Roman"/>
                <w:color w:val="auto"/>
                <w:sz w:val="24"/>
                <w:lang w:val="en-US" w:eastAsia="zh-CN"/>
              </w:rPr>
              <w:t>预测值，110</w:t>
            </w:r>
            <w:r>
              <w:rPr>
                <w:rFonts w:hint="eastAsia" w:ascii="Times New Roman" w:hAnsi="Times New Roman" w:eastAsia="宋体" w:cs="Times New Roman"/>
                <w:color w:val="auto"/>
                <w:sz w:val="24"/>
              </w:rPr>
              <w:t>kV升压站</w:t>
            </w:r>
            <w:r>
              <w:rPr>
                <w:rFonts w:hint="eastAsia" w:ascii="Times New Roman" w:hAnsi="Times New Roman" w:eastAsia="宋体" w:cs="Times New Roman"/>
                <w:color w:val="auto"/>
                <w:sz w:val="24"/>
                <w:lang w:val="en-US" w:eastAsia="zh-CN"/>
              </w:rPr>
              <w:t>和22</w:t>
            </w:r>
            <w:r>
              <w:rPr>
                <w:rFonts w:hint="eastAsia" w:ascii="Times New Roman" w:hAnsi="Times New Roman" w:eastAsia="宋体" w:cs="Times New Roman"/>
                <w:color w:val="auto"/>
                <w:sz w:val="24"/>
              </w:rPr>
              <w:t>0kV升压站</w:t>
            </w:r>
            <w:r>
              <w:rPr>
                <w:rFonts w:hint="eastAsia" w:ascii="Times New Roman" w:hAnsi="Times New Roman" w:eastAsia="宋体" w:cs="Times New Roman"/>
                <w:color w:val="auto"/>
                <w:sz w:val="24"/>
                <w:lang w:val="en-US" w:eastAsia="zh-CN"/>
              </w:rPr>
              <w:t>站界外200m范围内均无敏感目标分布，升压站厂界处噪声预测结果详见表</w:t>
            </w:r>
            <w:r>
              <w:rPr>
                <w:rFonts w:hint="eastAsia" w:cs="Times New Roman"/>
                <w:color w:val="auto"/>
                <w:sz w:val="24"/>
                <w:lang w:val="en-US" w:eastAsia="zh-CN"/>
              </w:rPr>
              <w:t>4.3-3。</w:t>
            </w:r>
          </w:p>
          <w:p>
            <w:pPr>
              <w:tabs>
                <w:tab w:val="right" w:pos="8906"/>
              </w:tabs>
              <w:spacing w:line="240" w:lineRule="auto"/>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表4</w:t>
            </w:r>
            <w:r>
              <w:rPr>
                <w:rFonts w:hint="eastAsia" w:ascii="Times New Roman" w:hAnsi="Times New Roman" w:eastAsia="宋体" w:cs="Times New Roman"/>
                <w:b/>
                <w:color w:val="auto"/>
                <w:sz w:val="21"/>
                <w:szCs w:val="21"/>
                <w:lang w:val="en-US" w:eastAsia="zh-CN"/>
              </w:rPr>
              <w:t>.3</w:t>
            </w:r>
            <w:r>
              <w:rPr>
                <w:rFonts w:hint="default" w:ascii="Times New Roman" w:hAnsi="Times New Roman" w:eastAsia="宋体" w:cs="Times New Roman"/>
                <w:b/>
                <w:color w:val="auto"/>
                <w:sz w:val="21"/>
                <w:szCs w:val="21"/>
              </w:rPr>
              <w:t>-</w:t>
            </w:r>
            <w:r>
              <w:rPr>
                <w:rFonts w:hint="eastAsia" w:ascii="Times New Roman" w:hAnsi="Times New Roman" w:eastAsia="宋体" w:cs="Times New Roman"/>
                <w:b/>
                <w:color w:val="auto"/>
                <w:sz w:val="21"/>
                <w:szCs w:val="21"/>
                <w:lang w:val="en-US" w:eastAsia="zh-CN"/>
              </w:rPr>
              <w:t>3</w:t>
            </w:r>
            <w:r>
              <w:rPr>
                <w:rFonts w:hint="default" w:ascii="Times New Roman" w:hAnsi="Times New Roman" w:eastAsia="宋体" w:cs="Times New Roman"/>
                <w:b/>
                <w:color w:val="auto"/>
                <w:sz w:val="21"/>
                <w:szCs w:val="21"/>
              </w:rPr>
              <w:t xml:space="preserve">  </w:t>
            </w:r>
            <w:r>
              <w:rPr>
                <w:rFonts w:hint="eastAsia" w:ascii="Times New Roman" w:hAnsi="Times New Roman" w:eastAsia="宋体" w:cs="Times New Roman"/>
                <w:b/>
                <w:color w:val="auto"/>
                <w:sz w:val="21"/>
                <w:szCs w:val="21"/>
                <w:lang w:val="en-US" w:eastAsia="zh-CN"/>
              </w:rPr>
              <w:t>110kV</w:t>
            </w:r>
            <w:r>
              <w:rPr>
                <w:rFonts w:hint="default" w:ascii="Times New Roman" w:hAnsi="Times New Roman" w:eastAsia="宋体" w:cs="Times New Roman"/>
                <w:b/>
                <w:color w:val="auto"/>
                <w:sz w:val="21"/>
                <w:szCs w:val="21"/>
              </w:rPr>
              <w:t>升压站边界噪声预测贡献值</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bCs/>
                <w:color w:val="auto"/>
                <w:sz w:val="21"/>
                <w:szCs w:val="21"/>
                <w:highlight w:val="none"/>
                <w:lang w:val="en-US" w:eastAsia="zh-CN"/>
              </w:rPr>
              <w:t>（单位：dB(A)）</w:t>
            </w:r>
          </w:p>
          <w:tbl>
            <w:tblPr>
              <w:tblStyle w:val="19"/>
              <w:tblW w:w="4997" w:type="pct"/>
              <w:tblInd w:w="-1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2"/>
              <w:gridCol w:w="874"/>
              <w:gridCol w:w="811"/>
              <w:gridCol w:w="678"/>
              <w:gridCol w:w="682"/>
              <w:gridCol w:w="640"/>
              <w:gridCol w:w="688"/>
              <w:gridCol w:w="625"/>
              <w:gridCol w:w="628"/>
              <w:gridCol w:w="725"/>
              <w:gridCol w:w="67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5" w:type="pct"/>
                  <w:vMerge w:val="restart"/>
                  <w:tcBorders>
                    <w:tl2br w:val="nil"/>
                    <w:tr2bl w:val="nil"/>
                  </w:tcBorders>
                  <w:noWrap w:val="0"/>
                  <w:vAlign w:val="center"/>
                </w:tcPr>
                <w:p>
                  <w:pPr>
                    <w:keepNext w:val="0"/>
                    <w:keepLines w:val="0"/>
                    <w:pageBreakBefore w:val="0"/>
                    <w:widowControl w:val="0"/>
                    <w:tabs>
                      <w:tab w:val="right" w:pos="8906"/>
                    </w:tabs>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位置</w:t>
                  </w:r>
                </w:p>
              </w:tc>
              <w:tc>
                <w:tcPr>
                  <w:tcW w:w="541" w:type="pct"/>
                  <w:vMerge w:val="restart"/>
                  <w:tcBorders>
                    <w:tl2br w:val="nil"/>
                    <w:tr2bl w:val="nil"/>
                  </w:tcBorders>
                  <w:noWrap w:val="0"/>
                  <w:vAlign w:val="center"/>
                </w:tcPr>
                <w:p>
                  <w:pPr>
                    <w:keepNext w:val="0"/>
                    <w:keepLines w:val="0"/>
                    <w:pageBreakBefore w:val="0"/>
                    <w:widowControl w:val="0"/>
                    <w:tabs>
                      <w:tab w:val="right" w:pos="8906"/>
                    </w:tabs>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距主变距离( m )</w:t>
                  </w:r>
                </w:p>
              </w:tc>
              <w:tc>
                <w:tcPr>
                  <w:tcW w:w="502" w:type="pct"/>
                  <w:vMerge w:val="restart"/>
                  <w:tcBorders>
                    <w:tl2br w:val="nil"/>
                    <w:tr2bl w:val="nil"/>
                  </w:tcBorders>
                  <w:noWrap w:val="0"/>
                  <w:vAlign w:val="center"/>
                </w:tcPr>
                <w:p>
                  <w:pPr>
                    <w:keepNext w:val="0"/>
                    <w:keepLines w:val="0"/>
                    <w:pageBreakBefore w:val="0"/>
                    <w:widowControl w:val="0"/>
                    <w:tabs>
                      <w:tab w:val="right" w:pos="8906"/>
                    </w:tabs>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贡献值dB(A)</w:t>
                  </w:r>
                </w:p>
              </w:tc>
              <w:tc>
                <w:tcPr>
                  <w:tcW w:w="842" w:type="pct"/>
                  <w:gridSpan w:val="2"/>
                  <w:tcBorders>
                    <w:tl2br w:val="nil"/>
                    <w:tr2bl w:val="nil"/>
                  </w:tcBorders>
                  <w:noWrap w:val="0"/>
                  <w:vAlign w:val="center"/>
                </w:tcPr>
                <w:p>
                  <w:pPr>
                    <w:keepNext w:val="0"/>
                    <w:keepLines w:val="0"/>
                    <w:pageBreakBefore w:val="0"/>
                    <w:widowControl w:val="0"/>
                    <w:tabs>
                      <w:tab w:val="right" w:pos="8906"/>
                    </w:tabs>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背景值/dB(A)</w:t>
                  </w:r>
                </w:p>
              </w:tc>
              <w:tc>
                <w:tcPr>
                  <w:tcW w:w="822" w:type="pct"/>
                  <w:gridSpan w:val="2"/>
                  <w:tcBorders>
                    <w:tl2br w:val="nil"/>
                    <w:tr2bl w:val="nil"/>
                  </w:tcBorders>
                  <w:noWrap w:val="0"/>
                  <w:vAlign w:val="center"/>
                </w:tcPr>
                <w:p>
                  <w:pPr>
                    <w:keepNext w:val="0"/>
                    <w:keepLines w:val="0"/>
                    <w:pageBreakBefore w:val="0"/>
                    <w:widowControl w:val="0"/>
                    <w:tabs>
                      <w:tab w:val="right" w:pos="8906"/>
                    </w:tabs>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预测值/dB(A)</w:t>
                  </w:r>
                </w:p>
              </w:tc>
              <w:tc>
                <w:tcPr>
                  <w:tcW w:w="776" w:type="pct"/>
                  <w:gridSpan w:val="2"/>
                  <w:tcBorders>
                    <w:tl2br w:val="nil"/>
                    <w:tr2bl w:val="nil"/>
                  </w:tcBorders>
                  <w:noWrap w:val="0"/>
                  <w:vAlign w:val="center"/>
                </w:tcPr>
                <w:p>
                  <w:pPr>
                    <w:keepNext w:val="0"/>
                    <w:keepLines w:val="0"/>
                    <w:pageBreakBefore w:val="0"/>
                    <w:widowControl w:val="0"/>
                    <w:tabs>
                      <w:tab w:val="right" w:pos="8906"/>
                    </w:tabs>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执行标准</w:t>
                  </w:r>
                </w:p>
              </w:tc>
              <w:tc>
                <w:tcPr>
                  <w:tcW w:w="868" w:type="pct"/>
                  <w:gridSpan w:val="2"/>
                  <w:tcBorders>
                    <w:tl2br w:val="nil"/>
                    <w:tr2bl w:val="nil"/>
                  </w:tcBorders>
                  <w:noWrap w:val="0"/>
                  <w:vAlign w:val="center"/>
                </w:tcPr>
                <w:p>
                  <w:pPr>
                    <w:keepNext w:val="0"/>
                    <w:keepLines w:val="0"/>
                    <w:pageBreakBefore w:val="0"/>
                    <w:widowControl w:val="0"/>
                    <w:tabs>
                      <w:tab w:val="right" w:pos="8906"/>
                    </w:tabs>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达标情况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5" w:type="pct"/>
                  <w:vMerge w:val="continue"/>
                  <w:tcBorders>
                    <w:tl2br w:val="nil"/>
                    <w:tr2bl w:val="nil"/>
                  </w:tcBorders>
                  <w:noWrap w:val="0"/>
                  <w:vAlign w:val="center"/>
                </w:tcPr>
                <w:p>
                  <w:pPr>
                    <w:keepNext w:val="0"/>
                    <w:keepLines w:val="0"/>
                    <w:pageBreakBefore w:val="0"/>
                    <w:widowControl w:val="0"/>
                    <w:tabs>
                      <w:tab w:val="right" w:pos="8906"/>
                    </w:tabs>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541" w:type="pct"/>
                  <w:vMerge w:val="continue"/>
                  <w:tcBorders>
                    <w:tl2br w:val="nil"/>
                    <w:tr2bl w:val="nil"/>
                  </w:tcBorders>
                  <w:noWrap w:val="0"/>
                  <w:vAlign w:val="center"/>
                </w:tcPr>
                <w:p>
                  <w:pPr>
                    <w:keepNext w:val="0"/>
                    <w:keepLines w:val="0"/>
                    <w:pageBreakBefore w:val="0"/>
                    <w:widowControl w:val="0"/>
                    <w:tabs>
                      <w:tab w:val="right" w:pos="8906"/>
                    </w:tabs>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502" w:type="pct"/>
                  <w:vMerge w:val="continue"/>
                  <w:tcBorders>
                    <w:tl2br w:val="nil"/>
                    <w:tr2bl w:val="nil"/>
                  </w:tcBorders>
                  <w:noWrap w:val="0"/>
                  <w:vAlign w:val="center"/>
                </w:tcPr>
                <w:p>
                  <w:pPr>
                    <w:keepNext w:val="0"/>
                    <w:keepLines w:val="0"/>
                    <w:pageBreakBefore w:val="0"/>
                    <w:widowControl w:val="0"/>
                    <w:tabs>
                      <w:tab w:val="right" w:pos="8906"/>
                    </w:tabs>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420" w:type="pct"/>
                  <w:tcBorders>
                    <w:tl2br w:val="nil"/>
                    <w:tr2bl w:val="nil"/>
                  </w:tcBorders>
                  <w:noWrap w:val="0"/>
                  <w:vAlign w:val="center"/>
                </w:tcPr>
                <w:p>
                  <w:pPr>
                    <w:keepNext w:val="0"/>
                    <w:keepLines w:val="0"/>
                    <w:pageBreakBefore w:val="0"/>
                    <w:widowControl w:val="0"/>
                    <w:tabs>
                      <w:tab w:val="right" w:pos="8906"/>
                    </w:tabs>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昼间</w:t>
                  </w:r>
                </w:p>
              </w:tc>
              <w:tc>
                <w:tcPr>
                  <w:tcW w:w="422" w:type="pct"/>
                  <w:tcBorders>
                    <w:tl2br w:val="nil"/>
                    <w:tr2bl w:val="nil"/>
                  </w:tcBorders>
                  <w:noWrap w:val="0"/>
                  <w:vAlign w:val="center"/>
                </w:tcPr>
                <w:p>
                  <w:pPr>
                    <w:keepNext w:val="0"/>
                    <w:keepLines w:val="0"/>
                    <w:pageBreakBefore w:val="0"/>
                    <w:widowControl w:val="0"/>
                    <w:tabs>
                      <w:tab w:val="right" w:pos="8906"/>
                    </w:tabs>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夜间</w:t>
                  </w:r>
                </w:p>
              </w:tc>
              <w:tc>
                <w:tcPr>
                  <w:tcW w:w="396" w:type="pct"/>
                  <w:tcBorders>
                    <w:tl2br w:val="nil"/>
                    <w:tr2bl w:val="nil"/>
                  </w:tcBorders>
                  <w:noWrap w:val="0"/>
                  <w:vAlign w:val="center"/>
                </w:tcPr>
                <w:p>
                  <w:pPr>
                    <w:keepNext w:val="0"/>
                    <w:keepLines w:val="0"/>
                    <w:pageBreakBefore w:val="0"/>
                    <w:widowControl w:val="0"/>
                    <w:tabs>
                      <w:tab w:val="right" w:pos="8906"/>
                    </w:tabs>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昼间</w:t>
                  </w:r>
                </w:p>
              </w:tc>
              <w:tc>
                <w:tcPr>
                  <w:tcW w:w="426" w:type="pct"/>
                  <w:tcBorders>
                    <w:tl2br w:val="nil"/>
                    <w:tr2bl w:val="nil"/>
                  </w:tcBorders>
                  <w:noWrap w:val="0"/>
                  <w:vAlign w:val="center"/>
                </w:tcPr>
                <w:p>
                  <w:pPr>
                    <w:keepNext w:val="0"/>
                    <w:keepLines w:val="0"/>
                    <w:pageBreakBefore w:val="0"/>
                    <w:widowControl w:val="0"/>
                    <w:tabs>
                      <w:tab w:val="right" w:pos="8906"/>
                    </w:tabs>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夜间</w:t>
                  </w:r>
                </w:p>
              </w:tc>
              <w:tc>
                <w:tcPr>
                  <w:tcW w:w="387" w:type="pct"/>
                  <w:tcBorders>
                    <w:tl2br w:val="nil"/>
                    <w:tr2bl w:val="nil"/>
                  </w:tcBorders>
                  <w:noWrap w:val="0"/>
                  <w:vAlign w:val="center"/>
                </w:tcPr>
                <w:p>
                  <w:pPr>
                    <w:keepNext w:val="0"/>
                    <w:keepLines w:val="0"/>
                    <w:pageBreakBefore w:val="0"/>
                    <w:widowControl w:val="0"/>
                    <w:tabs>
                      <w:tab w:val="right" w:pos="8906"/>
                    </w:tabs>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昼间</w:t>
                  </w:r>
                </w:p>
              </w:tc>
              <w:tc>
                <w:tcPr>
                  <w:tcW w:w="389" w:type="pct"/>
                  <w:tcBorders>
                    <w:tl2br w:val="nil"/>
                    <w:tr2bl w:val="nil"/>
                  </w:tcBorders>
                  <w:noWrap w:val="0"/>
                  <w:vAlign w:val="center"/>
                </w:tcPr>
                <w:p>
                  <w:pPr>
                    <w:keepNext w:val="0"/>
                    <w:keepLines w:val="0"/>
                    <w:pageBreakBefore w:val="0"/>
                    <w:widowControl w:val="0"/>
                    <w:tabs>
                      <w:tab w:val="right" w:pos="8906"/>
                    </w:tabs>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夜间</w:t>
                  </w:r>
                </w:p>
              </w:tc>
              <w:tc>
                <w:tcPr>
                  <w:tcW w:w="449" w:type="pct"/>
                  <w:tcBorders>
                    <w:tl2br w:val="nil"/>
                    <w:tr2bl w:val="nil"/>
                  </w:tcBorders>
                  <w:noWrap w:val="0"/>
                  <w:vAlign w:val="center"/>
                </w:tcPr>
                <w:p>
                  <w:pPr>
                    <w:keepNext w:val="0"/>
                    <w:keepLines w:val="0"/>
                    <w:pageBreakBefore w:val="0"/>
                    <w:widowControl w:val="0"/>
                    <w:tabs>
                      <w:tab w:val="right" w:pos="8906"/>
                    </w:tabs>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昼间</w:t>
                  </w:r>
                </w:p>
              </w:tc>
              <w:tc>
                <w:tcPr>
                  <w:tcW w:w="418" w:type="pct"/>
                  <w:tcBorders>
                    <w:tl2br w:val="nil"/>
                    <w:tr2bl w:val="nil"/>
                  </w:tcBorders>
                  <w:noWrap w:val="0"/>
                  <w:vAlign w:val="center"/>
                </w:tcPr>
                <w:p>
                  <w:pPr>
                    <w:keepNext w:val="0"/>
                    <w:keepLines w:val="0"/>
                    <w:pageBreakBefore w:val="0"/>
                    <w:widowControl w:val="0"/>
                    <w:tabs>
                      <w:tab w:val="right" w:pos="8906"/>
                    </w:tabs>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夜间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5" w:type="pct"/>
                  <w:tcBorders>
                    <w:tl2br w:val="nil"/>
                    <w:tr2bl w:val="nil"/>
                  </w:tcBorders>
                  <w:noWrap w:val="0"/>
                  <w:vAlign w:val="center"/>
                </w:tcPr>
                <w:p>
                  <w:pPr>
                    <w:keepNext w:val="0"/>
                    <w:keepLines w:val="0"/>
                    <w:pageBreakBefore w:val="0"/>
                    <w:widowControl w:val="0"/>
                    <w:tabs>
                      <w:tab w:val="right" w:pos="8906"/>
                    </w:tabs>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东侧围墙1m处</w:t>
                  </w:r>
                </w:p>
              </w:tc>
              <w:tc>
                <w:tcPr>
                  <w:tcW w:w="541" w:type="pct"/>
                  <w:tcBorders>
                    <w:tl2br w:val="nil"/>
                    <w:tr2bl w:val="nil"/>
                  </w:tcBorders>
                  <w:noWrap w:val="0"/>
                  <w:vAlign w:val="center"/>
                </w:tcPr>
                <w:p>
                  <w:pPr>
                    <w:keepNext w:val="0"/>
                    <w:keepLines w:val="0"/>
                    <w:pageBreakBefore w:val="0"/>
                    <w:kinsoku/>
                    <w:wordWrap/>
                    <w:overflowPunct/>
                    <w:topLinePunct w:val="0"/>
                    <w:autoSpaceDE/>
                    <w:autoSpaceDN/>
                    <w:bidi w:val="0"/>
                    <w:spacing w:line="34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color w:val="auto"/>
                      <w:sz w:val="21"/>
                      <w:szCs w:val="18"/>
                      <w:lang w:val="en-US" w:eastAsia="zh-CN"/>
                    </w:rPr>
                    <w:t>8</w:t>
                  </w:r>
                </w:p>
              </w:tc>
              <w:tc>
                <w:tcPr>
                  <w:tcW w:w="502" w:type="pct"/>
                  <w:tcBorders>
                    <w:tl2br w:val="nil"/>
                    <w:tr2bl w:val="nil"/>
                  </w:tcBorders>
                  <w:noWrap w:val="0"/>
                  <w:vAlign w:val="center"/>
                </w:tcPr>
                <w:p>
                  <w:pPr>
                    <w:keepNext w:val="0"/>
                    <w:keepLines w:val="0"/>
                    <w:pageBreakBefore w:val="0"/>
                    <w:kinsoku/>
                    <w:wordWrap/>
                    <w:overflowPunct/>
                    <w:topLinePunct w:val="0"/>
                    <w:autoSpaceDE/>
                    <w:autoSpaceDN/>
                    <w:bidi w:val="0"/>
                    <w:spacing w:line="34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color w:val="auto"/>
                      <w:sz w:val="21"/>
                      <w:szCs w:val="18"/>
                      <w:lang w:val="en-US" w:eastAsia="zh-CN"/>
                    </w:rPr>
                    <w:t>46.9</w:t>
                  </w:r>
                </w:p>
              </w:tc>
              <w:tc>
                <w:tcPr>
                  <w:tcW w:w="42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340" w:lineRule="exact"/>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snapToGrid/>
                      <w:color w:val="auto"/>
                      <w:kern w:val="0"/>
                      <w:sz w:val="21"/>
                      <w:szCs w:val="21"/>
                      <w:lang w:val="en-US" w:eastAsia="zh-CN" w:bidi="ar-SA"/>
                    </w:rPr>
                    <w:t>43</w:t>
                  </w: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340" w:lineRule="exact"/>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snapToGrid/>
                      <w:color w:val="auto"/>
                      <w:kern w:val="0"/>
                      <w:sz w:val="21"/>
                      <w:szCs w:val="21"/>
                      <w:lang w:val="en-US" w:eastAsia="zh-CN" w:bidi="ar-SA"/>
                    </w:rPr>
                    <w:t>41</w:t>
                  </w:r>
                </w:p>
              </w:tc>
              <w:tc>
                <w:tcPr>
                  <w:tcW w:w="3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color w:val="auto"/>
                      <w:sz w:val="21"/>
                      <w:szCs w:val="18"/>
                      <w:lang w:val="en-US" w:eastAsia="zh-CN"/>
                    </w:rPr>
                    <w:t>48.4</w:t>
                  </w:r>
                </w:p>
              </w:tc>
              <w:tc>
                <w:tcPr>
                  <w:tcW w:w="4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color w:val="auto"/>
                      <w:sz w:val="21"/>
                      <w:szCs w:val="18"/>
                      <w:lang w:val="en-US" w:eastAsia="zh-CN"/>
                    </w:rPr>
                    <w:t>47.9</w:t>
                  </w:r>
                </w:p>
              </w:tc>
              <w:tc>
                <w:tcPr>
                  <w:tcW w:w="38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38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50</w:t>
                  </w:r>
                </w:p>
              </w:tc>
              <w:tc>
                <w:tcPr>
                  <w:tcW w:w="4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达标</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达标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5" w:type="pct"/>
                  <w:tcBorders>
                    <w:tl2br w:val="nil"/>
                    <w:tr2bl w:val="nil"/>
                  </w:tcBorders>
                  <w:noWrap w:val="0"/>
                  <w:vAlign w:val="center"/>
                </w:tcPr>
                <w:p>
                  <w:pPr>
                    <w:keepNext w:val="0"/>
                    <w:keepLines w:val="0"/>
                    <w:pageBreakBefore w:val="0"/>
                    <w:widowControl w:val="0"/>
                    <w:tabs>
                      <w:tab w:val="right" w:pos="8906"/>
                    </w:tabs>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南侧围墙1m处</w:t>
                  </w:r>
                </w:p>
              </w:tc>
              <w:tc>
                <w:tcPr>
                  <w:tcW w:w="541" w:type="pct"/>
                  <w:tcBorders>
                    <w:tl2br w:val="nil"/>
                    <w:tr2bl w:val="nil"/>
                  </w:tcBorders>
                  <w:noWrap w:val="0"/>
                  <w:vAlign w:val="center"/>
                </w:tcPr>
                <w:p>
                  <w:pPr>
                    <w:keepNext w:val="0"/>
                    <w:keepLines w:val="0"/>
                    <w:pageBreakBefore w:val="0"/>
                    <w:kinsoku/>
                    <w:wordWrap/>
                    <w:overflowPunct/>
                    <w:topLinePunct w:val="0"/>
                    <w:autoSpaceDE/>
                    <w:autoSpaceDN/>
                    <w:bidi w:val="0"/>
                    <w:spacing w:line="34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color w:val="auto"/>
                      <w:sz w:val="21"/>
                      <w:szCs w:val="18"/>
                      <w:lang w:val="en-US" w:eastAsia="zh-CN"/>
                    </w:rPr>
                    <w:t>9</w:t>
                  </w:r>
                </w:p>
              </w:tc>
              <w:tc>
                <w:tcPr>
                  <w:tcW w:w="502" w:type="pct"/>
                  <w:tcBorders>
                    <w:tl2br w:val="nil"/>
                    <w:tr2bl w:val="nil"/>
                  </w:tcBorders>
                  <w:noWrap w:val="0"/>
                  <w:vAlign w:val="center"/>
                </w:tcPr>
                <w:p>
                  <w:pPr>
                    <w:keepNext w:val="0"/>
                    <w:keepLines w:val="0"/>
                    <w:pageBreakBefore w:val="0"/>
                    <w:kinsoku/>
                    <w:wordWrap/>
                    <w:overflowPunct/>
                    <w:topLinePunct w:val="0"/>
                    <w:autoSpaceDE/>
                    <w:autoSpaceDN/>
                    <w:bidi w:val="0"/>
                    <w:spacing w:line="34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color w:val="auto"/>
                      <w:sz w:val="21"/>
                      <w:szCs w:val="18"/>
                      <w:lang w:val="en-US" w:eastAsia="zh-CN"/>
                    </w:rPr>
                    <w:t>45.9</w:t>
                  </w:r>
                </w:p>
              </w:tc>
              <w:tc>
                <w:tcPr>
                  <w:tcW w:w="42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340" w:lineRule="exact"/>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snapToGrid/>
                      <w:color w:val="auto"/>
                      <w:kern w:val="0"/>
                      <w:sz w:val="21"/>
                      <w:szCs w:val="21"/>
                      <w:lang w:val="en-US" w:eastAsia="zh-CN" w:bidi="ar-SA"/>
                    </w:rPr>
                    <w:t>43</w:t>
                  </w: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340" w:lineRule="exact"/>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snapToGrid/>
                      <w:color w:val="auto"/>
                      <w:kern w:val="0"/>
                      <w:sz w:val="21"/>
                      <w:szCs w:val="21"/>
                      <w:lang w:val="en-US" w:eastAsia="zh-CN" w:bidi="ar-SA"/>
                    </w:rPr>
                    <w:t>41</w:t>
                  </w:r>
                </w:p>
              </w:tc>
              <w:tc>
                <w:tcPr>
                  <w:tcW w:w="3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color w:val="auto"/>
                      <w:sz w:val="21"/>
                      <w:szCs w:val="18"/>
                      <w:lang w:val="en-US" w:eastAsia="zh-CN"/>
                    </w:rPr>
                    <w:t>47.7</w:t>
                  </w:r>
                </w:p>
              </w:tc>
              <w:tc>
                <w:tcPr>
                  <w:tcW w:w="4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color w:val="auto"/>
                      <w:sz w:val="21"/>
                      <w:szCs w:val="18"/>
                      <w:lang w:val="en-US" w:eastAsia="zh-CN"/>
                    </w:rPr>
                    <w:t>47.1</w:t>
                  </w:r>
                </w:p>
              </w:tc>
              <w:tc>
                <w:tcPr>
                  <w:tcW w:w="3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38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4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达标</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达标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5" w:type="pct"/>
                  <w:tcBorders>
                    <w:tl2br w:val="nil"/>
                    <w:tr2bl w:val="nil"/>
                  </w:tcBorders>
                  <w:noWrap w:val="0"/>
                  <w:vAlign w:val="center"/>
                </w:tcPr>
                <w:p>
                  <w:pPr>
                    <w:keepNext w:val="0"/>
                    <w:keepLines w:val="0"/>
                    <w:pageBreakBefore w:val="0"/>
                    <w:widowControl w:val="0"/>
                    <w:tabs>
                      <w:tab w:val="right" w:pos="8906"/>
                    </w:tabs>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西侧围墙1m处</w:t>
                  </w:r>
                </w:p>
              </w:tc>
              <w:tc>
                <w:tcPr>
                  <w:tcW w:w="541" w:type="pct"/>
                  <w:tcBorders>
                    <w:tl2br w:val="nil"/>
                    <w:tr2bl w:val="nil"/>
                  </w:tcBorders>
                  <w:noWrap w:val="0"/>
                  <w:vAlign w:val="center"/>
                </w:tcPr>
                <w:p>
                  <w:pPr>
                    <w:keepNext w:val="0"/>
                    <w:keepLines w:val="0"/>
                    <w:pageBreakBefore w:val="0"/>
                    <w:kinsoku/>
                    <w:wordWrap/>
                    <w:overflowPunct/>
                    <w:topLinePunct w:val="0"/>
                    <w:autoSpaceDE/>
                    <w:autoSpaceDN/>
                    <w:bidi w:val="0"/>
                    <w:spacing w:line="34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color w:val="auto"/>
                      <w:sz w:val="21"/>
                      <w:szCs w:val="18"/>
                      <w:lang w:val="en-US" w:eastAsia="zh-CN"/>
                    </w:rPr>
                    <w:t>15</w:t>
                  </w:r>
                </w:p>
              </w:tc>
              <w:tc>
                <w:tcPr>
                  <w:tcW w:w="502" w:type="pct"/>
                  <w:tcBorders>
                    <w:tl2br w:val="nil"/>
                    <w:tr2bl w:val="nil"/>
                  </w:tcBorders>
                  <w:noWrap w:val="0"/>
                  <w:vAlign w:val="center"/>
                </w:tcPr>
                <w:p>
                  <w:pPr>
                    <w:keepNext w:val="0"/>
                    <w:keepLines w:val="0"/>
                    <w:pageBreakBefore w:val="0"/>
                    <w:kinsoku/>
                    <w:wordWrap/>
                    <w:overflowPunct/>
                    <w:topLinePunct w:val="0"/>
                    <w:autoSpaceDE/>
                    <w:autoSpaceDN/>
                    <w:bidi w:val="0"/>
                    <w:spacing w:line="34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color w:val="auto"/>
                      <w:sz w:val="21"/>
                      <w:szCs w:val="18"/>
                      <w:lang w:val="en-US" w:eastAsia="zh-CN"/>
                    </w:rPr>
                    <w:t>41.4</w:t>
                  </w:r>
                </w:p>
              </w:tc>
              <w:tc>
                <w:tcPr>
                  <w:tcW w:w="42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340" w:lineRule="exact"/>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snapToGrid/>
                      <w:color w:val="auto"/>
                      <w:kern w:val="0"/>
                      <w:sz w:val="21"/>
                      <w:szCs w:val="21"/>
                      <w:lang w:val="en-US" w:eastAsia="zh-CN" w:bidi="ar-SA"/>
                    </w:rPr>
                    <w:t>43</w:t>
                  </w: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340" w:lineRule="exact"/>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snapToGrid/>
                      <w:color w:val="auto"/>
                      <w:kern w:val="0"/>
                      <w:sz w:val="21"/>
                      <w:szCs w:val="21"/>
                      <w:lang w:val="en-US" w:eastAsia="zh-CN" w:bidi="ar-SA"/>
                    </w:rPr>
                    <w:t>41</w:t>
                  </w:r>
                </w:p>
              </w:tc>
              <w:tc>
                <w:tcPr>
                  <w:tcW w:w="3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color w:val="auto"/>
                      <w:sz w:val="21"/>
                      <w:szCs w:val="18"/>
                      <w:lang w:val="en-US" w:eastAsia="zh-CN"/>
                    </w:rPr>
                    <w:t>45.3</w:t>
                  </w:r>
                </w:p>
              </w:tc>
              <w:tc>
                <w:tcPr>
                  <w:tcW w:w="4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color w:val="auto"/>
                      <w:sz w:val="21"/>
                      <w:szCs w:val="18"/>
                      <w:lang w:val="en-US" w:eastAsia="zh-CN"/>
                    </w:rPr>
                    <w:t>44.2</w:t>
                  </w:r>
                </w:p>
              </w:tc>
              <w:tc>
                <w:tcPr>
                  <w:tcW w:w="3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38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4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达标</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达标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45" w:type="pct"/>
                  <w:tcBorders>
                    <w:tl2br w:val="nil"/>
                    <w:tr2bl w:val="nil"/>
                  </w:tcBorders>
                  <w:noWrap w:val="0"/>
                  <w:vAlign w:val="center"/>
                </w:tcPr>
                <w:p>
                  <w:pPr>
                    <w:keepNext w:val="0"/>
                    <w:keepLines w:val="0"/>
                    <w:pageBreakBefore w:val="0"/>
                    <w:widowControl w:val="0"/>
                    <w:tabs>
                      <w:tab w:val="right" w:pos="8906"/>
                    </w:tabs>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北侧围墙1m处</w:t>
                  </w:r>
                </w:p>
              </w:tc>
              <w:tc>
                <w:tcPr>
                  <w:tcW w:w="541" w:type="pct"/>
                  <w:tcBorders>
                    <w:tl2br w:val="nil"/>
                    <w:tr2bl w:val="nil"/>
                  </w:tcBorders>
                  <w:noWrap w:val="0"/>
                  <w:vAlign w:val="center"/>
                </w:tcPr>
                <w:p>
                  <w:pPr>
                    <w:keepNext w:val="0"/>
                    <w:keepLines w:val="0"/>
                    <w:pageBreakBefore w:val="0"/>
                    <w:kinsoku/>
                    <w:wordWrap/>
                    <w:overflowPunct/>
                    <w:topLinePunct w:val="0"/>
                    <w:autoSpaceDE/>
                    <w:autoSpaceDN/>
                    <w:bidi w:val="0"/>
                    <w:spacing w:line="34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color w:val="auto"/>
                      <w:sz w:val="21"/>
                      <w:szCs w:val="18"/>
                      <w:lang w:val="en-US" w:eastAsia="zh-CN"/>
                    </w:rPr>
                    <w:t>8</w:t>
                  </w:r>
                </w:p>
              </w:tc>
              <w:tc>
                <w:tcPr>
                  <w:tcW w:w="502" w:type="pct"/>
                  <w:tcBorders>
                    <w:tl2br w:val="nil"/>
                    <w:tr2bl w:val="nil"/>
                  </w:tcBorders>
                  <w:noWrap w:val="0"/>
                  <w:vAlign w:val="center"/>
                </w:tcPr>
                <w:p>
                  <w:pPr>
                    <w:keepNext w:val="0"/>
                    <w:keepLines w:val="0"/>
                    <w:pageBreakBefore w:val="0"/>
                    <w:kinsoku/>
                    <w:wordWrap/>
                    <w:overflowPunct/>
                    <w:topLinePunct w:val="0"/>
                    <w:autoSpaceDE/>
                    <w:autoSpaceDN/>
                    <w:bidi w:val="0"/>
                    <w:spacing w:line="34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color w:val="auto"/>
                      <w:sz w:val="21"/>
                      <w:szCs w:val="18"/>
                      <w:lang w:val="en-US" w:eastAsia="zh-CN"/>
                    </w:rPr>
                    <w:t>46.9</w:t>
                  </w:r>
                </w:p>
              </w:tc>
              <w:tc>
                <w:tcPr>
                  <w:tcW w:w="42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340" w:lineRule="exact"/>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snapToGrid/>
                      <w:color w:val="auto"/>
                      <w:kern w:val="0"/>
                      <w:sz w:val="21"/>
                      <w:szCs w:val="21"/>
                      <w:lang w:val="en-US" w:eastAsia="zh-CN" w:bidi="ar-SA"/>
                    </w:rPr>
                    <w:t>43</w:t>
                  </w: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340" w:lineRule="exact"/>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snapToGrid/>
                      <w:color w:val="auto"/>
                      <w:kern w:val="0"/>
                      <w:sz w:val="21"/>
                      <w:szCs w:val="21"/>
                      <w:lang w:val="en-US" w:eastAsia="zh-CN" w:bidi="ar-SA"/>
                    </w:rPr>
                    <w:t>41</w:t>
                  </w:r>
                </w:p>
              </w:tc>
              <w:tc>
                <w:tcPr>
                  <w:tcW w:w="3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bottom"/>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color w:val="auto"/>
                      <w:sz w:val="21"/>
                      <w:szCs w:val="18"/>
                      <w:lang w:val="en-US" w:eastAsia="zh-CN"/>
                    </w:rPr>
                    <w:t>48.4</w:t>
                  </w:r>
                </w:p>
              </w:tc>
              <w:tc>
                <w:tcPr>
                  <w:tcW w:w="4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bottom"/>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color w:val="auto"/>
                      <w:sz w:val="21"/>
                      <w:szCs w:val="18"/>
                      <w:lang w:val="en-US" w:eastAsia="zh-CN"/>
                    </w:rPr>
                    <w:t>52.2</w:t>
                  </w:r>
                </w:p>
              </w:tc>
              <w:tc>
                <w:tcPr>
                  <w:tcW w:w="3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38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4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达标</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达标</w:t>
                  </w:r>
                </w:p>
              </w:tc>
            </w:tr>
          </w:tbl>
          <w:p>
            <w:pPr>
              <w:adjustRightInd w:val="0"/>
              <w:snapToGri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由表4.3-3可知，升压站建成投运后，升压站围墙外1m处的厂界噪声贡献值最大为49.1dB(A)，昼、夜间噪声均满足《工业企业厂界环境噪声排放标准》(GB12348-2008) 2类标准 (昼间：60dB(A) ，夜间：50dB(A) ) 要求。升压站周围200m内无环境保护目标，因此项目升压站内噪声经过长距离衰减后不会对敏感目标产生影响。</w:t>
            </w:r>
          </w:p>
          <w:p>
            <w:pPr>
              <w:keepNext/>
              <w:keepLines/>
              <w:pageBreakBefore w:val="0"/>
              <w:widowControl w:val="0"/>
              <w:kinsoku/>
              <w:wordWrap/>
              <w:overflowPunct/>
              <w:topLinePunct w:val="0"/>
              <w:autoSpaceDE/>
              <w:autoSpaceDN/>
              <w:bidi w:val="0"/>
              <w:adjustRightInd/>
              <w:snapToGrid/>
              <w:spacing w:beforeLines="0" w:beforeAutospacing="0" w:afterLines="0" w:afterAutospacing="0" w:line="360" w:lineRule="auto"/>
              <w:ind w:firstLine="482" w:firstLineChars="200"/>
              <w:jc w:val="both"/>
              <w:textAlignment w:val="auto"/>
              <w:outlineLvl w:val="2"/>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运营期固体废物环境影响分析</w:t>
            </w:r>
          </w:p>
          <w:p>
            <w:pPr>
              <w:autoSpaceDE w:val="0"/>
              <w:autoSpaceDN w:val="0"/>
              <w:adjustRightInd w:val="0"/>
              <w:snapToGrid w:val="0"/>
              <w:spacing w:line="360" w:lineRule="auto"/>
              <w:ind w:firstLine="480"/>
              <w:rPr>
                <w:rFonts w:ascii="Times New Roman" w:hAnsi="Times New Roman" w:eastAsia="宋体" w:cs="Times New Roman"/>
                <w:color w:val="auto"/>
                <w:sz w:val="24"/>
              </w:rPr>
            </w:pPr>
            <w:r>
              <w:rPr>
                <w:rFonts w:hint="eastAsia" w:ascii="Times New Roman" w:hAnsi="Times New Roman" w:eastAsia="宋体" w:cs="Times New Roman"/>
                <w:color w:val="auto"/>
                <w:sz w:val="24"/>
              </w:rPr>
              <w:t>本项目运营期</w:t>
            </w:r>
            <w:r>
              <w:rPr>
                <w:rFonts w:ascii="Times New Roman" w:hAnsi="Times New Roman" w:eastAsia="宋体" w:cs="Times New Roman"/>
                <w:color w:val="auto"/>
                <w:sz w:val="24"/>
              </w:rPr>
              <w:t>产生的固废</w:t>
            </w:r>
            <w:r>
              <w:rPr>
                <w:rFonts w:hint="eastAsia" w:ascii="Times New Roman" w:hAnsi="Times New Roman" w:eastAsia="宋体" w:cs="Times New Roman"/>
                <w:color w:val="auto"/>
                <w:sz w:val="24"/>
              </w:rPr>
              <w:t>包括危险废弃物和一般固废。危险废弃物包括</w:t>
            </w:r>
            <w:r>
              <w:rPr>
                <w:rFonts w:ascii="Times New Roman" w:hAnsi="Times New Roman" w:eastAsia="宋体" w:cs="Times New Roman"/>
                <w:color w:val="auto"/>
                <w:sz w:val="24"/>
              </w:rPr>
              <w:t>检修废油、变压器油、废旧蓄电池</w:t>
            </w:r>
            <w:r>
              <w:rPr>
                <w:rFonts w:hint="eastAsia" w:ascii="Times New Roman" w:hAnsi="Times New Roman" w:eastAsia="宋体" w:cs="Times New Roman"/>
                <w:color w:val="auto"/>
                <w:sz w:val="24"/>
              </w:rPr>
              <w:t>及废旧太阳能电池板。一般固废主要为</w:t>
            </w:r>
            <w:r>
              <w:rPr>
                <w:rFonts w:ascii="Times New Roman" w:hAnsi="Times New Roman" w:eastAsia="宋体" w:cs="Times New Roman"/>
                <w:color w:val="auto"/>
                <w:sz w:val="24"/>
              </w:rPr>
              <w:t>生活垃圾</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污水处理系统污泥</w:t>
            </w:r>
            <w:r>
              <w:rPr>
                <w:rFonts w:hint="eastAsia" w:ascii="Times New Roman" w:hAnsi="Times New Roman" w:eastAsia="宋体" w:cs="Times New Roman"/>
                <w:color w:val="auto"/>
                <w:sz w:val="24"/>
              </w:rPr>
              <w:t>及废旧电池组件</w:t>
            </w:r>
            <w:r>
              <w:rPr>
                <w:rFonts w:ascii="Times New Roman" w:hAnsi="Times New Roman" w:eastAsia="宋体" w:cs="Times New Roman"/>
                <w:color w:val="auto"/>
                <w:sz w:val="24"/>
              </w:rPr>
              <w:t>。</w:t>
            </w:r>
          </w:p>
          <w:p>
            <w:pPr>
              <w:pageBreakBefore w:val="0"/>
              <w:widowControl w:val="0"/>
              <w:numPr>
                <w:ilvl w:val="0"/>
                <w:numId w:val="0"/>
              </w:numPr>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eastAsia="zh-CN"/>
              </w:rPr>
              <w:t>检修废油</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b w:val="0"/>
                <w:bCs w:val="0"/>
                <w:color w:val="auto"/>
                <w:sz w:val="24"/>
                <w:szCs w:val="24"/>
                <w:highlight w:val="none"/>
                <w:lang w:val="en-US" w:eastAsia="zh-CN"/>
              </w:rPr>
              <w:t>检修废油包括</w:t>
            </w:r>
            <w:r>
              <w:rPr>
                <w:rFonts w:hint="default" w:ascii="Times New Roman" w:hAnsi="Times New Roman" w:eastAsia="宋体" w:cs="Times New Roman"/>
                <w:color w:val="auto"/>
                <w:sz w:val="24"/>
                <w:szCs w:val="24"/>
                <w:highlight w:val="none"/>
              </w:rPr>
              <w:t>箱变液压油和主变液压油（主要成分矿物油和锂皂基、锂-钙复合基为主的危险废弃物），根据《国家危险废物名录》</w:t>
            </w:r>
            <w:r>
              <w:rPr>
                <w:rFonts w:hint="default" w:ascii="Times New Roman" w:hAnsi="Times New Roman" w:eastAsia="宋体" w:cs="Times New Roman"/>
                <w:color w:val="auto"/>
                <w:sz w:val="24"/>
                <w:szCs w:val="24"/>
                <w:highlight w:val="none"/>
                <w:lang w:val="en-US" w:eastAsia="zh-CN"/>
              </w:rPr>
              <w:t>2021</w:t>
            </w:r>
            <w:r>
              <w:rPr>
                <w:rFonts w:hint="default" w:ascii="Times New Roman" w:hAnsi="Times New Roman" w:eastAsia="宋体" w:cs="Times New Roman"/>
                <w:color w:val="auto"/>
                <w:sz w:val="24"/>
                <w:szCs w:val="24"/>
                <w:highlight w:val="none"/>
              </w:rPr>
              <w:t>版，废物类别为HW08-900-249-08（其他生产、销售、使用过程中产生的废矿物油及含矿物油废物）</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rPr>
              <w:t>本项目于</w:t>
            </w:r>
            <w:r>
              <w:rPr>
                <w:rFonts w:hint="eastAsia" w:ascii="Times New Roman" w:hAnsi="Times New Roman" w:eastAsia="宋体" w:cs="Times New Roman"/>
                <w:color w:val="auto"/>
                <w:sz w:val="24"/>
                <w:lang w:val="en-US" w:eastAsia="zh-CN"/>
              </w:rPr>
              <w:t>11</w:t>
            </w:r>
            <w:r>
              <w:rPr>
                <w:rFonts w:hint="eastAsia" w:ascii="Times New Roman" w:hAnsi="Times New Roman" w:eastAsia="宋体" w:cs="Times New Roman"/>
                <w:color w:val="auto"/>
                <w:sz w:val="24"/>
              </w:rPr>
              <w:t>0kV升压站区设置的危废暂存间，危废暂存间应严格按照《危险废物贮存污染控制标准》（GB18597-2001）要求进行建设，危废暂存间须密闭，地面用C30混凝土浇筑20cm进行硬化，同时地面和四周墙体须用防渗材料进行处理，墙体处理高度为1m左右，使渗透系数≤10</w:t>
            </w:r>
            <w:r>
              <w:rPr>
                <w:rFonts w:hint="eastAsia" w:ascii="Times New Roman" w:hAnsi="Times New Roman" w:eastAsia="宋体" w:cs="Times New Roman"/>
                <w:color w:val="auto"/>
                <w:sz w:val="24"/>
                <w:vertAlign w:val="superscript"/>
              </w:rPr>
              <w:t>-10</w:t>
            </w:r>
            <w:r>
              <w:rPr>
                <w:rFonts w:hint="eastAsia" w:ascii="Times New Roman" w:hAnsi="Times New Roman" w:eastAsia="宋体" w:cs="Times New Roman"/>
                <w:color w:val="auto"/>
                <w:sz w:val="24"/>
              </w:rPr>
              <w:t>cm/s，危险废物的容器和包装物以及收集、贮存、运输、处置危险废物的设施、场所、必须设置危险废物识别标志、危险废物转运联单、台账。检修废油集中收集后暂存于危废暂存间，后期委托有资质的单位处置。对环境影响小。</w:t>
            </w:r>
          </w:p>
          <w:p>
            <w:pPr>
              <w:numPr>
                <w:ilvl w:val="0"/>
                <w:numId w:val="0"/>
              </w:num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（2）变压器油</w:t>
            </w:r>
          </w:p>
          <w:p>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升压站内变压器等电器设备为了绝缘和冷却的需要，其外壳内装有变压器油，正常情况下变压器油不外排，在事故和检修过程中的可能造成变压器油泄露。变压器油大约每10年大修一次，更换所有的变压器油。废矿物油属于</w:t>
            </w:r>
            <w:r>
              <w:rPr>
                <w:rFonts w:hint="default" w:ascii="Times New Roman" w:hAnsi="Times New Roman" w:eastAsia="宋体" w:cs="Times New Roman"/>
                <w:color w:val="auto"/>
                <w:sz w:val="24"/>
                <w:szCs w:val="24"/>
                <w:highlight w:val="none"/>
              </w:rPr>
              <w:t>《国家危险废物名录》</w:t>
            </w:r>
            <w:r>
              <w:rPr>
                <w:rFonts w:hint="default" w:ascii="Times New Roman" w:hAnsi="Times New Roman" w:eastAsia="宋体" w:cs="Times New Roman"/>
                <w:color w:val="auto"/>
                <w:sz w:val="24"/>
                <w:szCs w:val="24"/>
                <w:highlight w:val="none"/>
                <w:lang w:val="en-US" w:eastAsia="zh-CN"/>
              </w:rPr>
              <w:t>2021</w:t>
            </w:r>
            <w:r>
              <w:rPr>
                <w:rFonts w:hint="default" w:ascii="Times New Roman" w:hAnsi="Times New Roman" w:eastAsia="宋体" w:cs="Times New Roman"/>
                <w:color w:val="auto"/>
                <w:sz w:val="24"/>
                <w:szCs w:val="24"/>
                <w:highlight w:val="none"/>
              </w:rPr>
              <w:t>版</w:t>
            </w:r>
            <w:r>
              <w:rPr>
                <w:rFonts w:hint="default" w:ascii="Times New Roman" w:hAnsi="Times New Roman" w:eastAsia="宋体" w:cs="Times New Roman"/>
                <w:color w:val="auto"/>
                <w:sz w:val="24"/>
                <w:szCs w:val="24"/>
                <w:highlight w:val="none"/>
                <w:lang w:val="en-US" w:eastAsia="zh-CN"/>
              </w:rPr>
              <w:t>HW08废矿物油与含矿物油废物中“变压器维护、更换和拆解过程中产生的废变压器油”（废物代码为 900-220-08）。由于矿物油更换数量较大，更换时提前预约具有相应资质的危废处理机构进行妥善处置，不在场内暂存。</w:t>
            </w:r>
          </w:p>
          <w:p>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eastAsia" w:cs="Times New Roman"/>
                <w:color w:val="auto"/>
                <w:sz w:val="24"/>
                <w:szCs w:val="24"/>
                <w:highlight w:val="none"/>
                <w:lang w:val="en-US" w:eastAsia="zh-CN"/>
              </w:rPr>
              <w:t>本项目拟建11</w:t>
            </w:r>
            <w:r>
              <w:rPr>
                <w:rFonts w:hint="default" w:ascii="Times New Roman" w:hAnsi="Times New Roman" w:eastAsia="宋体" w:cs="Times New Roman"/>
                <w:color w:val="auto"/>
                <w:sz w:val="24"/>
                <w:szCs w:val="24"/>
                <w:highlight w:val="none"/>
                <w:lang w:val="zh-CN"/>
              </w:rPr>
              <w:t>0kV升压站</w:t>
            </w:r>
            <w:r>
              <w:rPr>
                <w:rFonts w:hint="eastAsia" w:ascii="Times New Roman" w:hAnsi="Times New Roman" w:eastAsia="宋体" w:cs="Times New Roman"/>
                <w:color w:val="auto"/>
                <w:sz w:val="24"/>
                <w:szCs w:val="24"/>
                <w:highlight w:val="none"/>
                <w:lang w:val="en-US" w:eastAsia="zh-CN"/>
              </w:rPr>
              <w:t>内</w:t>
            </w:r>
            <w:r>
              <w:rPr>
                <w:rFonts w:hint="default" w:ascii="Times New Roman" w:hAnsi="Times New Roman" w:eastAsia="宋体" w:cs="Times New Roman"/>
                <w:color w:val="auto"/>
                <w:sz w:val="24"/>
                <w:szCs w:val="24"/>
                <w:highlight w:val="none"/>
                <w:lang w:val="en-US" w:eastAsia="zh-CN"/>
              </w:rPr>
              <w:t>设置1</w:t>
            </w:r>
            <w:r>
              <w:rPr>
                <w:rFonts w:hint="default" w:ascii="Times New Roman" w:hAnsi="Times New Roman" w:eastAsia="宋体" w:cs="Times New Roman"/>
                <w:color w:val="auto"/>
                <w:sz w:val="24"/>
                <w:szCs w:val="24"/>
                <w:highlight w:val="none"/>
                <w:lang w:val="zh-CN"/>
              </w:rPr>
              <w:t>台</w:t>
            </w:r>
            <w:r>
              <w:rPr>
                <w:rFonts w:hint="eastAsia"/>
                <w:color w:val="auto"/>
                <w:sz w:val="24"/>
              </w:rPr>
              <w:t>170</w:t>
            </w:r>
            <w:r>
              <w:rPr>
                <w:color w:val="auto"/>
                <w:sz w:val="24"/>
                <w:lang w:val="zh-CN"/>
              </w:rPr>
              <w:t>MVA</w:t>
            </w:r>
            <w:r>
              <w:rPr>
                <w:rFonts w:hint="default" w:ascii="Times New Roman" w:hAnsi="Times New Roman" w:eastAsia="宋体" w:cs="Times New Roman"/>
                <w:color w:val="auto"/>
                <w:sz w:val="24"/>
                <w:szCs w:val="24"/>
                <w:highlight w:val="none"/>
                <w:lang w:val="zh-CN"/>
              </w:rPr>
              <w:t>的</w:t>
            </w:r>
            <w:r>
              <w:rPr>
                <w:rFonts w:hint="default" w:ascii="Times New Roman" w:hAnsi="Times New Roman" w:eastAsia="宋体" w:cs="Times New Roman"/>
                <w:color w:val="auto"/>
                <w:sz w:val="24"/>
                <w:szCs w:val="24"/>
                <w:highlight w:val="none"/>
                <w:lang w:val="en-US" w:eastAsia="zh-CN"/>
              </w:rPr>
              <w:t>主变压器。升压站设置一个事故油池，主变靠事故油池一侧设集油坑，内接直径200mm钢管，通向事故油池，排油坡度不小于2</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。事故油池采用钢筋混凝土结构，有效容积</w:t>
            </w:r>
            <w:r>
              <w:rPr>
                <w:rFonts w:hint="eastAsia" w:ascii="Times New Roman" w:hAnsi="Times New Roman"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，满足单台主变压器事故后排油存储，事故油池底部和四周设置防渗措施（等效黏土防渗层Mb≥6.0m，K≤1.0×10</w:t>
            </w:r>
            <w:r>
              <w:rPr>
                <w:rFonts w:hint="default" w:ascii="Times New Roman" w:hAnsi="Times New Roman" w:eastAsia="宋体" w:cs="Times New Roman"/>
                <w:color w:val="auto"/>
                <w:sz w:val="24"/>
                <w:szCs w:val="24"/>
                <w:highlight w:val="none"/>
                <w:vertAlign w:val="superscript"/>
                <w:lang w:val="en-US" w:eastAsia="zh-CN"/>
              </w:rPr>
              <w:t>-7</w:t>
            </w:r>
            <w:r>
              <w:rPr>
                <w:rFonts w:hint="default" w:ascii="Times New Roman" w:hAnsi="Times New Roman" w:eastAsia="宋体" w:cs="Times New Roman"/>
                <w:color w:val="auto"/>
                <w:sz w:val="24"/>
                <w:szCs w:val="24"/>
                <w:highlight w:val="none"/>
                <w:lang w:val="en-US" w:eastAsia="zh-CN"/>
              </w:rPr>
              <w:t>cm/s），确保事故油和油污水在存储的过程中不会渗漏。变电站运营期正常情况下，变压器无漏油产生，一旦发生事故，产生的事故油排入事故油池，经收集后委托有资质的单位回收处置，因此事故排油全过程没有含油废污水排放，对环境影响不大。</w:t>
            </w:r>
          </w:p>
          <w:p>
            <w:pPr>
              <w:numPr>
                <w:ilvl w:val="0"/>
                <w:numId w:val="0"/>
              </w:num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废旧蓄电池</w:t>
            </w:r>
          </w:p>
          <w:p>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升压站控制室内设有蓄电池室，蓄电池用于变电站故障情况下，站内应急保护、测控供电及主控楼应急照明。废铅蓄电池属于危险废物（类别：HW31，含铅废物；代码：900-052-31）。蓄电池更换时，更换下来的废蓄电池由厂家当场拉走处理，不在变电站内暂存。</w:t>
            </w:r>
          </w:p>
          <w:p>
            <w:pPr>
              <w:snapToGrid w:val="0"/>
              <w:spacing w:line="360" w:lineRule="auto"/>
              <w:ind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）废旧太阳能电池板</w:t>
            </w:r>
          </w:p>
          <w:p>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使用的电池为多晶硅电池，其使用寿命一般为25年，由于使用过程中采光角度和电流阻断等故障发生可能会导致电池损坏，就须更换的废旧电池板。据建设单位提供，其废弃物的产生率为0.16%～0.2%，本项目废旧电池板产生率取0.2%，本项目共采用</w:t>
            </w:r>
            <w:r>
              <w:rPr>
                <w:rFonts w:hint="eastAsia" w:ascii="Times New Roman" w:hAnsi="Times New Roman" w:eastAsia="宋体" w:cs="Times New Roman"/>
                <w:b w:val="0"/>
                <w:bCs w:val="0"/>
                <w:color w:val="auto"/>
                <w:sz w:val="24"/>
                <w:szCs w:val="24"/>
                <w:highlight w:val="none"/>
                <w:lang w:val="zh-TW" w:eastAsia="zh-CN"/>
              </w:rPr>
              <w:t>5</w:t>
            </w:r>
            <w:r>
              <w:rPr>
                <w:rFonts w:hint="eastAsia" w:ascii="Times New Roman" w:hAnsi="Times New Roman" w:eastAsia="宋体" w:cs="Times New Roman"/>
                <w:b w:val="0"/>
                <w:bCs w:val="0"/>
                <w:color w:val="auto"/>
                <w:sz w:val="24"/>
                <w:szCs w:val="24"/>
                <w:highlight w:val="none"/>
                <w:lang w:val="en-US" w:eastAsia="zh-CN"/>
              </w:rPr>
              <w:t>45</w:t>
            </w:r>
            <w:r>
              <w:rPr>
                <w:rFonts w:hint="eastAsia" w:ascii="Times New Roman" w:hAnsi="Times New Roman" w:eastAsia="宋体" w:cs="Times New Roman"/>
                <w:b w:val="0"/>
                <w:bCs w:val="0"/>
                <w:color w:val="auto"/>
                <w:sz w:val="24"/>
                <w:szCs w:val="24"/>
                <w:highlight w:val="none"/>
                <w:lang w:val="zh-TW" w:eastAsia="zh-CN"/>
              </w:rPr>
              <w:t>Wp</w:t>
            </w:r>
            <w:r>
              <w:rPr>
                <w:rFonts w:hint="eastAsia" w:ascii="Times New Roman" w:hAnsi="Times New Roman" w:eastAsia="宋体" w:cs="Times New Roman"/>
                <w:b w:val="0"/>
                <w:bCs w:val="0"/>
                <w:color w:val="auto"/>
                <w:sz w:val="24"/>
                <w:szCs w:val="24"/>
                <w:highlight w:val="none"/>
                <w:lang w:val="en-US" w:eastAsia="zh-CN"/>
              </w:rPr>
              <w:t>规格双面光伏组件数量为76916块，</w:t>
            </w:r>
            <w:r>
              <w:rPr>
                <w:rFonts w:hint="eastAsia" w:ascii="Times New Roman" w:hAnsi="Times New Roman" w:eastAsia="宋体" w:cs="Times New Roman"/>
                <w:b w:val="0"/>
                <w:bCs w:val="0"/>
                <w:color w:val="auto"/>
                <w:sz w:val="24"/>
                <w:szCs w:val="24"/>
                <w:highlight w:val="none"/>
                <w:lang w:val="zh-TW" w:eastAsia="zh-CN"/>
              </w:rPr>
              <w:t>5</w:t>
            </w:r>
            <w:r>
              <w:rPr>
                <w:rFonts w:hint="eastAsia" w:ascii="Times New Roman" w:hAnsi="Times New Roman" w:eastAsia="宋体" w:cs="Times New Roman"/>
                <w:b w:val="0"/>
                <w:bCs w:val="0"/>
                <w:color w:val="auto"/>
                <w:sz w:val="24"/>
                <w:szCs w:val="24"/>
                <w:highlight w:val="none"/>
                <w:lang w:val="en-US" w:eastAsia="zh-CN"/>
              </w:rPr>
              <w:t>50</w:t>
            </w:r>
            <w:r>
              <w:rPr>
                <w:rFonts w:hint="eastAsia" w:ascii="Times New Roman" w:hAnsi="Times New Roman" w:eastAsia="宋体" w:cs="Times New Roman"/>
                <w:b w:val="0"/>
                <w:bCs w:val="0"/>
                <w:color w:val="auto"/>
                <w:sz w:val="24"/>
                <w:szCs w:val="24"/>
                <w:highlight w:val="none"/>
                <w:lang w:val="zh-TW" w:eastAsia="zh-CN"/>
              </w:rPr>
              <w:t>Wp</w:t>
            </w:r>
            <w:r>
              <w:rPr>
                <w:rFonts w:hint="eastAsia" w:ascii="Times New Roman" w:hAnsi="Times New Roman" w:eastAsia="宋体" w:cs="Times New Roman"/>
                <w:b w:val="0"/>
                <w:bCs w:val="0"/>
                <w:color w:val="auto"/>
                <w:sz w:val="24"/>
                <w:szCs w:val="24"/>
                <w:highlight w:val="none"/>
                <w:lang w:val="en-US" w:eastAsia="zh-CN"/>
              </w:rPr>
              <w:t>规格双面光伏组件数量为310856块</w:t>
            </w:r>
            <w:r>
              <w:rPr>
                <w:rFonts w:hint="default" w:ascii="Times New Roman" w:hAnsi="Times New Roman" w:eastAsia="宋体" w:cs="Times New Roman"/>
                <w:b w:val="0"/>
                <w:bCs w:val="0"/>
                <w:color w:val="auto"/>
                <w:sz w:val="24"/>
                <w:szCs w:val="24"/>
                <w:highlight w:val="none"/>
                <w:lang w:val="en-US" w:eastAsia="zh-CN"/>
              </w:rPr>
              <w:t>，单块电池板重约</w:t>
            </w:r>
            <w:r>
              <w:rPr>
                <w:rFonts w:hint="eastAsia" w:ascii="Times New Roman" w:hAnsi="Times New Roman" w:eastAsia="宋体" w:cs="Times New Roman"/>
                <w:b w:val="0"/>
                <w:bCs w:val="0"/>
                <w:color w:val="auto"/>
                <w:sz w:val="24"/>
                <w:szCs w:val="24"/>
                <w:highlight w:val="none"/>
                <w:lang w:val="en-US" w:eastAsia="zh-CN"/>
              </w:rPr>
              <w:t>3</w:t>
            </w:r>
            <w:r>
              <w:rPr>
                <w:rFonts w:hint="eastAsia" w:cs="Times New Roman"/>
                <w:b w:val="0"/>
                <w:bCs w:val="0"/>
                <w:color w:val="auto"/>
                <w:sz w:val="24"/>
                <w:szCs w:val="24"/>
                <w:highlight w:val="none"/>
                <w:lang w:val="en-US" w:eastAsia="zh-CN"/>
              </w:rPr>
              <w:t>2.6</w:t>
            </w:r>
            <w:r>
              <w:rPr>
                <w:rFonts w:hint="default" w:ascii="Times New Roman" w:hAnsi="Times New Roman" w:eastAsia="宋体" w:cs="Times New Roman"/>
                <w:b w:val="0"/>
                <w:bCs w:val="0"/>
                <w:color w:val="auto"/>
                <w:sz w:val="24"/>
                <w:szCs w:val="24"/>
                <w:highlight w:val="none"/>
                <w:lang w:val="en-US" w:eastAsia="zh-CN"/>
              </w:rPr>
              <w:t>kg。根据建设单位提供资料，产生废旧电池板的量约为</w:t>
            </w:r>
            <w:r>
              <w:rPr>
                <w:rFonts w:hint="eastAsia" w:cs="Times New Roman"/>
                <w:b w:val="0"/>
                <w:bCs w:val="0"/>
                <w:color w:val="auto"/>
                <w:sz w:val="24"/>
                <w:szCs w:val="24"/>
                <w:highlight w:val="none"/>
                <w:lang w:val="en-US" w:eastAsia="zh-CN"/>
              </w:rPr>
              <w:t>25.28</w:t>
            </w:r>
            <w:r>
              <w:rPr>
                <w:rFonts w:hint="default" w:ascii="Times New Roman" w:hAnsi="Times New Roman" w:eastAsia="宋体" w:cs="Times New Roman"/>
                <w:b w:val="0"/>
                <w:bCs w:val="0"/>
                <w:color w:val="auto"/>
                <w:sz w:val="24"/>
                <w:szCs w:val="24"/>
                <w:highlight w:val="none"/>
                <w:lang w:val="en-US" w:eastAsia="zh-CN"/>
              </w:rPr>
              <w:t>t。废旧太阳能电池板集中收集至危废暂存间后，定期交由有危废处置资质的单位处理。</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生活垃圾</w:t>
            </w:r>
          </w:p>
          <w:p>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升压站劳动定员为</w:t>
            </w:r>
            <w:r>
              <w:rPr>
                <w:rFonts w:hint="eastAsia" w:ascii="Times New Roman" w:hAnsi="Times New Roman" w:eastAsia="宋体" w:cs="Times New Roman"/>
                <w:b w:val="0"/>
                <w:bCs w:val="0"/>
                <w:color w:val="auto"/>
                <w:sz w:val="24"/>
                <w:szCs w:val="24"/>
                <w:highlight w:val="none"/>
                <w:lang w:val="en-US" w:eastAsia="zh-CN"/>
              </w:rPr>
              <w:t>20</w:t>
            </w:r>
            <w:r>
              <w:rPr>
                <w:rFonts w:hint="default" w:ascii="Times New Roman" w:hAnsi="Times New Roman" w:eastAsia="宋体" w:cs="Times New Roman"/>
                <w:b w:val="0"/>
                <w:bCs w:val="0"/>
                <w:color w:val="auto"/>
                <w:sz w:val="24"/>
                <w:szCs w:val="24"/>
                <w:highlight w:val="none"/>
                <w:lang w:val="en-US" w:eastAsia="zh-CN"/>
              </w:rPr>
              <w:t>人，垃圾产生量以1kg/人·d计，则生活垃圾的产生量为</w:t>
            </w:r>
            <w:r>
              <w:rPr>
                <w:rFonts w:hint="eastAsia" w:ascii="Times New Roman" w:hAnsi="Times New Roman" w:eastAsia="宋体" w:cs="Times New Roman"/>
                <w:b w:val="0"/>
                <w:bCs w:val="0"/>
                <w:color w:val="auto"/>
                <w:sz w:val="24"/>
                <w:szCs w:val="24"/>
                <w:highlight w:val="none"/>
                <w:lang w:val="en-US" w:eastAsia="zh-CN"/>
              </w:rPr>
              <w:t>7.3</w:t>
            </w:r>
            <w:r>
              <w:rPr>
                <w:rFonts w:hint="default" w:ascii="Times New Roman" w:hAnsi="Times New Roman" w:eastAsia="宋体" w:cs="Times New Roman"/>
                <w:b w:val="0"/>
                <w:bCs w:val="0"/>
                <w:color w:val="auto"/>
                <w:sz w:val="24"/>
                <w:szCs w:val="24"/>
                <w:highlight w:val="none"/>
                <w:lang w:val="en-US" w:eastAsia="zh-CN"/>
              </w:rPr>
              <w:t>t/a，生活垃圾统一收集后运至附近村庄垃圾收集点处理。</w:t>
            </w:r>
          </w:p>
          <w:p>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综上所述，项目运营期产生的固废能得到妥善处置，对周围环境影响较小。</w:t>
            </w:r>
          </w:p>
          <w:p>
            <w:pPr>
              <w:numPr>
                <w:ilvl w:val="0"/>
                <w:numId w:val="0"/>
              </w:numPr>
              <w:autoSpaceDE w:val="0"/>
              <w:autoSpaceDN w:val="0"/>
              <w:adjustRightInd w:val="0"/>
              <w:snapToGrid w:val="0"/>
              <w:spacing w:line="360" w:lineRule="auto"/>
              <w:ind w:firstLine="480" w:firstLineChars="2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本项目固体废弃物产排情况汇总如下：</w:t>
            </w:r>
          </w:p>
          <w:p>
            <w:pPr>
              <w:autoSpaceDE w:val="0"/>
              <w:autoSpaceDN w:val="0"/>
              <w:spacing w:line="360" w:lineRule="auto"/>
              <w:jc w:val="center"/>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表4.5-3  项目固体废弃物产排情况一览表</w:t>
            </w:r>
          </w:p>
          <w:tbl>
            <w:tblPr>
              <w:tblStyle w:val="18"/>
              <w:tblW w:w="497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1148"/>
              <w:gridCol w:w="1739"/>
              <w:gridCol w:w="833"/>
              <w:gridCol w:w="300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noWrap w:val="0"/>
                  <w:vAlign w:val="center"/>
                </w:tcPr>
                <w:p>
                  <w:pPr>
                    <w:adjustRightInd w:val="0"/>
                    <w:snapToGri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固废</w:t>
                  </w:r>
                </w:p>
              </w:tc>
              <w:tc>
                <w:tcPr>
                  <w:tcW w:w="715" w:type="pct"/>
                  <w:noWrap w:val="0"/>
                  <w:vAlign w:val="center"/>
                </w:tcPr>
                <w:p>
                  <w:pPr>
                    <w:adjustRightInd w:val="0"/>
                    <w:snapToGri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主要成分</w:t>
                  </w:r>
                </w:p>
              </w:tc>
              <w:tc>
                <w:tcPr>
                  <w:tcW w:w="1083" w:type="pct"/>
                  <w:noWrap w:val="0"/>
                  <w:vAlign w:val="center"/>
                </w:tcPr>
                <w:p>
                  <w:pPr>
                    <w:adjustRightInd w:val="0"/>
                    <w:snapToGri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属性</w:t>
                  </w:r>
                </w:p>
              </w:tc>
              <w:tc>
                <w:tcPr>
                  <w:tcW w:w="519" w:type="pct"/>
                  <w:noWrap w:val="0"/>
                  <w:vAlign w:val="center"/>
                </w:tcPr>
                <w:p>
                  <w:pPr>
                    <w:adjustRightInd w:val="0"/>
                    <w:snapToGri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产生量(t/a)</w:t>
                  </w:r>
                </w:p>
              </w:tc>
              <w:tc>
                <w:tcPr>
                  <w:tcW w:w="1871" w:type="pct"/>
                  <w:noWrap w:val="0"/>
                  <w:vAlign w:val="center"/>
                </w:tcPr>
                <w:p>
                  <w:pPr>
                    <w:adjustRightInd w:val="0"/>
                    <w:snapToGri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处置情况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生活垃圾</w:t>
                  </w:r>
                </w:p>
              </w:tc>
              <w:tc>
                <w:tcPr>
                  <w:tcW w:w="715" w:type="pct"/>
                  <w:noWrap w:val="0"/>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杂物、食物残渣等</w:t>
                  </w:r>
                </w:p>
              </w:tc>
              <w:tc>
                <w:tcPr>
                  <w:tcW w:w="1083" w:type="pct"/>
                  <w:noWrap w:val="0"/>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一般固废</w:t>
                  </w:r>
                </w:p>
              </w:tc>
              <w:tc>
                <w:tcPr>
                  <w:tcW w:w="519" w:type="pct"/>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7.3</w:t>
                  </w:r>
                </w:p>
              </w:tc>
              <w:tc>
                <w:tcPr>
                  <w:tcW w:w="1871" w:type="pct"/>
                  <w:noWrap w:val="0"/>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设垃圾桶收集后，定期送周边村庄垃圾收集点统一处置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污水处理系统污泥</w:t>
                  </w:r>
                </w:p>
              </w:tc>
              <w:tc>
                <w:tcPr>
                  <w:tcW w:w="715" w:type="pct"/>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有机物</w:t>
                  </w:r>
                </w:p>
              </w:tc>
              <w:tc>
                <w:tcPr>
                  <w:tcW w:w="1083" w:type="pct"/>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一般固废</w:t>
                  </w:r>
                </w:p>
              </w:tc>
              <w:tc>
                <w:tcPr>
                  <w:tcW w:w="519" w:type="pct"/>
                  <w:noWrap w:val="0"/>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p>
              </w:tc>
              <w:tc>
                <w:tcPr>
                  <w:tcW w:w="1871" w:type="pct"/>
                  <w:noWrap w:val="0"/>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委托周边农户定期清掏后用于电站周围植物施肥。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废弃光伏组件</w:t>
                  </w:r>
                </w:p>
              </w:tc>
              <w:tc>
                <w:tcPr>
                  <w:tcW w:w="715" w:type="pct"/>
                  <w:noWrap w:val="0"/>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玻璃、</w:t>
                  </w:r>
                  <w:r>
                    <w:rPr>
                      <w:rFonts w:ascii="Times New Roman" w:hAnsi="Times New Roman" w:eastAsia="宋体" w:cs="Times New Roman"/>
                      <w:color w:val="auto"/>
                      <w:szCs w:val="21"/>
                    </w:rPr>
                    <w:t>晶体硅</w:t>
                  </w:r>
                  <w:r>
                    <w:rPr>
                      <w:rFonts w:hint="eastAsia" w:ascii="Times New Roman" w:hAnsi="Times New Roman" w:eastAsia="宋体" w:cs="Times New Roman"/>
                      <w:color w:val="auto"/>
                      <w:szCs w:val="21"/>
                    </w:rPr>
                    <w:t>、EVA膜</w:t>
                  </w:r>
                </w:p>
              </w:tc>
              <w:tc>
                <w:tcPr>
                  <w:tcW w:w="1083" w:type="pct"/>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一般固废</w:t>
                  </w:r>
                </w:p>
              </w:tc>
              <w:tc>
                <w:tcPr>
                  <w:tcW w:w="519" w:type="pct"/>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25.28</w:t>
                  </w:r>
                </w:p>
              </w:tc>
              <w:tc>
                <w:tcPr>
                  <w:tcW w:w="1871" w:type="pct"/>
                  <w:noWrap w:val="0"/>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由厂家回收处理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废变压器油</w:t>
                  </w:r>
                </w:p>
              </w:tc>
              <w:tc>
                <w:tcPr>
                  <w:tcW w:w="715" w:type="pct"/>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矿物油</w:t>
                  </w:r>
                </w:p>
              </w:tc>
              <w:tc>
                <w:tcPr>
                  <w:tcW w:w="1083" w:type="pct"/>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危险固废</w:t>
                  </w:r>
                  <w:r>
                    <w:rPr>
                      <w:rFonts w:hint="eastAsia" w:ascii="Times New Roman" w:hAnsi="Times New Roman" w:eastAsia="宋体" w:cs="Times New Roman"/>
                      <w:color w:val="auto"/>
                      <w:szCs w:val="21"/>
                    </w:rPr>
                    <w:t>HW</w:t>
                  </w:r>
                  <w:r>
                    <w:rPr>
                      <w:rFonts w:ascii="Times New Roman" w:hAnsi="Times New Roman" w:eastAsia="宋体" w:cs="Times New Roman"/>
                      <w:color w:val="auto"/>
                      <w:szCs w:val="21"/>
                    </w:rPr>
                    <w:t>08</w:t>
                  </w:r>
                </w:p>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900-220-08</w:t>
                  </w:r>
                </w:p>
              </w:tc>
              <w:tc>
                <w:tcPr>
                  <w:tcW w:w="519" w:type="pct"/>
                  <w:noWrap w:val="0"/>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p>
              </w:tc>
              <w:tc>
                <w:tcPr>
                  <w:tcW w:w="1871" w:type="pct"/>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采用油桶收集后，分区暂存于危废暂存间，委托有危废处置资质的单位定期清运处理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废润滑油</w:t>
                  </w:r>
                </w:p>
              </w:tc>
              <w:tc>
                <w:tcPr>
                  <w:tcW w:w="715" w:type="pct"/>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矿物油</w:t>
                  </w:r>
                </w:p>
              </w:tc>
              <w:tc>
                <w:tcPr>
                  <w:tcW w:w="1083" w:type="pct"/>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危险固废</w:t>
                  </w:r>
                  <w:r>
                    <w:rPr>
                      <w:rFonts w:hint="eastAsia" w:ascii="Times New Roman" w:hAnsi="Times New Roman" w:eastAsia="宋体" w:cs="Times New Roman"/>
                      <w:color w:val="auto"/>
                      <w:szCs w:val="21"/>
                    </w:rPr>
                    <w:t>HW</w:t>
                  </w:r>
                  <w:r>
                    <w:rPr>
                      <w:rFonts w:ascii="Times New Roman" w:hAnsi="Times New Roman" w:eastAsia="宋体" w:cs="Times New Roman"/>
                      <w:color w:val="auto"/>
                      <w:szCs w:val="21"/>
                    </w:rPr>
                    <w:t>08</w:t>
                  </w:r>
                </w:p>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900-249-08</w:t>
                  </w:r>
                </w:p>
              </w:tc>
              <w:tc>
                <w:tcPr>
                  <w:tcW w:w="519" w:type="pct"/>
                  <w:noWrap w:val="0"/>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w:t>
                  </w:r>
                  <w:r>
                    <w:rPr>
                      <w:rFonts w:ascii="Times New Roman" w:hAnsi="Times New Roman" w:eastAsia="宋体" w:cs="Times New Roman"/>
                      <w:color w:val="auto"/>
                      <w:szCs w:val="21"/>
                    </w:rPr>
                    <w:t>.05</w:t>
                  </w:r>
                </w:p>
              </w:tc>
              <w:tc>
                <w:tcPr>
                  <w:tcW w:w="1871" w:type="pct"/>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采用油桶收集后，分区暂存于危废暂存间，委托有危废处置资质的单位定期清运处理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废铅蓄电池</w:t>
                  </w:r>
                </w:p>
              </w:tc>
              <w:tc>
                <w:tcPr>
                  <w:tcW w:w="715" w:type="pct"/>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含铅</w:t>
                  </w:r>
                </w:p>
              </w:tc>
              <w:tc>
                <w:tcPr>
                  <w:tcW w:w="1083" w:type="pct"/>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危险固废</w:t>
                  </w:r>
                  <w:r>
                    <w:rPr>
                      <w:rFonts w:hint="eastAsia" w:ascii="Times New Roman" w:hAnsi="Times New Roman" w:eastAsia="宋体" w:cs="Times New Roman"/>
                      <w:color w:val="auto"/>
                      <w:szCs w:val="21"/>
                    </w:rPr>
                    <w:t>HW</w:t>
                  </w:r>
                  <w:r>
                    <w:rPr>
                      <w:rFonts w:ascii="Times New Roman" w:hAnsi="Times New Roman" w:eastAsia="宋体" w:cs="Times New Roman"/>
                      <w:color w:val="auto"/>
                      <w:szCs w:val="21"/>
                    </w:rPr>
                    <w:t>31</w:t>
                  </w:r>
                </w:p>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900-052-31</w:t>
                  </w:r>
                </w:p>
              </w:tc>
              <w:tc>
                <w:tcPr>
                  <w:tcW w:w="519" w:type="pct"/>
                  <w:noWrap w:val="0"/>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w:t>
                  </w:r>
                  <w:r>
                    <w:rPr>
                      <w:rFonts w:ascii="Times New Roman" w:hAnsi="Times New Roman" w:eastAsia="宋体" w:cs="Times New Roman"/>
                      <w:color w:val="auto"/>
                      <w:szCs w:val="21"/>
                    </w:rPr>
                    <w:t>.2</w:t>
                  </w:r>
                </w:p>
              </w:tc>
              <w:tc>
                <w:tcPr>
                  <w:tcW w:w="1871" w:type="pct"/>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分区暂存于危废暂存间，委托有危废处置资质的单位定期清运处理</w:t>
                  </w:r>
                </w:p>
              </w:tc>
            </w:tr>
          </w:tbl>
          <w:p>
            <w:pPr>
              <w:spacing w:before="120" w:beforeLines="50" w:line="360" w:lineRule="auto"/>
              <w:ind w:firstLine="482" w:firstLineChars="200"/>
              <w:rPr>
                <w:rFonts w:ascii="Times New Roman" w:hAnsi="Times New Roman" w:eastAsia="宋体" w:cs="Times New Roman"/>
                <w:b/>
                <w:color w:val="auto"/>
                <w:sz w:val="24"/>
              </w:rPr>
            </w:pPr>
            <w:r>
              <w:rPr>
                <w:rFonts w:hint="eastAsia" w:ascii="Times New Roman" w:hAnsi="Times New Roman" w:eastAsia="宋体" w:cs="Times New Roman"/>
                <w:b/>
                <w:color w:val="auto"/>
                <w:sz w:val="24"/>
              </w:rPr>
              <w:t>固体废物环境管理要求：</w:t>
            </w:r>
          </w:p>
          <w:p>
            <w:pPr>
              <w:autoSpaceDE w:val="0"/>
              <w:autoSpaceDN w:val="0"/>
              <w:adjustRightInd w:val="0"/>
              <w:snapToGrid w:val="0"/>
              <w:spacing w:line="360" w:lineRule="auto"/>
              <w:ind w:firstLine="480" w:firstLineChars="200"/>
              <w:rPr>
                <w:rFonts w:ascii="Times New Roman" w:hAnsi="Times New Roman" w:eastAsia="宋体" w:cs="Times New Roman"/>
                <w:bCs/>
                <w:color w:val="auto"/>
                <w:sz w:val="24"/>
              </w:rPr>
            </w:pPr>
            <w:r>
              <w:rPr>
                <w:rFonts w:hint="eastAsia" w:ascii="Times New Roman" w:hAnsi="Times New Roman" w:eastAsia="宋体" w:cs="Times New Roman"/>
                <w:bCs/>
                <w:color w:val="auto"/>
                <w:sz w:val="24"/>
              </w:rPr>
              <w:t>1）一般工业固废：</w:t>
            </w:r>
          </w:p>
          <w:p>
            <w:pPr>
              <w:autoSpaceDE w:val="0"/>
              <w:autoSpaceDN w:val="0"/>
              <w:adjustRightInd w:val="0"/>
              <w:snapToGrid w:val="0"/>
              <w:spacing w:line="360" w:lineRule="auto"/>
              <w:ind w:firstLine="480" w:firstLineChars="200"/>
              <w:rPr>
                <w:rFonts w:ascii="Times New Roman" w:hAnsi="Times New Roman" w:eastAsia="宋体" w:cs="Times New Roman"/>
                <w:bCs/>
                <w:color w:val="auto"/>
                <w:sz w:val="24"/>
              </w:rPr>
            </w:pPr>
            <w:r>
              <w:rPr>
                <w:rFonts w:hint="eastAsia" w:ascii="宋体" w:hAnsi="宋体" w:eastAsia="宋体" w:cs="Times New Roman"/>
                <w:bCs/>
                <w:color w:val="auto"/>
                <w:sz w:val="24"/>
              </w:rPr>
              <w:t>①</w:t>
            </w:r>
            <w:r>
              <w:rPr>
                <w:rFonts w:hint="eastAsia" w:ascii="Times New Roman" w:hAnsi="Times New Roman" w:eastAsia="宋体" w:cs="Times New Roman"/>
                <w:bCs/>
                <w:color w:val="auto"/>
                <w:sz w:val="24"/>
              </w:rPr>
              <w:t>生活垃圾、污泥存放应做到防雨、防流失、覆盖；</w:t>
            </w:r>
          </w:p>
          <w:p>
            <w:pPr>
              <w:autoSpaceDE w:val="0"/>
              <w:autoSpaceDN w:val="0"/>
              <w:adjustRightInd w:val="0"/>
              <w:snapToGrid w:val="0"/>
              <w:spacing w:line="360" w:lineRule="auto"/>
              <w:ind w:firstLine="480" w:firstLineChars="200"/>
              <w:rPr>
                <w:rFonts w:ascii="Times New Roman" w:hAnsi="Times New Roman" w:eastAsia="宋体" w:cs="Times New Roman"/>
                <w:bCs/>
                <w:color w:val="auto"/>
                <w:sz w:val="24"/>
              </w:rPr>
            </w:pPr>
            <w:r>
              <w:rPr>
                <w:rFonts w:hint="eastAsia" w:ascii="宋体" w:hAnsi="宋体" w:eastAsia="宋体" w:cs="Times New Roman"/>
                <w:bCs/>
                <w:color w:val="auto"/>
                <w:sz w:val="24"/>
              </w:rPr>
              <w:t>②</w:t>
            </w:r>
            <w:r>
              <w:rPr>
                <w:rFonts w:hint="eastAsia" w:ascii="Times New Roman" w:hAnsi="Times New Roman" w:eastAsia="宋体" w:cs="Times New Roman"/>
                <w:bCs/>
                <w:color w:val="auto"/>
                <w:sz w:val="24"/>
              </w:rPr>
              <w:t>更换的废弃光伏组件由厂家带回回收处理；</w:t>
            </w:r>
          </w:p>
          <w:p>
            <w:pPr>
              <w:autoSpaceDE w:val="0"/>
              <w:autoSpaceDN w:val="0"/>
              <w:adjustRightInd w:val="0"/>
              <w:snapToGrid w:val="0"/>
              <w:spacing w:line="360" w:lineRule="auto"/>
              <w:ind w:firstLine="480" w:firstLineChars="200"/>
              <w:rPr>
                <w:rFonts w:ascii="宋体" w:hAnsi="宋体" w:eastAsia="宋体" w:cs="Times New Roman"/>
                <w:bCs/>
                <w:color w:val="auto"/>
                <w:sz w:val="24"/>
              </w:rPr>
            </w:pPr>
            <w:r>
              <w:rPr>
                <w:rFonts w:hint="eastAsia" w:ascii="宋体" w:hAnsi="宋体" w:eastAsia="宋体" w:cs="Times New Roman"/>
                <w:bCs/>
                <w:color w:val="auto"/>
                <w:sz w:val="24"/>
              </w:rPr>
              <w:t>③不得露天堆放，防止雨水进入产生二次污染</w:t>
            </w:r>
          </w:p>
          <w:p>
            <w:pPr>
              <w:autoSpaceDE w:val="0"/>
              <w:autoSpaceDN w:val="0"/>
              <w:adjustRightInd w:val="0"/>
              <w:snapToGrid w:val="0"/>
              <w:spacing w:line="360" w:lineRule="auto"/>
              <w:ind w:firstLine="480" w:firstLineChars="200"/>
              <w:rPr>
                <w:rFonts w:ascii="Times New Roman" w:hAnsi="Times New Roman" w:eastAsia="宋体" w:cs="Times New Roman"/>
                <w:bCs/>
                <w:color w:val="auto"/>
                <w:sz w:val="24"/>
              </w:rPr>
            </w:pPr>
            <w:r>
              <w:rPr>
                <w:rFonts w:hint="eastAsia" w:ascii="Times New Roman" w:hAnsi="Times New Roman" w:eastAsia="宋体" w:cs="Times New Roman"/>
                <w:bCs/>
                <w:color w:val="auto"/>
                <w:sz w:val="24"/>
              </w:rPr>
              <w:t>2）危险废物：</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于仓库内设置一间危废暂存间，面积</w:t>
            </w:r>
            <w:r>
              <w:rPr>
                <w:rFonts w:ascii="Times New Roman" w:hAnsi="Times New Roman" w:eastAsia="宋体" w:cs="Times New Roman"/>
                <w:color w:val="auto"/>
                <w:sz w:val="24"/>
              </w:rPr>
              <w:t>20</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2</w:t>
            </w:r>
            <w:r>
              <w:rPr>
                <w:rFonts w:hint="eastAsia" w:ascii="Times New Roman" w:hAnsi="Times New Roman" w:eastAsia="宋体" w:cs="Times New Roman"/>
                <w:color w:val="auto"/>
                <w:sz w:val="24"/>
              </w:rPr>
              <w:t>，用于各类危废的分区暂存。危废暂存间采用全封闭式，建设单位应根据危险废物特性设置符合《危险废物贮存污染控制标准》（GB18597-2001）及其2</w:t>
            </w:r>
            <w:r>
              <w:rPr>
                <w:rFonts w:ascii="Times New Roman" w:hAnsi="Times New Roman" w:eastAsia="宋体" w:cs="Times New Roman"/>
                <w:color w:val="auto"/>
                <w:sz w:val="24"/>
              </w:rPr>
              <w:t>013年修改单</w:t>
            </w:r>
            <w:r>
              <w:rPr>
                <w:rFonts w:hint="eastAsia" w:ascii="Times New Roman" w:hAnsi="Times New Roman" w:eastAsia="宋体" w:cs="Times New Roman"/>
                <w:color w:val="auto"/>
                <w:sz w:val="24"/>
              </w:rPr>
              <w:t>要求的危险废物暂存场所，具体包括：</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a、严格执行《危险废物转移联单管理办法》和《危险废物经营许可证管理办法等》，对进厂、使用、出厂的危险废物量进行统计，并定期向环境保护管理部门报送；</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b、危险废物临时贮存库地面与裙角要用坚固、防渗的材料建造，建筑材料必须与危险废物相容；</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c、危险废物临时贮存库必须有而腐蚀的硬化地面，且表面无裂隙；</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d、危险废物堆放基础防渗，防渗层为至少2毫米厚高密度聚乙烯，渗透系数≤10</w:t>
            </w:r>
            <w:r>
              <w:rPr>
                <w:rFonts w:hint="eastAsia" w:ascii="Times New Roman" w:hAnsi="Times New Roman" w:eastAsia="宋体" w:cs="Times New Roman"/>
                <w:color w:val="auto"/>
                <w:sz w:val="24"/>
                <w:vertAlign w:val="superscript"/>
              </w:rPr>
              <w:t>-10</w:t>
            </w:r>
            <w:r>
              <w:rPr>
                <w:rFonts w:hint="eastAsia" w:ascii="Times New Roman" w:hAnsi="Times New Roman" w:eastAsia="宋体" w:cs="Times New Roman"/>
                <w:color w:val="auto"/>
                <w:sz w:val="24"/>
              </w:rPr>
              <w:t>厘米/秒；</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e、危险废液贮存需设计堵截泄漏的裙脚，地面与裙脚所围建的容积不低于堵截最大窗口的最大储量或总储量的五分之一；</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f、设施内要有安全照明和观察窗口；</w:t>
            </w:r>
          </w:p>
          <w:p>
            <w:pPr>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g、危险废物临时贮存场要防风、防风、防晒；同时，建设单位应按《中华人民共和国固体废物污染环境防治法》的规定向上级固体废物管理中心如实申报本项目固体废物产生量、拟采取的处置措施及去向，并按该中心的要求对本项目产生的固体废物特别是危险废物进行全过程严格管理和安全处置。</w:t>
            </w:r>
          </w:p>
          <w:p>
            <w:pPr>
              <w:keepNext/>
              <w:keepLines/>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2"/>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4.3.3</w:t>
            </w:r>
            <w:r>
              <w:rPr>
                <w:rFonts w:hint="eastAsia" w:ascii="Times New Roman" w:hAnsi="Times New Roman" w:eastAsia="宋体" w:cs="Times New Roman"/>
                <w:b/>
                <w:bCs/>
                <w:color w:val="auto"/>
                <w:sz w:val="24"/>
                <w:szCs w:val="24"/>
                <w:highlight w:val="none"/>
                <w:lang w:val="en-US" w:eastAsia="zh-CN"/>
              </w:rPr>
              <w:t>环境</w:t>
            </w:r>
            <w:r>
              <w:rPr>
                <w:rFonts w:hint="default" w:ascii="Times New Roman" w:hAnsi="Times New Roman" w:eastAsia="宋体" w:cs="Times New Roman"/>
                <w:b/>
                <w:bCs/>
                <w:color w:val="auto"/>
                <w:sz w:val="24"/>
                <w:szCs w:val="24"/>
                <w:highlight w:val="none"/>
                <w:lang w:val="en-US" w:eastAsia="zh-CN"/>
              </w:rPr>
              <w:t>风险分析</w:t>
            </w:r>
          </w:p>
          <w:p>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bookmarkStart w:id="20" w:name="_Toc476926933"/>
            <w:bookmarkStart w:id="21" w:name="_Toc466621401"/>
            <w:r>
              <w:rPr>
                <w:rFonts w:hint="eastAsia" w:ascii="Times New Roman" w:hAnsi="Times New Roman" w:eastAsia="宋体" w:cs="Times New Roman"/>
                <w:b w:val="0"/>
                <w:bCs w:val="0"/>
                <w:color w:val="auto"/>
                <w:sz w:val="24"/>
                <w:szCs w:val="24"/>
                <w:highlight w:val="none"/>
                <w:lang w:val="en-US" w:eastAsia="zh-CN"/>
              </w:rPr>
              <w:t>环境风险评价的目的是分析和预测建设项目存在的潜在危险、有害因素，建设项目建设和运营期间可能发生的突发性事件或事故，引起有毒有害和易燃易爆等物质的泄漏，所造成的人身安全与环境影响和损害程度，提出合理可行的防范、应急与减缓措施，以使建设项目事故率、损失和环境影响达到可接受的水平。</w:t>
            </w:r>
            <w:r>
              <w:rPr>
                <w:rFonts w:hint="default" w:ascii="Times New Roman" w:hAnsi="Times New Roman" w:eastAsia="宋体" w:cs="Times New Roman"/>
                <w:b w:val="0"/>
                <w:bCs w:val="0"/>
                <w:color w:val="auto"/>
                <w:sz w:val="24"/>
                <w:szCs w:val="24"/>
                <w:highlight w:val="none"/>
                <w:lang w:val="en-US" w:eastAsia="zh-CN"/>
              </w:rPr>
              <w:t>本次评价根据《建设项目环境风险评价技术导则》（HJ 169-2018）要求进行评价。</w:t>
            </w:r>
          </w:p>
          <w:bookmarkEnd w:id="20"/>
          <w:bookmarkEnd w:id="21"/>
          <w:p>
            <w:pPr>
              <w:widowControl w:val="0"/>
              <w:spacing w:line="360" w:lineRule="auto"/>
              <w:ind w:firstLine="482" w:firstLineChars="200"/>
              <w:jc w:val="both"/>
              <w:rPr>
                <w:rFonts w:ascii="Times New Roman" w:hAnsi="Times New Roman" w:eastAsia="宋体" w:cs="Times New Roman"/>
                <w:b/>
                <w:snapToGrid w:val="0"/>
                <w:color w:val="auto"/>
                <w:kern w:val="0"/>
                <w:sz w:val="24"/>
                <w:szCs w:val="28"/>
                <w:lang w:val="en-US" w:eastAsia="zh-CN" w:bidi="ar-SA"/>
              </w:rPr>
            </w:pPr>
            <w:r>
              <w:rPr>
                <w:rFonts w:hint="eastAsia" w:ascii="Times New Roman" w:hAnsi="Times New Roman" w:eastAsia="宋体" w:cs="Times New Roman"/>
                <w:b/>
                <w:snapToGrid w:val="0"/>
                <w:color w:val="auto"/>
                <w:kern w:val="0"/>
                <w:sz w:val="24"/>
                <w:szCs w:val="28"/>
                <w:lang w:val="en-US" w:eastAsia="zh-CN" w:bidi="ar-SA"/>
              </w:rPr>
              <w:t>（1）环境风险识别</w:t>
            </w:r>
          </w:p>
          <w:p>
            <w:pPr>
              <w:widowControl w:val="0"/>
              <w:spacing w:line="360" w:lineRule="auto"/>
              <w:ind w:firstLine="480" w:firstLineChars="200"/>
              <w:jc w:val="both"/>
              <w:rPr>
                <w:rFonts w:ascii="Times New Roman" w:hAnsi="Times New Roman" w:eastAsia="宋体" w:cs="Times New Roman"/>
                <w:snapToGrid w:val="0"/>
                <w:color w:val="auto"/>
                <w:kern w:val="0"/>
                <w:sz w:val="24"/>
                <w:szCs w:val="28"/>
                <w:lang w:val="en-US" w:eastAsia="zh-CN" w:bidi="ar-SA"/>
              </w:rPr>
            </w:pPr>
            <w:r>
              <w:rPr>
                <w:rFonts w:hint="eastAsia" w:ascii="宋体" w:hAnsi="宋体" w:eastAsia="宋体" w:cs="Times New Roman"/>
                <w:snapToGrid w:val="0"/>
                <w:color w:val="auto"/>
                <w:kern w:val="0"/>
                <w:sz w:val="24"/>
                <w:szCs w:val="28"/>
                <w:lang w:val="en-US" w:eastAsia="zh-CN" w:bidi="ar-SA"/>
              </w:rPr>
              <w:t>①</w:t>
            </w:r>
            <w:r>
              <w:rPr>
                <w:rFonts w:ascii="Times New Roman" w:hAnsi="Times New Roman" w:eastAsia="宋体" w:cs="Times New Roman"/>
                <w:snapToGrid w:val="0"/>
                <w:color w:val="auto"/>
                <w:kern w:val="0"/>
                <w:sz w:val="24"/>
                <w:szCs w:val="28"/>
                <w:lang w:val="en-US" w:eastAsia="zh-CN" w:bidi="ar-SA"/>
              </w:rPr>
              <w:t>物质危险性识别</w:t>
            </w:r>
          </w:p>
          <w:p>
            <w:pPr>
              <w:widowControl w:val="0"/>
              <w:spacing w:line="360" w:lineRule="auto"/>
              <w:ind w:firstLine="480" w:firstLineChars="200"/>
              <w:jc w:val="both"/>
              <w:rPr>
                <w:rFonts w:ascii="Times New Roman" w:hAnsi="Times New Roman" w:eastAsia="宋体" w:cs="Times New Roman"/>
                <w:snapToGrid w:val="0"/>
                <w:color w:val="auto"/>
                <w:kern w:val="0"/>
                <w:sz w:val="24"/>
                <w:szCs w:val="28"/>
                <w:lang w:val="en-US" w:eastAsia="zh-CN" w:bidi="ar-SA"/>
              </w:rPr>
            </w:pPr>
            <w:r>
              <w:rPr>
                <w:rFonts w:hint="eastAsia" w:ascii="Times New Roman" w:hAnsi="Times New Roman" w:eastAsia="宋体" w:cs="Times New Roman"/>
                <w:snapToGrid w:val="0"/>
                <w:color w:val="auto"/>
                <w:kern w:val="0"/>
                <w:sz w:val="24"/>
                <w:szCs w:val="28"/>
                <w:lang w:val="en-US" w:eastAsia="zh-CN" w:bidi="ar-SA"/>
              </w:rPr>
              <w:t>本项目涉及的风险物质主要是矿物油，包括存在于升压站主变压器和光伏场区箱变外壳内绝缘层中的变压器油、升压站油品库内储存的变压器油、以及设备维护保养产生的废弃变压器油及润滑油。此外项目废铅蓄电池中含有铅和硫酸，其中铅占电池总重量的8</w:t>
            </w:r>
            <w:r>
              <w:rPr>
                <w:rFonts w:ascii="Times New Roman" w:hAnsi="Times New Roman" w:eastAsia="宋体" w:cs="Times New Roman"/>
                <w:snapToGrid w:val="0"/>
                <w:color w:val="auto"/>
                <w:kern w:val="0"/>
                <w:sz w:val="24"/>
                <w:szCs w:val="28"/>
                <w:lang w:val="en-US" w:eastAsia="zh-CN" w:bidi="ar-SA"/>
              </w:rPr>
              <w:t>2%左右，硫酸占电池总重量的</w:t>
            </w:r>
            <w:r>
              <w:rPr>
                <w:rFonts w:hint="eastAsia" w:ascii="Times New Roman" w:hAnsi="Times New Roman" w:eastAsia="宋体" w:cs="Times New Roman"/>
                <w:snapToGrid w:val="0"/>
                <w:color w:val="auto"/>
                <w:kern w:val="0"/>
                <w:sz w:val="24"/>
                <w:szCs w:val="28"/>
                <w:lang w:val="en-US" w:eastAsia="zh-CN" w:bidi="ar-SA"/>
              </w:rPr>
              <w:t>7</w:t>
            </w:r>
            <w:r>
              <w:rPr>
                <w:rFonts w:ascii="Times New Roman" w:hAnsi="Times New Roman" w:eastAsia="宋体" w:cs="Times New Roman"/>
                <w:snapToGrid w:val="0"/>
                <w:color w:val="auto"/>
                <w:kern w:val="0"/>
                <w:sz w:val="24"/>
                <w:szCs w:val="28"/>
                <w:lang w:val="en-US" w:eastAsia="zh-CN" w:bidi="ar-SA"/>
              </w:rPr>
              <w:t>%左右。</w:t>
            </w:r>
          </w:p>
          <w:p>
            <w:pPr>
              <w:widowControl w:val="0"/>
              <w:spacing w:line="360" w:lineRule="auto"/>
              <w:jc w:val="center"/>
              <w:rPr>
                <w:rFonts w:ascii="Times New Roman" w:hAnsi="Times New Roman" w:eastAsia="宋体" w:cs="Times New Roman"/>
                <w:b/>
                <w:snapToGrid w:val="0"/>
                <w:color w:val="auto"/>
                <w:kern w:val="0"/>
                <w:sz w:val="24"/>
                <w:szCs w:val="28"/>
                <w:lang w:val="en-US" w:eastAsia="zh-CN" w:bidi="ar-SA"/>
              </w:rPr>
            </w:pPr>
            <w:r>
              <w:rPr>
                <w:rFonts w:hint="eastAsia" w:ascii="Times New Roman" w:hAnsi="Times New Roman" w:eastAsia="宋体" w:cs="Times New Roman"/>
                <w:b/>
                <w:snapToGrid w:val="0"/>
                <w:color w:val="auto"/>
                <w:kern w:val="0"/>
                <w:sz w:val="24"/>
                <w:szCs w:val="28"/>
                <w:lang w:val="en-US" w:eastAsia="zh-CN" w:bidi="ar-SA"/>
              </w:rPr>
              <w:t xml:space="preserve">表4.6-1 </w:t>
            </w:r>
            <w:r>
              <w:rPr>
                <w:rFonts w:ascii="Times New Roman" w:hAnsi="Times New Roman" w:eastAsia="宋体" w:cs="Times New Roman"/>
                <w:b/>
                <w:snapToGrid w:val="0"/>
                <w:color w:val="auto"/>
                <w:kern w:val="0"/>
                <w:sz w:val="24"/>
                <w:szCs w:val="28"/>
                <w:lang w:val="en-US" w:eastAsia="zh-CN" w:bidi="ar-SA"/>
              </w:rPr>
              <w:t xml:space="preserve"> </w:t>
            </w:r>
            <w:r>
              <w:rPr>
                <w:rFonts w:hint="eastAsia" w:ascii="Times New Roman" w:hAnsi="Times New Roman" w:eastAsia="宋体" w:cs="Times New Roman"/>
                <w:b/>
                <w:snapToGrid w:val="0"/>
                <w:color w:val="auto"/>
                <w:kern w:val="0"/>
                <w:sz w:val="24"/>
                <w:szCs w:val="28"/>
                <w:lang w:val="en-US" w:eastAsia="zh-CN" w:bidi="ar-SA"/>
              </w:rPr>
              <w:t>项目涉及危险物质储存量一览表</w:t>
            </w:r>
          </w:p>
          <w:tbl>
            <w:tblPr>
              <w:tblStyle w:val="18"/>
              <w:tblW w:w="5000"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8"/>
              <w:gridCol w:w="1239"/>
              <w:gridCol w:w="2133"/>
              <w:gridCol w:w="302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9" w:type="pct"/>
                  <w:noWrap w:val="0"/>
                  <w:vAlign w:val="center"/>
                </w:tcPr>
                <w:p>
                  <w:pPr>
                    <w:widowControl w:val="0"/>
                    <w:snapToGrid/>
                    <w:spacing w:before="0" w:after="0" w:line="240" w:lineRule="auto"/>
                    <w:ind w:right="0" w:firstLine="0" w:firstLineChars="0"/>
                    <w:jc w:val="center"/>
                    <w:rPr>
                      <w:rFonts w:ascii="Times New Roman" w:hAnsi="Times New Roman" w:eastAsia="宋体" w:cs="Times New Roman"/>
                      <w:b/>
                      <w:bCs/>
                      <w:color w:val="auto"/>
                      <w:kern w:val="2"/>
                      <w:sz w:val="21"/>
                      <w:szCs w:val="21"/>
                      <w:lang w:val="en-US" w:eastAsia="zh-CN" w:bidi="ar-SA"/>
                    </w:rPr>
                  </w:pPr>
                  <w:r>
                    <w:rPr>
                      <w:rFonts w:ascii="Times New Roman" w:hAnsi="Times New Roman" w:eastAsia="宋体" w:cs="Times New Roman"/>
                      <w:b/>
                      <w:bCs/>
                      <w:color w:val="auto"/>
                      <w:kern w:val="2"/>
                      <w:sz w:val="21"/>
                      <w:szCs w:val="21"/>
                      <w:lang w:val="en-US" w:eastAsia="zh-CN" w:bidi="ar-SA"/>
                    </w:rPr>
                    <w:t>名称</w:t>
                  </w:r>
                </w:p>
              </w:tc>
              <w:tc>
                <w:tcPr>
                  <w:tcW w:w="767" w:type="pct"/>
                  <w:noWrap w:val="0"/>
                  <w:vAlign w:val="center"/>
                </w:tcPr>
                <w:p>
                  <w:pPr>
                    <w:widowControl w:val="0"/>
                    <w:snapToGrid/>
                    <w:spacing w:before="0" w:after="0" w:line="240" w:lineRule="auto"/>
                    <w:ind w:right="0" w:firstLine="0" w:firstLineChars="0"/>
                    <w:jc w:val="center"/>
                    <w:rPr>
                      <w:rFonts w:ascii="Times New Roman" w:hAnsi="Times New Roman" w:eastAsia="宋体" w:cs="Times New Roman"/>
                      <w:b/>
                      <w:bCs/>
                      <w:color w:val="auto"/>
                      <w:kern w:val="2"/>
                      <w:sz w:val="21"/>
                      <w:szCs w:val="21"/>
                      <w:lang w:val="en-US" w:eastAsia="zh-CN" w:bidi="ar-SA"/>
                    </w:rPr>
                  </w:pPr>
                  <w:r>
                    <w:rPr>
                      <w:rFonts w:ascii="Times New Roman" w:hAnsi="Times New Roman" w:eastAsia="宋体" w:cs="Times New Roman"/>
                      <w:b/>
                      <w:bCs/>
                      <w:color w:val="auto"/>
                      <w:kern w:val="2"/>
                      <w:sz w:val="21"/>
                      <w:szCs w:val="21"/>
                      <w:lang w:val="en-US" w:eastAsia="zh-CN" w:bidi="ar-SA"/>
                    </w:rPr>
                    <w:t>形态</w:t>
                  </w:r>
                </w:p>
              </w:tc>
              <w:tc>
                <w:tcPr>
                  <w:tcW w:w="1321" w:type="pct"/>
                  <w:noWrap w:val="0"/>
                  <w:vAlign w:val="center"/>
                </w:tcPr>
                <w:p>
                  <w:pPr>
                    <w:widowControl w:val="0"/>
                    <w:snapToGrid/>
                    <w:spacing w:before="0" w:after="0" w:line="240" w:lineRule="auto"/>
                    <w:ind w:right="0" w:firstLine="0" w:firstLineChars="0"/>
                    <w:jc w:val="center"/>
                    <w:rPr>
                      <w:rFonts w:ascii="Times New Roman" w:hAnsi="Times New Roman" w:eastAsia="宋体" w:cs="Times New Roman"/>
                      <w:b/>
                      <w:bCs/>
                      <w:color w:val="auto"/>
                      <w:kern w:val="2"/>
                      <w:sz w:val="21"/>
                      <w:szCs w:val="21"/>
                      <w:lang w:val="en-US" w:eastAsia="zh-CN" w:bidi="ar-SA"/>
                    </w:rPr>
                  </w:pPr>
                  <w:r>
                    <w:rPr>
                      <w:rFonts w:ascii="Times New Roman" w:hAnsi="Times New Roman" w:eastAsia="宋体" w:cs="Times New Roman"/>
                      <w:b/>
                      <w:bCs/>
                      <w:color w:val="auto"/>
                      <w:kern w:val="2"/>
                      <w:sz w:val="21"/>
                      <w:szCs w:val="21"/>
                      <w:lang w:val="en-US" w:eastAsia="zh-CN" w:bidi="ar-SA"/>
                    </w:rPr>
                    <w:t>最大贮存量</w:t>
                  </w:r>
                </w:p>
              </w:tc>
              <w:tc>
                <w:tcPr>
                  <w:tcW w:w="1873" w:type="pct"/>
                  <w:noWrap w:val="0"/>
                  <w:vAlign w:val="center"/>
                </w:tcPr>
                <w:p>
                  <w:pPr>
                    <w:widowControl w:val="0"/>
                    <w:snapToGrid/>
                    <w:spacing w:before="0" w:after="0" w:line="240" w:lineRule="auto"/>
                    <w:ind w:right="0" w:firstLine="0" w:firstLineChars="0"/>
                    <w:jc w:val="center"/>
                    <w:rPr>
                      <w:rFonts w:ascii="Times New Roman" w:hAnsi="Times New Roman" w:eastAsia="宋体" w:cs="Times New Roman"/>
                      <w:b/>
                      <w:bCs/>
                      <w:color w:val="auto"/>
                      <w:kern w:val="2"/>
                      <w:sz w:val="21"/>
                      <w:szCs w:val="21"/>
                      <w:lang w:val="en-US" w:eastAsia="zh-CN" w:bidi="ar-SA"/>
                    </w:rPr>
                  </w:pPr>
                  <w:r>
                    <w:rPr>
                      <w:rFonts w:ascii="Times New Roman" w:hAnsi="Times New Roman" w:eastAsia="宋体" w:cs="Times New Roman"/>
                      <w:b/>
                      <w:bCs/>
                      <w:color w:val="auto"/>
                      <w:kern w:val="2"/>
                      <w:sz w:val="21"/>
                      <w:szCs w:val="21"/>
                      <w:lang w:val="en-US" w:eastAsia="zh-CN" w:bidi="ar-SA"/>
                    </w:rPr>
                    <w:t>贮存位置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9" w:type="pct"/>
                  <w:vMerge w:val="restart"/>
                  <w:noWrap w:val="0"/>
                  <w:vAlign w:val="center"/>
                </w:tcPr>
                <w:p>
                  <w:pPr>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变压器油</w:t>
                  </w:r>
                </w:p>
              </w:tc>
              <w:tc>
                <w:tcPr>
                  <w:tcW w:w="767" w:type="pct"/>
                  <w:vMerge w:val="restart"/>
                  <w:noWrap w:val="0"/>
                  <w:vAlign w:val="center"/>
                </w:tcPr>
                <w:p>
                  <w:pPr>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液态</w:t>
                  </w:r>
                </w:p>
              </w:tc>
              <w:tc>
                <w:tcPr>
                  <w:tcW w:w="1321" w:type="pct"/>
                  <w:noWrap w:val="0"/>
                  <w:vAlign w:val="center"/>
                </w:tcPr>
                <w:p>
                  <w:pPr>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40</w:t>
                  </w:r>
                  <w:r>
                    <w:rPr>
                      <w:rFonts w:ascii="Times New Roman" w:hAnsi="Times New Roman" w:eastAsia="宋体" w:cs="Times New Roman"/>
                      <w:color w:val="auto"/>
                      <w:kern w:val="2"/>
                      <w:sz w:val="21"/>
                      <w:szCs w:val="21"/>
                      <w:lang w:val="en-US" w:eastAsia="zh-CN" w:bidi="ar-SA"/>
                    </w:rPr>
                    <w:t>t</w:t>
                  </w:r>
                </w:p>
              </w:tc>
              <w:tc>
                <w:tcPr>
                  <w:tcW w:w="1873" w:type="pct"/>
                  <w:noWrap w:val="0"/>
                  <w:vAlign w:val="center"/>
                </w:tcPr>
                <w:p>
                  <w:pPr>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升压站</w:t>
                  </w:r>
                  <w:r>
                    <w:rPr>
                      <w:rFonts w:ascii="Times New Roman" w:hAnsi="Times New Roman" w:eastAsia="宋体" w:cs="Times New Roman"/>
                      <w:color w:val="auto"/>
                      <w:kern w:val="2"/>
                      <w:sz w:val="21"/>
                      <w:szCs w:val="21"/>
                      <w:lang w:val="en-US" w:eastAsia="zh-CN" w:bidi="ar-SA"/>
                    </w:rPr>
                    <w:t>主变压器内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9" w:type="pct"/>
                  <w:vMerge w:val="continue"/>
                  <w:noWrap w:val="0"/>
                  <w:vAlign w:val="center"/>
                </w:tcPr>
                <w:p>
                  <w:pPr>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lang w:val="en-US" w:eastAsia="zh-CN" w:bidi="ar-SA"/>
                    </w:rPr>
                  </w:pPr>
                </w:p>
              </w:tc>
              <w:tc>
                <w:tcPr>
                  <w:tcW w:w="767" w:type="pct"/>
                  <w:vMerge w:val="continue"/>
                  <w:noWrap w:val="0"/>
                  <w:vAlign w:val="center"/>
                </w:tcPr>
                <w:p>
                  <w:pPr>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lang w:val="en-US" w:eastAsia="zh-CN" w:bidi="ar-SA"/>
                    </w:rPr>
                  </w:pPr>
                </w:p>
              </w:tc>
              <w:tc>
                <w:tcPr>
                  <w:tcW w:w="1321" w:type="pct"/>
                  <w:noWrap w:val="0"/>
                  <w:vAlign w:val="center"/>
                </w:tcPr>
                <w:p>
                  <w:pPr>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w:t>
                  </w:r>
                  <w:r>
                    <w:rPr>
                      <w:rFonts w:ascii="Times New Roman" w:hAnsi="Times New Roman" w:eastAsia="宋体" w:cs="Times New Roman"/>
                      <w:color w:val="auto"/>
                      <w:kern w:val="2"/>
                      <w:sz w:val="21"/>
                      <w:szCs w:val="21"/>
                      <w:lang w:val="en-US" w:eastAsia="zh-CN" w:bidi="ar-SA"/>
                    </w:rPr>
                    <w:t>t×</w:t>
                  </w:r>
                  <w:r>
                    <w:rPr>
                      <w:rFonts w:hint="eastAsia" w:ascii="Times New Roman" w:hAnsi="Times New Roman" w:eastAsia="宋体" w:cs="Times New Roman"/>
                      <w:color w:val="auto"/>
                      <w:kern w:val="2"/>
                      <w:sz w:val="21"/>
                      <w:szCs w:val="21"/>
                      <w:lang w:val="en-US" w:eastAsia="zh-CN" w:bidi="ar-SA"/>
                    </w:rPr>
                    <w:t>54</w:t>
                  </w:r>
                  <w:r>
                    <w:rPr>
                      <w:rFonts w:ascii="Times New Roman" w:hAnsi="Times New Roman" w:eastAsia="宋体" w:cs="Times New Roman"/>
                      <w:color w:val="auto"/>
                      <w:kern w:val="2"/>
                      <w:sz w:val="21"/>
                      <w:szCs w:val="21"/>
                      <w:lang w:val="en-US" w:eastAsia="zh-CN" w:bidi="ar-SA"/>
                    </w:rPr>
                    <w:t>组</w:t>
                  </w:r>
                </w:p>
              </w:tc>
              <w:tc>
                <w:tcPr>
                  <w:tcW w:w="1873" w:type="pct"/>
                  <w:noWrap w:val="0"/>
                  <w:vAlign w:val="center"/>
                </w:tcPr>
                <w:p>
                  <w:pPr>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光伏场区箱式变压器内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9" w:type="pct"/>
                  <w:vMerge w:val="continue"/>
                  <w:noWrap w:val="0"/>
                  <w:vAlign w:val="center"/>
                </w:tcPr>
                <w:p>
                  <w:pPr>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lang w:val="en-US" w:eastAsia="zh-CN" w:bidi="ar-SA"/>
                    </w:rPr>
                  </w:pPr>
                </w:p>
              </w:tc>
              <w:tc>
                <w:tcPr>
                  <w:tcW w:w="767" w:type="pct"/>
                  <w:vMerge w:val="continue"/>
                  <w:noWrap w:val="0"/>
                  <w:vAlign w:val="center"/>
                </w:tcPr>
                <w:p>
                  <w:pPr>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lang w:val="en-US" w:eastAsia="zh-CN" w:bidi="ar-SA"/>
                    </w:rPr>
                  </w:pPr>
                </w:p>
              </w:tc>
              <w:tc>
                <w:tcPr>
                  <w:tcW w:w="1321" w:type="pct"/>
                  <w:noWrap w:val="0"/>
                  <w:vAlign w:val="center"/>
                </w:tcPr>
                <w:p>
                  <w:pPr>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1.5t</w:t>
                  </w:r>
                </w:p>
              </w:tc>
              <w:tc>
                <w:tcPr>
                  <w:tcW w:w="1873" w:type="pct"/>
                  <w:noWrap w:val="0"/>
                  <w:vAlign w:val="center"/>
                </w:tcPr>
                <w:p>
                  <w:pPr>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油品库</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9" w:type="pct"/>
                  <w:noWrap w:val="0"/>
                  <w:vAlign w:val="center"/>
                </w:tcPr>
                <w:p>
                  <w:pPr>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废变压器油/润滑油</w:t>
                  </w:r>
                </w:p>
              </w:tc>
              <w:tc>
                <w:tcPr>
                  <w:tcW w:w="767" w:type="pct"/>
                  <w:noWrap w:val="0"/>
                  <w:vAlign w:val="center"/>
                </w:tcPr>
                <w:p>
                  <w:pPr>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液态</w:t>
                  </w:r>
                </w:p>
              </w:tc>
              <w:tc>
                <w:tcPr>
                  <w:tcW w:w="1321" w:type="pct"/>
                  <w:noWrap w:val="0"/>
                  <w:vAlign w:val="center"/>
                </w:tcPr>
                <w:p>
                  <w:pPr>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1.05t</w:t>
                  </w:r>
                </w:p>
              </w:tc>
              <w:tc>
                <w:tcPr>
                  <w:tcW w:w="1873" w:type="pct"/>
                  <w:noWrap w:val="0"/>
                  <w:vAlign w:val="center"/>
                </w:tcPr>
                <w:p>
                  <w:pPr>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危废暂存间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9" w:type="pct"/>
                  <w:noWrap w:val="0"/>
                  <w:vAlign w:val="center"/>
                </w:tcPr>
                <w:p>
                  <w:pPr>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铅</w:t>
                  </w:r>
                </w:p>
              </w:tc>
              <w:tc>
                <w:tcPr>
                  <w:tcW w:w="767" w:type="pct"/>
                  <w:noWrap w:val="0"/>
                  <w:vAlign w:val="center"/>
                </w:tcPr>
                <w:p>
                  <w:pPr>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固态</w:t>
                  </w:r>
                </w:p>
              </w:tc>
              <w:tc>
                <w:tcPr>
                  <w:tcW w:w="1321" w:type="pct"/>
                  <w:noWrap w:val="0"/>
                  <w:vAlign w:val="center"/>
                </w:tcPr>
                <w:p>
                  <w:pPr>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r>
                    <w:rPr>
                      <w:rFonts w:ascii="Times New Roman" w:hAnsi="Times New Roman" w:eastAsia="宋体" w:cs="Times New Roman"/>
                      <w:color w:val="auto"/>
                      <w:kern w:val="2"/>
                      <w:sz w:val="21"/>
                      <w:szCs w:val="21"/>
                      <w:lang w:val="en-US" w:eastAsia="zh-CN" w:bidi="ar-SA"/>
                    </w:rPr>
                    <w:t>.164t</w:t>
                  </w:r>
                </w:p>
              </w:tc>
              <w:tc>
                <w:tcPr>
                  <w:tcW w:w="1873" w:type="pct"/>
                  <w:noWrap w:val="0"/>
                  <w:vAlign w:val="center"/>
                </w:tcPr>
                <w:p>
                  <w:pPr>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危废暂存间</w:t>
                  </w:r>
                  <w:r>
                    <w:rPr>
                      <w:rFonts w:hint="eastAsia" w:ascii="Times New Roman" w:hAnsi="Times New Roman" w:eastAsia="宋体" w:cs="Times New Roman"/>
                      <w:color w:val="auto"/>
                      <w:kern w:val="2"/>
                      <w:sz w:val="21"/>
                      <w:szCs w:val="21"/>
                      <w:lang w:val="en-US" w:eastAsia="zh-CN" w:bidi="ar-SA"/>
                    </w:rPr>
                    <w:t>废铅蓄电池内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9" w:type="pct"/>
                  <w:noWrap w:val="0"/>
                  <w:vAlign w:val="center"/>
                </w:tcPr>
                <w:p>
                  <w:pPr>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硫酸</w:t>
                  </w:r>
                </w:p>
              </w:tc>
              <w:tc>
                <w:tcPr>
                  <w:tcW w:w="767" w:type="pct"/>
                  <w:noWrap w:val="0"/>
                  <w:vAlign w:val="center"/>
                </w:tcPr>
                <w:p>
                  <w:pPr>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液态</w:t>
                  </w:r>
                </w:p>
              </w:tc>
              <w:tc>
                <w:tcPr>
                  <w:tcW w:w="1321" w:type="pct"/>
                  <w:noWrap w:val="0"/>
                  <w:vAlign w:val="center"/>
                </w:tcPr>
                <w:p>
                  <w:pPr>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r>
                    <w:rPr>
                      <w:rFonts w:ascii="Times New Roman" w:hAnsi="Times New Roman" w:eastAsia="宋体" w:cs="Times New Roman"/>
                      <w:color w:val="auto"/>
                      <w:kern w:val="2"/>
                      <w:sz w:val="21"/>
                      <w:szCs w:val="21"/>
                      <w:lang w:val="en-US" w:eastAsia="zh-CN" w:bidi="ar-SA"/>
                    </w:rPr>
                    <w:t>.014t</w:t>
                  </w:r>
                </w:p>
              </w:tc>
              <w:tc>
                <w:tcPr>
                  <w:tcW w:w="1873" w:type="pct"/>
                  <w:noWrap w:val="0"/>
                  <w:vAlign w:val="center"/>
                </w:tcPr>
                <w:p>
                  <w:pPr>
                    <w:widowControl w:val="0"/>
                    <w:snapToGrid/>
                    <w:spacing w:before="0" w:after="0" w:line="240" w:lineRule="auto"/>
                    <w:ind w:right="0"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危废暂存间</w:t>
                  </w:r>
                  <w:r>
                    <w:rPr>
                      <w:rFonts w:hint="eastAsia" w:ascii="Times New Roman" w:hAnsi="Times New Roman" w:eastAsia="宋体" w:cs="Times New Roman"/>
                      <w:color w:val="auto"/>
                      <w:kern w:val="2"/>
                      <w:sz w:val="21"/>
                      <w:szCs w:val="21"/>
                      <w:lang w:val="en-US" w:eastAsia="zh-CN" w:bidi="ar-SA"/>
                    </w:rPr>
                    <w:t>废铅蓄电池内</w:t>
                  </w:r>
                </w:p>
              </w:tc>
            </w:tr>
          </w:tbl>
          <w:p>
            <w:pPr>
              <w:widowControl w:val="0"/>
              <w:snapToGrid/>
              <w:spacing w:before="0" w:after="0" w:line="360" w:lineRule="auto"/>
              <w:ind w:right="0" w:firstLine="480" w:firstLineChars="200"/>
              <w:jc w:val="both"/>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本项目所涉及的环境风险物质的危险特性及理化性质如下：</w:t>
            </w:r>
          </w:p>
          <w:p>
            <w:pPr>
              <w:widowControl w:val="0"/>
              <w:spacing w:line="360" w:lineRule="auto"/>
              <w:jc w:val="center"/>
              <w:rPr>
                <w:rFonts w:ascii="Times New Roman" w:hAnsi="Times New Roman" w:eastAsia="宋体" w:cs="Times New Roman"/>
                <w:b/>
                <w:snapToGrid w:val="0"/>
                <w:color w:val="auto"/>
                <w:kern w:val="0"/>
                <w:sz w:val="24"/>
                <w:szCs w:val="28"/>
                <w:lang w:val="en-US" w:eastAsia="zh-CN" w:bidi="ar-SA"/>
              </w:rPr>
            </w:pPr>
            <w:r>
              <w:rPr>
                <w:rFonts w:hint="eastAsia" w:ascii="Times New Roman" w:hAnsi="Times New Roman" w:eastAsia="宋体" w:cs="Times New Roman"/>
                <w:b/>
                <w:snapToGrid w:val="0"/>
                <w:color w:val="auto"/>
                <w:kern w:val="0"/>
                <w:sz w:val="24"/>
                <w:szCs w:val="28"/>
                <w:lang w:val="en-US" w:eastAsia="zh-CN" w:bidi="ar-SA"/>
              </w:rPr>
              <w:t xml:space="preserve">表4.6-2 </w:t>
            </w:r>
            <w:r>
              <w:rPr>
                <w:rFonts w:ascii="Times New Roman" w:hAnsi="Times New Roman" w:eastAsia="宋体" w:cs="Times New Roman"/>
                <w:b/>
                <w:snapToGrid w:val="0"/>
                <w:color w:val="auto"/>
                <w:kern w:val="0"/>
                <w:sz w:val="24"/>
                <w:szCs w:val="28"/>
                <w:lang w:val="en-US" w:eastAsia="zh-CN" w:bidi="ar-SA"/>
              </w:rPr>
              <w:t xml:space="preserve"> </w:t>
            </w:r>
            <w:r>
              <w:rPr>
                <w:rFonts w:hint="eastAsia" w:ascii="Times New Roman" w:hAnsi="Times New Roman" w:eastAsia="宋体" w:cs="Times New Roman"/>
                <w:b/>
                <w:snapToGrid w:val="0"/>
                <w:color w:val="auto"/>
                <w:kern w:val="0"/>
                <w:sz w:val="24"/>
                <w:szCs w:val="28"/>
                <w:lang w:val="en-US" w:eastAsia="zh-CN" w:bidi="ar-SA"/>
              </w:rPr>
              <w:t>项目涉及危险物质特性表</w:t>
            </w:r>
          </w:p>
          <w:tbl>
            <w:tblPr>
              <w:tblStyle w:val="18"/>
              <w:tblW w:w="5000"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3"/>
              <w:gridCol w:w="630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pct"/>
                  <w:noWrap w:val="0"/>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名称</w:t>
                  </w:r>
                </w:p>
              </w:tc>
              <w:tc>
                <w:tcPr>
                  <w:tcW w:w="3902" w:type="pct"/>
                  <w:noWrap w:val="0"/>
                  <w:vAlign w:val="center"/>
                </w:tcPr>
                <w:p>
                  <w:pPr>
                    <w:jc w:val="center"/>
                    <w:rPr>
                      <w:rFonts w:ascii="Times New Roman" w:hAnsi="Times New Roman" w:eastAsia="宋体" w:cs="Times New Roman"/>
                      <w:b/>
                      <w:color w:val="auto"/>
                      <w:szCs w:val="21"/>
                    </w:rPr>
                  </w:pPr>
                  <w:r>
                    <w:rPr>
                      <w:rFonts w:ascii="Times New Roman" w:hAnsi="Times New Roman" w:eastAsia="宋体" w:cs="Times New Roman"/>
                      <w:b/>
                      <w:bCs/>
                      <w:color w:val="auto"/>
                      <w:szCs w:val="21"/>
                    </w:rPr>
                    <w:t>理化性质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pct"/>
                  <w:noWrap w:val="0"/>
                  <w:vAlign w:val="center"/>
                </w:tcPr>
                <w:p>
                  <w:pPr>
                    <w:jc w:val="center"/>
                    <w:rPr>
                      <w:rFonts w:ascii="Times New Roman" w:hAnsi="Times New Roman" w:eastAsia="宋体" w:cs="Times New Roman"/>
                      <w:b/>
                      <w:bCs/>
                      <w:color w:val="auto"/>
                      <w:szCs w:val="21"/>
                    </w:rPr>
                  </w:pPr>
                  <w:r>
                    <w:rPr>
                      <w:rFonts w:hint="eastAsia" w:ascii="Times New Roman" w:hAnsi="Times New Roman" w:eastAsia="宋体" w:cs="Times New Roman"/>
                      <w:color w:val="auto"/>
                      <w:szCs w:val="21"/>
                    </w:rPr>
                    <w:t>矿物油</w:t>
                  </w:r>
                </w:p>
              </w:tc>
              <w:tc>
                <w:tcPr>
                  <w:tcW w:w="3902" w:type="pct"/>
                  <w:noWrap w:val="0"/>
                  <w:vAlign w:val="center"/>
                </w:tcPr>
                <w:p>
                  <w:pPr>
                    <w:widowControl w:val="0"/>
                    <w:jc w:val="both"/>
                    <w:rPr>
                      <w:rFonts w:ascii="宋体" w:hAnsi="宋体" w:eastAsia="宋体" w:cs="宋体"/>
                      <w:color w:val="auto"/>
                      <w:kern w:val="2"/>
                      <w:sz w:val="21"/>
                      <w:szCs w:val="21"/>
                      <w:lang w:val="zh-CN" w:eastAsia="zh-CN" w:bidi="zh-CN"/>
                    </w:rPr>
                  </w:pPr>
                  <w:r>
                    <w:rPr>
                      <w:rFonts w:ascii="宋体" w:hAnsi="宋体" w:eastAsia="宋体" w:cs="宋体"/>
                      <w:color w:val="auto"/>
                      <w:kern w:val="2"/>
                      <w:sz w:val="21"/>
                      <w:szCs w:val="21"/>
                      <w:lang w:val="zh-CN" w:eastAsia="zh-CN" w:bidi="zh-CN"/>
                    </w:rPr>
                    <w:t>外观与性状：稍有粘稠半透明液体；</w:t>
                  </w:r>
                </w:p>
                <w:p>
                  <w:pPr>
                    <w:widowControl w:val="0"/>
                    <w:jc w:val="both"/>
                    <w:rPr>
                      <w:rFonts w:ascii="宋体" w:hAnsi="宋体" w:eastAsia="宋体" w:cs="宋体"/>
                      <w:color w:val="auto"/>
                      <w:kern w:val="2"/>
                      <w:sz w:val="21"/>
                      <w:szCs w:val="21"/>
                      <w:lang w:val="zh-CN" w:eastAsia="zh-CN" w:bidi="zh-CN"/>
                    </w:rPr>
                  </w:pPr>
                  <w:r>
                    <w:rPr>
                      <w:rFonts w:ascii="宋体" w:hAnsi="宋体" w:eastAsia="宋体" w:cs="宋体"/>
                      <w:color w:val="auto"/>
                      <w:kern w:val="2"/>
                      <w:sz w:val="21"/>
                      <w:szCs w:val="21"/>
                      <w:lang w:val="zh-CN" w:eastAsia="zh-CN" w:bidi="zh-CN"/>
                    </w:rPr>
                    <w:t>相对密度（水=1）：0.86~0.895；</w:t>
                  </w:r>
                </w:p>
                <w:p>
                  <w:pPr>
                    <w:widowControl w:val="0"/>
                    <w:jc w:val="both"/>
                    <w:rPr>
                      <w:rFonts w:ascii="宋体" w:hAnsi="宋体" w:eastAsia="宋体" w:cs="宋体"/>
                      <w:color w:val="auto"/>
                      <w:kern w:val="2"/>
                      <w:sz w:val="21"/>
                      <w:szCs w:val="21"/>
                      <w:lang w:val="zh-CN" w:eastAsia="zh-CN" w:bidi="zh-CN"/>
                    </w:rPr>
                  </w:pPr>
                  <w:r>
                    <w:rPr>
                      <w:rFonts w:ascii="宋体" w:hAnsi="宋体" w:eastAsia="宋体" w:cs="宋体"/>
                      <w:color w:val="auto"/>
                      <w:kern w:val="2"/>
                      <w:sz w:val="21"/>
                      <w:szCs w:val="21"/>
                      <w:lang w:val="zh-CN" w:eastAsia="zh-CN" w:bidi="zh-CN"/>
                    </w:rPr>
                    <w:t>相对蒸气密度（空气=1）：1.4；</w:t>
                  </w:r>
                </w:p>
                <w:p>
                  <w:pPr>
                    <w:widowControl w:val="0"/>
                    <w:jc w:val="both"/>
                    <w:rPr>
                      <w:rFonts w:ascii="宋体" w:hAnsi="宋体" w:eastAsia="宋体" w:cs="宋体"/>
                      <w:color w:val="auto"/>
                      <w:kern w:val="2"/>
                      <w:sz w:val="21"/>
                      <w:szCs w:val="21"/>
                      <w:lang w:val="zh-CN" w:eastAsia="zh-CN" w:bidi="zh-CN"/>
                    </w:rPr>
                  </w:pPr>
                  <w:r>
                    <w:rPr>
                      <w:rFonts w:ascii="宋体" w:hAnsi="宋体" w:eastAsia="宋体" w:cs="宋体"/>
                      <w:color w:val="auto"/>
                      <w:kern w:val="2"/>
                      <w:sz w:val="21"/>
                      <w:szCs w:val="21"/>
                      <w:lang w:val="zh-CN" w:eastAsia="zh-CN" w:bidi="zh-CN"/>
                    </w:rPr>
                    <w:t>闪点（</w:t>
                  </w:r>
                  <w:r>
                    <w:rPr>
                      <w:rFonts w:hint="eastAsia" w:ascii="宋体" w:hAnsi="宋体" w:eastAsia="宋体" w:cs="宋体"/>
                      <w:color w:val="auto"/>
                      <w:kern w:val="2"/>
                      <w:sz w:val="21"/>
                      <w:szCs w:val="21"/>
                      <w:lang w:val="zh-CN" w:eastAsia="zh-CN" w:bidi="zh-CN"/>
                    </w:rPr>
                    <w:t>℃</w:t>
                  </w:r>
                  <w:r>
                    <w:rPr>
                      <w:rFonts w:ascii="宋体" w:hAnsi="宋体" w:eastAsia="宋体" w:cs="宋体"/>
                      <w:color w:val="auto"/>
                      <w:kern w:val="2"/>
                      <w:sz w:val="21"/>
                      <w:szCs w:val="21"/>
                      <w:lang w:val="zh-CN" w:eastAsia="zh-CN" w:bidi="zh-CN"/>
                    </w:rPr>
                    <w:t>）：≥135；</w:t>
                  </w:r>
                </w:p>
                <w:p>
                  <w:pPr>
                    <w:widowControl w:val="0"/>
                    <w:jc w:val="both"/>
                    <w:rPr>
                      <w:rFonts w:ascii="宋体" w:hAnsi="宋体" w:eastAsia="宋体" w:cs="宋体"/>
                      <w:color w:val="auto"/>
                      <w:kern w:val="2"/>
                      <w:sz w:val="21"/>
                      <w:szCs w:val="21"/>
                      <w:lang w:val="zh-CN" w:eastAsia="zh-CN" w:bidi="zh-CN"/>
                    </w:rPr>
                  </w:pPr>
                  <w:r>
                    <w:rPr>
                      <w:rFonts w:ascii="宋体" w:hAnsi="宋体" w:eastAsia="宋体" w:cs="宋体"/>
                      <w:color w:val="auto"/>
                      <w:kern w:val="2"/>
                      <w:sz w:val="21"/>
                      <w:szCs w:val="21"/>
                      <w:lang w:val="zh-CN" w:eastAsia="zh-CN" w:bidi="zh-CN"/>
                    </w:rPr>
                    <w:t>溶解性：不溶于水。</w:t>
                  </w:r>
                </w:p>
                <w:p>
                  <w:pPr>
                    <w:widowControl w:val="0"/>
                    <w:jc w:val="both"/>
                    <w:rPr>
                      <w:rFonts w:ascii="宋体" w:hAnsi="宋体" w:eastAsia="宋体" w:cs="宋体"/>
                      <w:color w:val="auto"/>
                      <w:kern w:val="2"/>
                      <w:sz w:val="21"/>
                      <w:szCs w:val="21"/>
                      <w:lang w:val="zh-CN" w:eastAsia="zh-CN" w:bidi="zh-CN"/>
                    </w:rPr>
                  </w:pPr>
                  <w:r>
                    <w:rPr>
                      <w:rFonts w:ascii="宋体" w:hAnsi="宋体" w:eastAsia="宋体" w:cs="宋体"/>
                      <w:color w:val="auto"/>
                      <w:kern w:val="2"/>
                      <w:sz w:val="21"/>
                      <w:szCs w:val="21"/>
                      <w:lang w:val="zh-CN" w:eastAsia="zh-CN" w:bidi="zh-CN"/>
                    </w:rPr>
                    <w:t>火灾类别：丙类，可燃液体。</w:t>
                  </w:r>
                </w:p>
                <w:p>
                  <w:pPr>
                    <w:widowControl w:val="0"/>
                    <w:jc w:val="both"/>
                    <w:rPr>
                      <w:rFonts w:ascii="宋体" w:hAnsi="宋体" w:eastAsia="宋体" w:cs="宋体"/>
                      <w:b/>
                      <w:color w:val="auto"/>
                      <w:kern w:val="2"/>
                      <w:sz w:val="21"/>
                      <w:szCs w:val="21"/>
                      <w:lang w:val="zh-CN" w:eastAsia="zh-CN" w:bidi="zh-CN"/>
                    </w:rPr>
                  </w:pPr>
                  <w:r>
                    <w:rPr>
                      <w:rFonts w:ascii="宋体" w:hAnsi="宋体" w:eastAsia="宋体" w:cs="宋体"/>
                      <w:color w:val="auto"/>
                      <w:kern w:val="2"/>
                      <w:sz w:val="21"/>
                      <w:szCs w:val="21"/>
                      <w:lang w:val="zh-CN" w:eastAsia="zh-CN" w:bidi="zh-CN"/>
                    </w:rPr>
                    <w:t>急性毒性：大鼠吸入 LC</w:t>
                  </w:r>
                  <w:r>
                    <w:rPr>
                      <w:rFonts w:ascii="宋体" w:hAnsi="宋体" w:eastAsia="宋体" w:cs="宋体"/>
                      <w:color w:val="auto"/>
                      <w:kern w:val="2"/>
                      <w:sz w:val="21"/>
                      <w:szCs w:val="21"/>
                      <w:vertAlign w:val="subscript"/>
                      <w:lang w:val="zh-CN" w:eastAsia="zh-CN" w:bidi="zh-CN"/>
                    </w:rPr>
                    <w:t>50</w:t>
                  </w:r>
                  <w:r>
                    <w:rPr>
                      <w:rFonts w:ascii="宋体" w:hAnsi="宋体" w:eastAsia="宋体" w:cs="宋体"/>
                      <w:color w:val="auto"/>
                      <w:kern w:val="2"/>
                      <w:sz w:val="21"/>
                      <w:szCs w:val="21"/>
                      <w:lang w:val="zh-CN" w:eastAsia="zh-CN" w:bidi="zh-CN"/>
                    </w:rPr>
                    <w:t>：300000mg/m</w:t>
                  </w:r>
                  <w:r>
                    <w:rPr>
                      <w:rFonts w:ascii="宋体" w:hAnsi="宋体" w:eastAsia="宋体" w:cs="宋体"/>
                      <w:color w:val="auto"/>
                      <w:kern w:val="2"/>
                      <w:sz w:val="21"/>
                      <w:szCs w:val="21"/>
                      <w:vertAlign w:val="superscript"/>
                      <w:lang w:val="en-US" w:eastAsia="zh-CN" w:bidi="zh-CN"/>
                    </w:rPr>
                    <w:t>3</w:t>
                  </w:r>
                  <w:r>
                    <w:rPr>
                      <w:rFonts w:ascii="宋体" w:hAnsi="宋体" w:eastAsia="宋体" w:cs="宋体"/>
                      <w:color w:val="auto"/>
                      <w:kern w:val="2"/>
                      <w:sz w:val="21"/>
                      <w:szCs w:val="21"/>
                      <w:lang w:val="zh-CN" w:eastAsia="zh-CN" w:bidi="zh-CN"/>
                    </w:rPr>
                    <w:t>（5个月）；小鼠吸入 LC</w:t>
                  </w:r>
                  <w:r>
                    <w:rPr>
                      <w:rFonts w:ascii="宋体" w:hAnsi="宋体" w:eastAsia="宋体" w:cs="宋体"/>
                      <w:color w:val="auto"/>
                      <w:kern w:val="2"/>
                      <w:sz w:val="21"/>
                      <w:szCs w:val="21"/>
                      <w:vertAlign w:val="subscript"/>
                      <w:lang w:val="zh-CN" w:eastAsia="zh-CN" w:bidi="zh-CN"/>
                    </w:rPr>
                    <w:t>50</w:t>
                  </w:r>
                  <w:r>
                    <w:rPr>
                      <w:rFonts w:ascii="宋体" w:hAnsi="宋体" w:eastAsia="宋体" w:cs="宋体"/>
                      <w:color w:val="auto"/>
                      <w:kern w:val="2"/>
                      <w:sz w:val="21"/>
                      <w:szCs w:val="21"/>
                      <w:lang w:val="zh-CN" w:eastAsia="zh-CN" w:bidi="zh-CN"/>
                    </w:rPr>
                    <w:t>：300000mg/m</w:t>
                  </w:r>
                  <w:r>
                    <w:rPr>
                      <w:rFonts w:ascii="宋体" w:hAnsi="宋体" w:eastAsia="宋体" w:cs="宋体"/>
                      <w:color w:val="auto"/>
                      <w:kern w:val="2"/>
                      <w:sz w:val="21"/>
                      <w:szCs w:val="21"/>
                      <w:vertAlign w:val="superscript"/>
                      <w:lang w:val="en-US" w:eastAsia="zh-CN" w:bidi="zh-CN"/>
                    </w:rPr>
                    <w:t>3</w:t>
                  </w:r>
                  <w:r>
                    <w:rPr>
                      <w:rFonts w:ascii="宋体" w:hAnsi="宋体" w:eastAsia="宋体" w:cs="宋体"/>
                      <w:color w:val="auto"/>
                      <w:kern w:val="2"/>
                      <w:sz w:val="21"/>
                      <w:szCs w:val="21"/>
                      <w:lang w:val="zh-CN" w:eastAsia="zh-CN" w:bidi="zh-CN"/>
                    </w:rPr>
                    <w:t>（5个月）。</w:t>
                  </w:r>
                </w:p>
              </w:tc>
            </w:tr>
          </w:tbl>
          <w:p>
            <w:pPr>
              <w:widowControl w:val="0"/>
              <w:spacing w:line="360" w:lineRule="auto"/>
              <w:ind w:firstLine="480" w:firstLineChars="200"/>
              <w:jc w:val="both"/>
              <w:rPr>
                <w:rFonts w:hint="eastAsia" w:ascii="宋体" w:hAnsi="宋体" w:eastAsia="宋体" w:cs="Times New Roman"/>
                <w:snapToGrid w:val="0"/>
                <w:color w:val="auto"/>
                <w:kern w:val="0"/>
                <w:sz w:val="24"/>
                <w:szCs w:val="28"/>
                <w:lang w:val="en-US" w:eastAsia="zh-CN" w:bidi="ar-SA"/>
              </w:rPr>
            </w:pPr>
            <w:r>
              <w:rPr>
                <w:rFonts w:hint="default" w:ascii="宋体" w:hAnsi="宋体" w:eastAsia="宋体" w:cs="Times New Roman"/>
                <w:snapToGrid w:val="0"/>
                <w:color w:val="auto"/>
                <w:kern w:val="0"/>
                <w:sz w:val="24"/>
                <w:szCs w:val="28"/>
                <w:lang w:val="en-US" w:eastAsia="zh-CN" w:bidi="ar-SA"/>
              </w:rPr>
              <w:t>②</w:t>
            </w:r>
            <w:r>
              <w:rPr>
                <w:rFonts w:hint="eastAsia" w:ascii="宋体" w:hAnsi="宋体" w:eastAsia="宋体" w:cs="Times New Roman"/>
                <w:snapToGrid w:val="0"/>
                <w:color w:val="auto"/>
                <w:kern w:val="0"/>
                <w:sz w:val="24"/>
                <w:szCs w:val="28"/>
                <w:lang w:val="en-US" w:eastAsia="zh-CN" w:bidi="ar-SA"/>
              </w:rPr>
              <w:t>生产系统危险性识别及风险物质向环境的转移途径</w:t>
            </w:r>
          </w:p>
          <w:p>
            <w:pPr>
              <w:widowControl w:val="0"/>
              <w:spacing w:line="360" w:lineRule="auto"/>
              <w:ind w:firstLine="480" w:firstLineChars="200"/>
              <w:jc w:val="both"/>
              <w:rPr>
                <w:rFonts w:hint="eastAsia" w:ascii="宋体" w:hAnsi="宋体" w:eastAsia="宋体" w:cs="Times New Roman"/>
                <w:snapToGrid w:val="0"/>
                <w:color w:val="auto"/>
                <w:kern w:val="0"/>
                <w:sz w:val="24"/>
                <w:szCs w:val="28"/>
                <w:lang w:val="en-US" w:eastAsia="zh-CN" w:bidi="ar-SA"/>
              </w:rPr>
            </w:pPr>
            <w:r>
              <w:rPr>
                <w:rFonts w:hint="eastAsia" w:ascii="宋体" w:hAnsi="宋体" w:eastAsia="宋体" w:cs="Times New Roman"/>
                <w:snapToGrid w:val="0"/>
                <w:color w:val="auto"/>
                <w:kern w:val="0"/>
                <w:sz w:val="24"/>
                <w:szCs w:val="28"/>
                <w:lang w:val="en-US" w:eastAsia="zh-CN" w:bidi="ar-SA"/>
              </w:rPr>
              <w:t>根据项目风险物质的储存使用情况，可能产生环境风险的生产设施主要有主变、箱变、润滑油品库、危废暂存间。风险物质向环境转移的途径主要是在油品在使用、储运过程中若操作不当，造成物质泄漏，以及遇火源或在高温（高于闪点）等特殊情况下，产生CO等次生污染物排放；此外废铅蓄电池在暂存过程中，如电解液泄露，可能污染土壤及地下水。</w:t>
            </w:r>
          </w:p>
          <w:p>
            <w:pPr>
              <w:widowControl w:val="0"/>
              <w:spacing w:line="360" w:lineRule="auto"/>
              <w:jc w:val="center"/>
              <w:rPr>
                <w:rFonts w:ascii="Times New Roman" w:hAnsi="Times New Roman" w:eastAsia="宋体" w:cs="Times New Roman"/>
                <w:b/>
                <w:snapToGrid w:val="0"/>
                <w:color w:val="auto"/>
                <w:kern w:val="0"/>
                <w:sz w:val="24"/>
                <w:szCs w:val="28"/>
                <w:lang w:val="en-US" w:eastAsia="zh-CN" w:bidi="ar-SA"/>
              </w:rPr>
            </w:pPr>
            <w:r>
              <w:rPr>
                <w:rFonts w:hint="eastAsia" w:ascii="Times New Roman" w:hAnsi="Times New Roman" w:eastAsia="宋体" w:cs="Times New Roman"/>
                <w:b/>
                <w:snapToGrid w:val="0"/>
                <w:color w:val="auto"/>
                <w:kern w:val="0"/>
                <w:sz w:val="24"/>
                <w:szCs w:val="28"/>
                <w:lang w:val="en-US" w:eastAsia="zh-CN" w:bidi="ar-SA"/>
              </w:rPr>
              <w:t>表4.6-3</w:t>
            </w:r>
            <w:r>
              <w:rPr>
                <w:rFonts w:ascii="Times New Roman" w:hAnsi="Times New Roman" w:eastAsia="宋体" w:cs="Times New Roman"/>
                <w:b/>
                <w:snapToGrid w:val="0"/>
                <w:color w:val="auto"/>
                <w:kern w:val="0"/>
                <w:sz w:val="24"/>
                <w:szCs w:val="28"/>
                <w:lang w:val="en-US" w:eastAsia="zh-CN" w:bidi="ar-SA"/>
              </w:rPr>
              <w:t xml:space="preserve">  </w:t>
            </w:r>
            <w:r>
              <w:rPr>
                <w:rFonts w:hint="eastAsia" w:ascii="Times New Roman" w:hAnsi="Times New Roman" w:eastAsia="宋体" w:cs="Times New Roman"/>
                <w:b/>
                <w:snapToGrid w:val="0"/>
                <w:color w:val="auto"/>
                <w:kern w:val="0"/>
                <w:sz w:val="24"/>
                <w:szCs w:val="28"/>
                <w:lang w:val="en-US" w:eastAsia="zh-CN" w:bidi="ar-SA"/>
              </w:rPr>
              <w:t>生产设施危险性识别及风险物质向环境的转移途径</w:t>
            </w:r>
          </w:p>
          <w:tbl>
            <w:tblPr>
              <w:tblStyle w:val="18"/>
              <w:tblW w:w="5000"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486"/>
              <w:gridCol w:w="2272"/>
              <w:gridCol w:w="318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pct"/>
                  <w:noWrap w:val="0"/>
                  <w:vAlign w:val="center"/>
                </w:tcPr>
                <w:p>
                  <w:pPr>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危险物质</w:t>
                  </w:r>
                </w:p>
              </w:tc>
              <w:tc>
                <w:tcPr>
                  <w:tcW w:w="920" w:type="pct"/>
                  <w:noWrap w:val="0"/>
                  <w:vAlign w:val="top"/>
                </w:tcPr>
                <w:p>
                  <w:pPr>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风险单元</w:t>
                  </w:r>
                </w:p>
              </w:tc>
              <w:tc>
                <w:tcPr>
                  <w:tcW w:w="1407" w:type="pct"/>
                  <w:noWrap w:val="0"/>
                  <w:vAlign w:val="center"/>
                </w:tcPr>
                <w:p>
                  <w:pPr>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环境风险类型</w:t>
                  </w:r>
                </w:p>
              </w:tc>
              <w:tc>
                <w:tcPr>
                  <w:tcW w:w="1971" w:type="pct"/>
                  <w:noWrap w:val="0"/>
                  <w:vAlign w:val="center"/>
                </w:tcPr>
                <w:p>
                  <w:pPr>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影响环境的途径</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pct"/>
                  <w:vMerge w:val="restart"/>
                  <w:noWrap w:val="0"/>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矿物油</w:t>
                  </w:r>
                  <w:r>
                    <w:rPr>
                      <w:rFonts w:ascii="Times New Roman" w:hAnsi="Times New Roman" w:eastAsia="宋体" w:cs="Times New Roman"/>
                      <w:color w:val="auto"/>
                      <w:szCs w:val="21"/>
                    </w:rPr>
                    <w:t xml:space="preserve"> </w:t>
                  </w:r>
                </w:p>
              </w:tc>
              <w:tc>
                <w:tcPr>
                  <w:tcW w:w="920" w:type="pct"/>
                  <w:vMerge w:val="restart"/>
                  <w:noWrap w:val="0"/>
                  <w:vAlign w:val="top"/>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主变、箱变、润滑油品库、危废暂存间</w:t>
                  </w:r>
                </w:p>
              </w:tc>
              <w:tc>
                <w:tcPr>
                  <w:tcW w:w="1407" w:type="pct"/>
                  <w:noWrap w:val="0"/>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泄漏</w:t>
                  </w:r>
                </w:p>
              </w:tc>
              <w:tc>
                <w:tcPr>
                  <w:tcW w:w="1971" w:type="pct"/>
                  <w:noWrap w:val="0"/>
                  <w:vAlign w:val="center"/>
                </w:tcPr>
                <w:p>
                  <w:pPr>
                    <w:adjustRightInd w:val="0"/>
                    <w:snapToGrid w:val="0"/>
                    <w:jc w:val="center"/>
                    <w:rPr>
                      <w:rFonts w:ascii="Times New Roman" w:hAnsi="Times New Roman" w:eastAsia="宋体" w:cs="Times New Roman"/>
                      <w:color w:val="auto"/>
                    </w:rPr>
                  </w:pPr>
                  <w:r>
                    <w:rPr>
                      <w:rFonts w:ascii="Times New Roman" w:hAnsi="Times New Roman" w:eastAsia="宋体" w:cs="Times New Roman"/>
                      <w:color w:val="auto"/>
                    </w:rPr>
                    <w:t>溢流进入地表水体</w:t>
                  </w:r>
                </w:p>
                <w:p>
                  <w:pPr>
                    <w:adjustRightInd w:val="0"/>
                    <w:snapToGrid w:val="0"/>
                    <w:jc w:val="center"/>
                    <w:rPr>
                      <w:rFonts w:ascii="Times New Roman" w:hAnsi="Times New Roman" w:eastAsia="宋体" w:cs="Times New Roman"/>
                      <w:color w:val="auto"/>
                    </w:rPr>
                  </w:pPr>
                  <w:r>
                    <w:rPr>
                      <w:rFonts w:ascii="Times New Roman" w:hAnsi="Times New Roman" w:eastAsia="宋体" w:cs="Times New Roman"/>
                      <w:color w:val="auto"/>
                    </w:rPr>
                    <w:t>地表漫流造成土壤污染；</w:t>
                  </w:r>
                </w:p>
                <w:p>
                  <w:pPr>
                    <w:jc w:val="center"/>
                    <w:rPr>
                      <w:rFonts w:ascii="Times New Roman" w:hAnsi="Times New Roman" w:eastAsia="宋体" w:cs="Times New Roman"/>
                      <w:color w:val="auto"/>
                      <w:szCs w:val="21"/>
                    </w:rPr>
                  </w:pPr>
                  <w:r>
                    <w:rPr>
                      <w:rFonts w:ascii="Times New Roman" w:hAnsi="Times New Roman" w:eastAsia="宋体" w:cs="Times New Roman"/>
                      <w:color w:val="auto"/>
                    </w:rPr>
                    <w:t>下渗污染</w:t>
                  </w:r>
                  <w:r>
                    <w:rPr>
                      <w:rFonts w:hint="eastAsia" w:ascii="Times New Roman" w:hAnsi="Times New Roman" w:eastAsia="宋体" w:cs="Times New Roman"/>
                      <w:color w:val="auto"/>
                    </w:rPr>
                    <w:t>地下水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pct"/>
                  <w:vMerge w:val="continue"/>
                  <w:noWrap w:val="0"/>
                  <w:vAlign w:val="center"/>
                </w:tcPr>
                <w:p>
                  <w:pPr>
                    <w:jc w:val="center"/>
                    <w:rPr>
                      <w:rFonts w:ascii="Times New Roman" w:hAnsi="Times New Roman" w:eastAsia="宋体" w:cs="Times New Roman"/>
                      <w:color w:val="auto"/>
                      <w:szCs w:val="21"/>
                    </w:rPr>
                  </w:pPr>
                </w:p>
              </w:tc>
              <w:tc>
                <w:tcPr>
                  <w:tcW w:w="920" w:type="pct"/>
                  <w:vMerge w:val="continue"/>
                  <w:noWrap w:val="0"/>
                  <w:vAlign w:val="top"/>
                </w:tcPr>
                <w:p>
                  <w:pPr>
                    <w:jc w:val="center"/>
                    <w:rPr>
                      <w:rFonts w:ascii="Times New Roman" w:hAnsi="Times New Roman" w:eastAsia="宋体" w:cs="Times New Roman"/>
                      <w:color w:val="auto"/>
                      <w:szCs w:val="21"/>
                    </w:rPr>
                  </w:pPr>
                </w:p>
              </w:tc>
              <w:tc>
                <w:tcPr>
                  <w:tcW w:w="1407" w:type="pct"/>
                  <w:noWrap w:val="0"/>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rPr>
                    <w:t>火灾/爆炸</w:t>
                  </w:r>
                </w:p>
              </w:tc>
              <w:tc>
                <w:tcPr>
                  <w:tcW w:w="1971" w:type="pct"/>
                  <w:noWrap w:val="0"/>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rPr>
                    <w:t>产生CO</w:t>
                  </w:r>
                  <w:r>
                    <w:rPr>
                      <w:rFonts w:ascii="Times New Roman" w:hAnsi="Times New Roman" w:eastAsia="宋体" w:cs="Times New Roman"/>
                      <w:color w:val="auto"/>
                    </w:rPr>
                    <w:t>造成</w:t>
                  </w:r>
                  <w:r>
                    <w:rPr>
                      <w:rFonts w:hint="eastAsia" w:ascii="Times New Roman" w:hAnsi="Times New Roman" w:eastAsia="宋体" w:cs="Times New Roman"/>
                      <w:color w:val="auto"/>
                    </w:rPr>
                    <w:t>大气污染</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pct"/>
                  <w:noWrap w:val="0"/>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电解液（硫酸）</w:t>
                  </w:r>
                </w:p>
              </w:tc>
              <w:tc>
                <w:tcPr>
                  <w:tcW w:w="920" w:type="pct"/>
                  <w:noWrap w:val="0"/>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废铅蓄电池</w:t>
                  </w:r>
                </w:p>
              </w:tc>
              <w:tc>
                <w:tcPr>
                  <w:tcW w:w="1407" w:type="pct"/>
                  <w:noWrap w:val="0"/>
                  <w:vAlign w:val="center"/>
                </w:tcPr>
                <w:p>
                  <w:pPr>
                    <w:jc w:val="center"/>
                    <w:rPr>
                      <w:rFonts w:ascii="Times New Roman" w:hAnsi="Times New Roman" w:eastAsia="宋体" w:cs="Times New Roman"/>
                      <w:color w:val="auto"/>
                    </w:rPr>
                  </w:pPr>
                  <w:r>
                    <w:rPr>
                      <w:rFonts w:hint="eastAsia" w:ascii="Times New Roman" w:hAnsi="Times New Roman" w:eastAsia="宋体" w:cs="Times New Roman"/>
                      <w:color w:val="auto"/>
                      <w:szCs w:val="21"/>
                    </w:rPr>
                    <w:t>泄漏</w:t>
                  </w:r>
                </w:p>
              </w:tc>
              <w:tc>
                <w:tcPr>
                  <w:tcW w:w="1971" w:type="pct"/>
                  <w:noWrap w:val="0"/>
                  <w:vAlign w:val="center"/>
                </w:tcPr>
                <w:p>
                  <w:pPr>
                    <w:adjustRightInd w:val="0"/>
                    <w:snapToGrid w:val="0"/>
                    <w:jc w:val="center"/>
                    <w:rPr>
                      <w:rFonts w:ascii="Times New Roman" w:hAnsi="Times New Roman" w:eastAsia="宋体" w:cs="Times New Roman"/>
                      <w:color w:val="auto"/>
                    </w:rPr>
                  </w:pPr>
                  <w:r>
                    <w:rPr>
                      <w:rFonts w:ascii="Times New Roman" w:hAnsi="Times New Roman" w:eastAsia="宋体" w:cs="Times New Roman"/>
                      <w:color w:val="auto"/>
                    </w:rPr>
                    <w:t>地表漫流造成土壤污染；</w:t>
                  </w:r>
                </w:p>
                <w:p>
                  <w:pPr>
                    <w:jc w:val="center"/>
                    <w:rPr>
                      <w:rFonts w:ascii="Times New Roman" w:hAnsi="Times New Roman" w:eastAsia="宋体" w:cs="Times New Roman"/>
                      <w:color w:val="auto"/>
                    </w:rPr>
                  </w:pPr>
                  <w:r>
                    <w:rPr>
                      <w:rFonts w:ascii="Times New Roman" w:hAnsi="Times New Roman" w:eastAsia="宋体" w:cs="Times New Roman"/>
                      <w:color w:val="auto"/>
                    </w:rPr>
                    <w:t>下渗污染</w:t>
                  </w:r>
                  <w:r>
                    <w:rPr>
                      <w:rFonts w:hint="eastAsia" w:ascii="Times New Roman" w:hAnsi="Times New Roman" w:eastAsia="宋体" w:cs="Times New Roman"/>
                      <w:color w:val="auto"/>
                    </w:rPr>
                    <w:t>地下水</w:t>
                  </w:r>
                </w:p>
              </w:tc>
            </w:tr>
          </w:tbl>
          <w:p>
            <w:pPr>
              <w:widowControl w:val="0"/>
              <w:spacing w:before="120" w:beforeLines="50" w:line="360" w:lineRule="auto"/>
              <w:ind w:firstLine="482" w:firstLineChars="200"/>
              <w:jc w:val="both"/>
              <w:rPr>
                <w:rFonts w:ascii="Times New Roman" w:hAnsi="Times New Roman" w:eastAsia="宋体" w:cs="Times New Roman"/>
                <w:b/>
                <w:snapToGrid w:val="0"/>
                <w:color w:val="auto"/>
                <w:kern w:val="0"/>
                <w:sz w:val="24"/>
                <w:szCs w:val="28"/>
                <w:lang w:val="en-US" w:eastAsia="zh-CN" w:bidi="ar-SA"/>
              </w:rPr>
            </w:pPr>
            <w:r>
              <w:rPr>
                <w:rFonts w:ascii="Times New Roman" w:hAnsi="Times New Roman" w:eastAsia="宋体" w:cs="Times New Roman"/>
                <w:b/>
                <w:bCs/>
                <w:snapToGrid w:val="0"/>
                <w:color w:val="auto"/>
                <w:kern w:val="0"/>
                <w:sz w:val="24"/>
                <w:szCs w:val="28"/>
                <w:lang w:val="en-US" w:eastAsia="zh-CN" w:bidi="ar"/>
              </w:rPr>
              <w:t>（</w:t>
            </w:r>
            <w:r>
              <w:rPr>
                <w:rFonts w:ascii="Times New Roman" w:hAnsi="Times New Roman" w:eastAsia="宋体" w:cs="Times New Roman"/>
                <w:b/>
                <w:snapToGrid w:val="0"/>
                <w:color w:val="auto"/>
                <w:kern w:val="0"/>
                <w:sz w:val="24"/>
                <w:szCs w:val="28"/>
                <w:lang w:val="en-US" w:eastAsia="zh-CN" w:bidi="ar-SA"/>
              </w:rPr>
              <w:t>2）环境风险分析</w:t>
            </w:r>
          </w:p>
          <w:p>
            <w:pPr>
              <w:widowControl w:val="0"/>
              <w:spacing w:line="360" w:lineRule="auto"/>
              <w:ind w:firstLine="480" w:firstLineChars="200"/>
              <w:jc w:val="both"/>
              <w:rPr>
                <w:rFonts w:ascii="Times New Roman" w:hAnsi="Times New Roman" w:eastAsia="宋体" w:cs="Times New Roman"/>
                <w:snapToGrid w:val="0"/>
                <w:color w:val="auto"/>
                <w:kern w:val="0"/>
                <w:sz w:val="24"/>
                <w:szCs w:val="28"/>
                <w:lang w:val="en-US" w:eastAsia="zh-CN" w:bidi="ar-SA"/>
              </w:rPr>
            </w:pPr>
            <w:r>
              <w:rPr>
                <w:rFonts w:hint="eastAsia" w:ascii="Times New Roman" w:hAnsi="Times New Roman" w:eastAsia="宋体" w:cs="Times New Roman"/>
                <w:snapToGrid w:val="0"/>
                <w:color w:val="auto"/>
                <w:kern w:val="0"/>
                <w:sz w:val="24"/>
                <w:szCs w:val="28"/>
                <w:lang w:val="en-US" w:eastAsia="zh-CN" w:bidi="ar-SA"/>
              </w:rPr>
              <w:t>①</w:t>
            </w:r>
            <w:r>
              <w:rPr>
                <w:rFonts w:ascii="Times New Roman" w:hAnsi="Times New Roman" w:eastAsia="宋体" w:cs="Times New Roman"/>
                <w:snapToGrid w:val="0"/>
                <w:color w:val="auto"/>
                <w:kern w:val="0"/>
                <w:sz w:val="24"/>
                <w:szCs w:val="28"/>
                <w:lang w:val="en-US" w:eastAsia="zh-CN" w:bidi="ar-SA"/>
              </w:rPr>
              <w:t>大气环境风险分析</w:t>
            </w:r>
          </w:p>
          <w:p>
            <w:pPr>
              <w:pStyle w:val="39"/>
              <w:ind w:firstLine="480" w:firstLineChars="200"/>
              <w:jc w:val="left"/>
              <w:rPr>
                <w:rStyle w:val="40"/>
                <w:rFonts w:ascii="Times New Roman" w:hAnsi="Times New Roman" w:eastAsia="宋体" w:cs="Times New Roman"/>
                <w:bCs/>
                <w:color w:val="auto"/>
              </w:rPr>
            </w:pPr>
            <w:r>
              <w:rPr>
                <w:rStyle w:val="40"/>
                <w:rFonts w:hint="eastAsia" w:cs="Times New Roman"/>
                <w:bCs/>
                <w:color w:val="auto"/>
              </w:rPr>
              <w:t>变压器油、润滑油均属易燃物质，在使用、储运过程中，若发生火灾、爆炸情况下将产生大量CO和CO</w:t>
            </w:r>
            <w:r>
              <w:rPr>
                <w:rStyle w:val="40"/>
                <w:rFonts w:hint="eastAsia" w:cs="Times New Roman"/>
                <w:bCs/>
                <w:color w:val="auto"/>
                <w:vertAlign w:val="subscript"/>
              </w:rPr>
              <w:t>2</w:t>
            </w:r>
            <w:r>
              <w:rPr>
                <w:rStyle w:val="40"/>
                <w:rFonts w:hint="eastAsia" w:cs="Times New Roman"/>
                <w:bCs/>
                <w:color w:val="auto"/>
              </w:rPr>
              <w:t>，同时火灾还可能引起厂内塑料等材料的燃烧，产生有毒有害烟尘，对区域大气环境造成污染。其中一氧化碳具大气毒性，随空气进入人体后，经肺泡进入血液循环，能与血液中红细胞里的血红蛋白、血液外的肌红蛋白和二价铁的细胞呼吸及酶等形成可逆性结合，高浓度一氧化碳可引起急性中毒，中毒者常出现脉弱，呼吸变慢等反应，最后衰竭致死；慢性一氧化碳可中毒会出现头痛、头晕、记忆力降低等神经衰弱症状。此外，火灾时燃烧产生的大量二氧化碳和有毒有害烟尘若在极短的时间内快速进入密闭空间，还可能使人窒息死亡。</w:t>
            </w:r>
          </w:p>
          <w:p>
            <w:pPr>
              <w:widowControl w:val="0"/>
              <w:numPr>
                <w:ilvl w:val="0"/>
                <w:numId w:val="0"/>
              </w:numPr>
              <w:spacing w:line="360" w:lineRule="auto"/>
              <w:ind w:left="840" w:leftChars="0" w:hanging="360" w:firstLineChars="0"/>
              <w:jc w:val="both"/>
              <w:rPr>
                <w:rFonts w:ascii="Times New Roman" w:hAnsi="Times New Roman" w:eastAsia="宋体" w:cs="Times New Roman"/>
                <w:snapToGrid w:val="0"/>
                <w:color w:val="auto"/>
                <w:kern w:val="0"/>
                <w:sz w:val="24"/>
                <w:szCs w:val="28"/>
                <w:lang w:val="en-US" w:eastAsia="zh-CN" w:bidi="ar-SA"/>
              </w:rPr>
            </w:pPr>
            <w:r>
              <w:rPr>
                <w:rFonts w:hint="default" w:ascii="Times New Roman" w:hAnsi="Times New Roman" w:eastAsia="宋体" w:cs="Times New Roman"/>
                <w:snapToGrid w:val="0"/>
                <w:color w:val="auto"/>
                <w:kern w:val="0"/>
                <w:sz w:val="24"/>
                <w:szCs w:val="28"/>
                <w:lang w:val="en-US" w:eastAsia="zh-CN" w:bidi="ar-SA"/>
              </w:rPr>
              <w:t>②</w:t>
            </w:r>
            <w:r>
              <w:rPr>
                <w:rFonts w:ascii="Times New Roman" w:hAnsi="Times New Roman" w:eastAsia="宋体" w:cs="Times New Roman"/>
                <w:snapToGrid w:val="0"/>
                <w:color w:val="auto"/>
                <w:kern w:val="0"/>
                <w:sz w:val="24"/>
                <w:szCs w:val="28"/>
                <w:lang w:val="en-US" w:eastAsia="zh-CN" w:bidi="ar-SA"/>
              </w:rPr>
              <w:t>地表水环境风险分析</w:t>
            </w:r>
          </w:p>
          <w:p>
            <w:pPr>
              <w:widowControl w:val="0"/>
              <w:spacing w:line="360" w:lineRule="auto"/>
              <w:ind w:firstLine="480" w:firstLineChars="200"/>
              <w:jc w:val="both"/>
              <w:rPr>
                <w:rFonts w:ascii="Times New Roman" w:hAnsi="Times New Roman" w:eastAsia="宋体" w:cs="Times New Roman"/>
                <w:snapToGrid w:val="0"/>
                <w:color w:val="auto"/>
                <w:kern w:val="0"/>
                <w:sz w:val="24"/>
                <w:szCs w:val="28"/>
                <w:lang w:val="en-US" w:eastAsia="zh-CN" w:bidi="ar-SA"/>
              </w:rPr>
            </w:pPr>
            <w:r>
              <w:rPr>
                <w:rFonts w:hint="eastAsia" w:ascii="Times New Roman" w:hAnsi="Times New Roman" w:eastAsia="宋体" w:cs="Times New Roman"/>
                <w:snapToGrid w:val="0"/>
                <w:color w:val="auto"/>
                <w:kern w:val="0"/>
                <w:sz w:val="24"/>
                <w:szCs w:val="28"/>
                <w:lang w:val="en-US" w:eastAsia="zh-CN" w:bidi="ar-SA"/>
              </w:rPr>
              <w:t>若因管理不当或设备损坏导致变压器油、</w:t>
            </w:r>
            <w:r>
              <w:rPr>
                <w:rStyle w:val="40"/>
                <w:rFonts w:hint="eastAsia" w:cs="Times New Roman"/>
                <w:bCs/>
                <w:snapToGrid w:val="0"/>
                <w:color w:val="auto"/>
                <w:kern w:val="2"/>
              </w:rPr>
              <w:t>润滑油、废铅蓄电池中的电解液</w:t>
            </w:r>
            <w:r>
              <w:rPr>
                <w:rFonts w:hint="eastAsia" w:ascii="Times New Roman" w:hAnsi="Times New Roman" w:eastAsia="宋体" w:cs="Times New Roman"/>
                <w:snapToGrid w:val="0"/>
                <w:color w:val="auto"/>
                <w:kern w:val="0"/>
                <w:sz w:val="24"/>
                <w:szCs w:val="28"/>
                <w:lang w:val="en-US" w:eastAsia="zh-CN" w:bidi="ar-SA"/>
              </w:rPr>
              <w:t>发生泄漏，泄露后的油品、硫酸电解液等若随表径流一起进入地表水体，将对地表水造成污染。</w:t>
            </w:r>
          </w:p>
          <w:p>
            <w:pPr>
              <w:widowControl w:val="0"/>
              <w:spacing w:line="360" w:lineRule="auto"/>
              <w:ind w:firstLine="480" w:firstLineChars="200"/>
              <w:jc w:val="both"/>
              <w:rPr>
                <w:rFonts w:ascii="Times New Roman" w:hAnsi="Times New Roman" w:eastAsia="宋体" w:cs="Times New Roman"/>
                <w:snapToGrid w:val="0"/>
                <w:color w:val="auto"/>
                <w:kern w:val="0"/>
                <w:sz w:val="24"/>
                <w:szCs w:val="28"/>
                <w:lang w:val="en-US" w:eastAsia="zh-CN" w:bidi="ar-SA"/>
              </w:rPr>
            </w:pPr>
            <w:r>
              <w:rPr>
                <w:rFonts w:hint="eastAsia" w:ascii="Times New Roman" w:hAnsi="Times New Roman" w:eastAsia="宋体" w:cs="Times New Roman"/>
                <w:snapToGrid w:val="0"/>
                <w:color w:val="auto"/>
                <w:kern w:val="0"/>
                <w:sz w:val="24"/>
                <w:szCs w:val="28"/>
                <w:lang w:val="en-US" w:eastAsia="zh-CN" w:bidi="ar-SA"/>
              </w:rPr>
              <w:t>本项目主变配套设置了集油坑、排油管道、事故油池。项目本期新建一台主变容油量40</w:t>
            </w:r>
            <w:r>
              <w:rPr>
                <w:rFonts w:ascii="Times New Roman" w:hAnsi="Times New Roman" w:eastAsia="宋体" w:cs="Times New Roman"/>
                <w:snapToGrid w:val="0"/>
                <w:color w:val="auto"/>
                <w:kern w:val="0"/>
                <w:sz w:val="24"/>
                <w:szCs w:val="28"/>
                <w:lang w:val="en-US" w:eastAsia="zh-CN" w:bidi="ar-SA"/>
              </w:rPr>
              <w:t>t，根据主体工程设计，升压站内设置的</w:t>
            </w:r>
            <w:r>
              <w:rPr>
                <w:rFonts w:hint="eastAsia" w:ascii="Times New Roman" w:hAnsi="Times New Roman" w:eastAsia="宋体" w:cs="Times New Roman"/>
                <w:snapToGrid w:val="0"/>
                <w:color w:val="auto"/>
                <w:kern w:val="0"/>
                <w:sz w:val="24"/>
                <w:szCs w:val="28"/>
                <w:lang w:val="en-US" w:eastAsia="zh-CN" w:bidi="ar-SA"/>
              </w:rPr>
              <w:t>1个事故油池容积30</w:t>
            </w:r>
            <w:r>
              <w:rPr>
                <w:rFonts w:ascii="Times New Roman" w:hAnsi="Times New Roman" w:eastAsia="宋体" w:cs="Times New Roman"/>
                <w:snapToGrid w:val="0"/>
                <w:color w:val="auto"/>
                <w:kern w:val="0"/>
                <w:sz w:val="24"/>
                <w:szCs w:val="28"/>
                <w:lang w:val="en-US" w:eastAsia="zh-CN" w:bidi="ar-SA"/>
              </w:rPr>
              <w:t>m</w:t>
            </w:r>
            <w:r>
              <w:rPr>
                <w:rFonts w:ascii="Times New Roman" w:hAnsi="Times New Roman" w:eastAsia="宋体" w:cs="Times New Roman"/>
                <w:snapToGrid w:val="0"/>
                <w:color w:val="auto"/>
                <w:kern w:val="0"/>
                <w:sz w:val="24"/>
                <w:szCs w:val="28"/>
                <w:vertAlign w:val="superscript"/>
                <w:lang w:val="en-US" w:eastAsia="zh-CN" w:bidi="ar-SA"/>
              </w:rPr>
              <w:t>3</w:t>
            </w:r>
            <w:r>
              <w:rPr>
                <w:rFonts w:ascii="Times New Roman" w:hAnsi="Times New Roman" w:eastAsia="宋体" w:cs="Times New Roman"/>
                <w:snapToGrid w:val="0"/>
                <w:color w:val="auto"/>
                <w:kern w:val="0"/>
                <w:sz w:val="24"/>
                <w:szCs w:val="28"/>
                <w:lang w:val="en-US" w:eastAsia="zh-CN" w:bidi="ar-SA"/>
              </w:rPr>
              <w:t>，</w:t>
            </w:r>
            <w:r>
              <w:rPr>
                <w:rFonts w:hint="eastAsia" w:ascii="Times New Roman" w:hAnsi="Times New Roman" w:eastAsia="宋体" w:cs="Times New Roman"/>
                <w:snapToGrid w:val="0"/>
                <w:color w:val="auto"/>
                <w:kern w:val="0"/>
                <w:sz w:val="24"/>
                <w:szCs w:val="28"/>
                <w:lang w:val="en-US" w:eastAsia="zh-CN" w:bidi="ar-SA"/>
              </w:rPr>
              <w:t>用于收集</w:t>
            </w:r>
            <w:r>
              <w:rPr>
                <w:rFonts w:ascii="Times New Roman" w:hAnsi="Times New Roman" w:eastAsia="宋体" w:cs="Times New Roman"/>
                <w:snapToGrid w:val="0"/>
                <w:color w:val="auto"/>
                <w:kern w:val="0"/>
                <w:sz w:val="24"/>
                <w:szCs w:val="28"/>
                <w:lang w:val="en-US" w:eastAsia="zh-CN" w:bidi="ar-SA"/>
              </w:rPr>
              <w:t>主变的事故废油，可容纳事故状态下</w:t>
            </w:r>
            <w:r>
              <w:rPr>
                <w:rFonts w:hint="eastAsia" w:ascii="Times New Roman" w:hAnsi="Times New Roman" w:eastAsia="宋体" w:cs="Times New Roman"/>
                <w:snapToGrid w:val="0"/>
                <w:color w:val="auto"/>
                <w:kern w:val="0"/>
                <w:sz w:val="24"/>
                <w:szCs w:val="28"/>
                <w:lang w:val="en-US" w:eastAsia="zh-CN" w:bidi="ar-SA"/>
              </w:rPr>
              <w:t>主变1</w:t>
            </w:r>
            <w:r>
              <w:rPr>
                <w:rFonts w:ascii="Times New Roman" w:hAnsi="Times New Roman" w:eastAsia="宋体" w:cs="Times New Roman"/>
                <w:snapToGrid w:val="0"/>
                <w:color w:val="auto"/>
                <w:kern w:val="0"/>
                <w:sz w:val="24"/>
                <w:szCs w:val="28"/>
                <w:lang w:val="en-US" w:eastAsia="zh-CN" w:bidi="ar-SA"/>
              </w:rPr>
              <w:t>00%的泄露油量。</w:t>
            </w:r>
            <w:r>
              <w:rPr>
                <w:rFonts w:hint="eastAsia" w:ascii="Times New Roman" w:hAnsi="Times New Roman" w:eastAsia="宋体" w:cs="Times New Roman"/>
                <w:snapToGrid w:val="0"/>
                <w:color w:val="auto"/>
                <w:kern w:val="0"/>
                <w:sz w:val="24"/>
                <w:szCs w:val="28"/>
                <w:lang w:val="en-US" w:eastAsia="zh-CN" w:bidi="ar-SA"/>
              </w:rPr>
              <w:t>各光伏场区箱变基础内配套设置应急事故池，</w:t>
            </w:r>
            <w:r>
              <w:rPr>
                <w:rFonts w:hint="eastAsia" w:cs="Times New Roman"/>
                <w:snapToGrid w:val="0"/>
                <w:color w:val="auto"/>
                <w:kern w:val="0"/>
                <w:sz w:val="24"/>
                <w:szCs w:val="28"/>
                <w:lang w:val="en-US" w:eastAsia="zh-CN" w:bidi="ar-SA"/>
              </w:rPr>
              <w:t>考虑其他积水等不利因素，其</w:t>
            </w:r>
            <w:r>
              <w:rPr>
                <w:rFonts w:hint="eastAsia" w:ascii="Times New Roman" w:hAnsi="Times New Roman" w:eastAsia="宋体" w:cs="Times New Roman"/>
                <w:snapToGrid w:val="0"/>
                <w:color w:val="auto"/>
                <w:kern w:val="0"/>
                <w:sz w:val="24"/>
                <w:szCs w:val="28"/>
                <w:lang w:val="en-US" w:eastAsia="zh-CN" w:bidi="ar-SA"/>
              </w:rPr>
              <w:t>容积</w:t>
            </w:r>
            <w:r>
              <w:rPr>
                <w:rFonts w:hint="eastAsia" w:cs="Times New Roman"/>
                <w:snapToGrid w:val="0"/>
                <w:color w:val="auto"/>
                <w:kern w:val="0"/>
                <w:sz w:val="24"/>
                <w:szCs w:val="28"/>
                <w:lang w:val="en-US" w:eastAsia="zh-CN" w:bidi="ar-SA"/>
              </w:rPr>
              <w:t>设置远大于容油量</w:t>
            </w:r>
            <w:r>
              <w:rPr>
                <w:rFonts w:hint="eastAsia" w:ascii="Times New Roman" w:hAnsi="Times New Roman" w:eastAsia="宋体" w:cs="Times New Roman"/>
                <w:snapToGrid w:val="0"/>
                <w:color w:val="auto"/>
                <w:kern w:val="0"/>
                <w:sz w:val="24"/>
                <w:szCs w:val="28"/>
                <w:lang w:val="en-US" w:eastAsia="zh-CN" w:bidi="ar-SA"/>
              </w:rPr>
              <w:t>，约</w:t>
            </w:r>
            <w:r>
              <w:rPr>
                <w:rFonts w:hint="eastAsia" w:cs="Times New Roman"/>
                <w:snapToGrid w:val="0"/>
                <w:color w:val="auto"/>
                <w:kern w:val="0"/>
                <w:sz w:val="24"/>
                <w:szCs w:val="28"/>
                <w:lang w:val="en-US" w:eastAsia="zh-CN" w:bidi="ar-SA"/>
              </w:rPr>
              <w:t>2</w:t>
            </w:r>
            <w:r>
              <w:rPr>
                <w:rFonts w:ascii="Times New Roman" w:hAnsi="Times New Roman" w:eastAsia="宋体" w:cs="Times New Roman"/>
                <w:snapToGrid w:val="0"/>
                <w:color w:val="auto"/>
                <w:kern w:val="0"/>
                <w:sz w:val="24"/>
                <w:szCs w:val="28"/>
                <w:lang w:val="en-US" w:eastAsia="zh-CN" w:bidi="ar-SA"/>
              </w:rPr>
              <w:t>m</w:t>
            </w:r>
            <w:r>
              <w:rPr>
                <w:rFonts w:ascii="Times New Roman" w:hAnsi="Times New Roman" w:eastAsia="宋体" w:cs="Times New Roman"/>
                <w:snapToGrid w:val="0"/>
                <w:color w:val="auto"/>
                <w:kern w:val="0"/>
                <w:sz w:val="24"/>
                <w:szCs w:val="28"/>
                <w:vertAlign w:val="superscript"/>
                <w:lang w:val="en-US" w:eastAsia="zh-CN" w:bidi="ar-SA"/>
              </w:rPr>
              <w:t>3</w:t>
            </w:r>
            <w:r>
              <w:rPr>
                <w:rFonts w:hint="eastAsia" w:ascii="Times New Roman" w:hAnsi="Times New Roman" w:eastAsia="宋体" w:cs="Times New Roman"/>
                <w:snapToGrid w:val="0"/>
                <w:color w:val="auto"/>
                <w:kern w:val="0"/>
                <w:sz w:val="24"/>
                <w:szCs w:val="28"/>
                <w:lang w:val="en-US" w:eastAsia="zh-CN" w:bidi="ar-SA"/>
              </w:rPr>
              <w:t>。</w:t>
            </w:r>
            <w:r>
              <w:rPr>
                <w:rFonts w:ascii="Times New Roman" w:hAnsi="Times New Roman" w:eastAsia="宋体" w:cs="Times New Roman"/>
                <w:snapToGrid w:val="0"/>
                <w:color w:val="auto"/>
                <w:kern w:val="0"/>
                <w:sz w:val="24"/>
                <w:szCs w:val="28"/>
                <w:lang w:val="en-US" w:eastAsia="zh-CN" w:bidi="ar-SA"/>
              </w:rPr>
              <w:t>事故状态下</w:t>
            </w:r>
            <w:r>
              <w:rPr>
                <w:rFonts w:hint="eastAsia" w:ascii="Times New Roman" w:hAnsi="Times New Roman" w:eastAsia="宋体" w:cs="Times New Roman"/>
                <w:snapToGrid w:val="0"/>
                <w:color w:val="auto"/>
                <w:kern w:val="0"/>
                <w:sz w:val="24"/>
                <w:szCs w:val="28"/>
                <w:lang w:val="en-US" w:eastAsia="zh-CN" w:bidi="ar-SA"/>
              </w:rPr>
              <w:t>，</w:t>
            </w:r>
            <w:r>
              <w:rPr>
                <w:rFonts w:ascii="Times New Roman" w:hAnsi="Times New Roman" w:eastAsia="宋体" w:cs="Times New Roman"/>
                <w:snapToGrid w:val="0"/>
                <w:color w:val="auto"/>
                <w:kern w:val="0"/>
                <w:sz w:val="24"/>
                <w:szCs w:val="28"/>
                <w:lang w:val="en-US" w:eastAsia="zh-CN" w:bidi="ar-SA"/>
              </w:rPr>
              <w:t>变压器油泄漏后可直接进入事故油池内，不会溢流并进而进入地表水体。</w:t>
            </w:r>
          </w:p>
          <w:p>
            <w:pPr>
              <w:widowControl w:val="0"/>
              <w:spacing w:line="360" w:lineRule="auto"/>
              <w:ind w:firstLine="480" w:firstLineChars="200"/>
              <w:jc w:val="both"/>
              <w:rPr>
                <w:rFonts w:ascii="Times New Roman" w:hAnsi="Times New Roman" w:eastAsia="宋体" w:cs="Times New Roman"/>
                <w:snapToGrid w:val="0"/>
                <w:color w:val="auto"/>
                <w:kern w:val="0"/>
                <w:sz w:val="24"/>
                <w:szCs w:val="28"/>
                <w:lang w:val="en-US" w:eastAsia="zh-CN" w:bidi="ar-SA"/>
              </w:rPr>
            </w:pPr>
            <w:r>
              <w:rPr>
                <w:rFonts w:hint="eastAsia" w:ascii="Times New Roman" w:hAnsi="Times New Roman" w:eastAsia="宋体" w:cs="Times New Roman"/>
                <w:snapToGrid w:val="0"/>
                <w:color w:val="auto"/>
                <w:kern w:val="0"/>
                <w:sz w:val="24"/>
                <w:szCs w:val="28"/>
                <w:lang w:val="en-US" w:eastAsia="zh-CN" w:bidi="ar-SA"/>
              </w:rPr>
              <w:t>备用的变压器油及废弃润滑油分别采用油桶盛装</w:t>
            </w:r>
            <w:r>
              <w:rPr>
                <w:rFonts w:ascii="Times New Roman" w:hAnsi="Times New Roman" w:eastAsia="宋体" w:cs="Times New Roman"/>
                <w:snapToGrid w:val="0"/>
                <w:color w:val="auto"/>
                <w:kern w:val="0"/>
                <w:sz w:val="24"/>
                <w:szCs w:val="28"/>
                <w:lang w:val="en-US" w:eastAsia="zh-CN" w:bidi="ar-SA"/>
              </w:rPr>
              <w:t>后存放于润滑油品库及危废暂存间室内，废铅蓄电池分区暂存于危废暂存间内；危废暂存间标准化设置，地面及墙裙采取了防渗措施，配套有渗滤液收集设施，物质泄露后盛积于危废暂存间地表，通过加强巡检等措施后，可以及时发现泄漏，切断泄漏源，并采用合适的材料收容泄漏物。</w:t>
            </w:r>
          </w:p>
          <w:p>
            <w:pPr>
              <w:widowControl w:val="0"/>
              <w:spacing w:line="360" w:lineRule="auto"/>
              <w:ind w:firstLine="480" w:firstLineChars="200"/>
              <w:jc w:val="both"/>
              <w:rPr>
                <w:rFonts w:ascii="Times New Roman" w:hAnsi="Times New Roman" w:eastAsia="宋体" w:cs="Times New Roman"/>
                <w:snapToGrid w:val="0"/>
                <w:color w:val="auto"/>
                <w:kern w:val="0"/>
                <w:sz w:val="24"/>
                <w:szCs w:val="28"/>
                <w:lang w:val="en-US" w:eastAsia="zh-CN" w:bidi="ar-SA"/>
              </w:rPr>
            </w:pPr>
            <w:r>
              <w:rPr>
                <w:rFonts w:hint="eastAsia" w:ascii="Times New Roman" w:hAnsi="Times New Roman" w:eastAsia="宋体" w:cs="Times New Roman"/>
                <w:snapToGrid w:val="0"/>
                <w:color w:val="auto"/>
                <w:kern w:val="0"/>
                <w:sz w:val="24"/>
                <w:szCs w:val="28"/>
                <w:lang w:val="en-US" w:eastAsia="zh-CN" w:bidi="ar-SA"/>
              </w:rPr>
              <w:t>通过及时采取应急措施处理后，变压器油、废矿物油等不会随地表径流一起进入地表水，对地表水影响不大，地表水环境风险可控。</w:t>
            </w:r>
          </w:p>
          <w:p>
            <w:pPr>
              <w:widowControl w:val="0"/>
              <w:numPr>
                <w:ilvl w:val="0"/>
                <w:numId w:val="0"/>
              </w:numPr>
              <w:spacing w:line="360" w:lineRule="auto"/>
              <w:ind w:left="840" w:leftChars="0" w:hanging="360" w:firstLineChars="0"/>
              <w:jc w:val="both"/>
              <w:rPr>
                <w:rFonts w:ascii="Times New Roman" w:hAnsi="Times New Roman" w:eastAsia="宋体" w:cs="Times New Roman"/>
                <w:snapToGrid w:val="0"/>
                <w:color w:val="auto"/>
                <w:kern w:val="0"/>
                <w:sz w:val="24"/>
                <w:szCs w:val="28"/>
                <w:lang w:val="en-US" w:eastAsia="zh-CN" w:bidi="ar-SA"/>
              </w:rPr>
            </w:pPr>
            <w:r>
              <w:rPr>
                <w:rFonts w:hint="default" w:ascii="Times New Roman" w:hAnsi="Times New Roman" w:eastAsia="宋体" w:cs="Times New Roman"/>
                <w:snapToGrid w:val="0"/>
                <w:color w:val="auto"/>
                <w:kern w:val="0"/>
                <w:sz w:val="24"/>
                <w:szCs w:val="28"/>
                <w:lang w:val="en-US" w:eastAsia="zh-CN" w:bidi="ar-SA"/>
              </w:rPr>
              <w:t>③</w:t>
            </w:r>
            <w:r>
              <w:rPr>
                <w:rFonts w:hint="eastAsia" w:ascii="Times New Roman" w:hAnsi="Times New Roman" w:eastAsia="宋体" w:cs="Times New Roman"/>
                <w:snapToGrid w:val="0"/>
                <w:color w:val="auto"/>
                <w:kern w:val="0"/>
                <w:sz w:val="24"/>
                <w:szCs w:val="28"/>
                <w:lang w:val="en-US" w:eastAsia="zh-CN" w:bidi="ar-SA"/>
              </w:rPr>
              <w:t>土壤及</w:t>
            </w:r>
            <w:r>
              <w:rPr>
                <w:rFonts w:ascii="Times New Roman" w:hAnsi="Times New Roman" w:eastAsia="宋体" w:cs="Times New Roman"/>
                <w:snapToGrid w:val="0"/>
                <w:color w:val="auto"/>
                <w:kern w:val="0"/>
                <w:sz w:val="24"/>
                <w:szCs w:val="28"/>
                <w:lang w:val="en-US" w:eastAsia="zh-CN" w:bidi="ar-SA"/>
              </w:rPr>
              <w:t>地下水环境风险分析</w:t>
            </w:r>
          </w:p>
          <w:p>
            <w:pPr>
              <w:pStyle w:val="39"/>
              <w:ind w:firstLine="480" w:firstLineChars="200"/>
              <w:jc w:val="left"/>
              <w:rPr>
                <w:rFonts w:ascii="Times New Roman" w:hAnsi="Times New Roman" w:eastAsia="宋体" w:cs="Times New Roman"/>
                <w:color w:val="auto"/>
              </w:rPr>
            </w:pPr>
            <w:r>
              <w:rPr>
                <w:rFonts w:ascii="Times New Roman" w:hAnsi="Times New Roman" w:eastAsia="宋体" w:cs="Times New Roman"/>
                <w:color w:val="auto"/>
              </w:rPr>
              <w:t>若事故油池</w:t>
            </w:r>
            <w:r>
              <w:rPr>
                <w:rFonts w:hint="eastAsia" w:ascii="Times New Roman" w:hAnsi="Times New Roman" w:eastAsia="宋体" w:cs="Times New Roman"/>
                <w:color w:val="auto"/>
              </w:rPr>
              <w:t>、油</w:t>
            </w:r>
            <w:r>
              <w:rPr>
                <w:rFonts w:ascii="Times New Roman" w:hAnsi="Times New Roman" w:eastAsia="宋体" w:cs="Times New Roman"/>
                <w:color w:val="auto"/>
              </w:rPr>
              <w:t>品库、危废暂存间设置的防渗层破裂或失效，变压器油</w:t>
            </w:r>
            <w:r>
              <w:rPr>
                <w:rFonts w:hint="eastAsia" w:ascii="Times New Roman" w:hAnsi="Times New Roman" w:eastAsia="宋体" w:cs="Times New Roman"/>
                <w:color w:val="auto"/>
              </w:rPr>
              <w:t>、废润滑油、泄露的铅蓄电池电解液</w:t>
            </w:r>
            <w:r>
              <w:rPr>
                <w:rFonts w:ascii="Times New Roman" w:hAnsi="Times New Roman" w:eastAsia="宋体" w:cs="Times New Roman"/>
                <w:color w:val="auto"/>
              </w:rPr>
              <w:t>下渗后可能对土壤及地下水造成污染，导致泄漏主要原因为：衬垫材料不良或施工不当引起衬垫失效；基础不均匀沉降引起的衬垫破裂；人为破坏引起衬垫失效。项目在基建期根据环评要求及</w:t>
            </w:r>
            <w:r>
              <w:rPr>
                <w:rStyle w:val="40"/>
                <w:rFonts w:cs="Times New Roman"/>
                <w:color w:val="auto"/>
              </w:rPr>
              <w:t>设计规范的要求</w:t>
            </w:r>
            <w:r>
              <w:rPr>
                <w:rFonts w:ascii="Times New Roman" w:hAnsi="Times New Roman" w:eastAsia="宋体" w:cs="Times New Roman"/>
                <w:color w:val="auto"/>
              </w:rPr>
              <w:t>严格做好分区防渗工程，且提高工程质量，运营期加强监管的基础上，则地下水环境风险可控。</w:t>
            </w:r>
          </w:p>
          <w:p>
            <w:pPr>
              <w:widowControl w:val="0"/>
              <w:spacing w:line="360" w:lineRule="auto"/>
              <w:ind w:firstLine="482" w:firstLineChars="200"/>
              <w:jc w:val="both"/>
              <w:rPr>
                <w:rFonts w:ascii="Times New Roman" w:hAnsi="Times New Roman" w:eastAsia="宋体" w:cs="Times New Roman"/>
                <w:b/>
                <w:bCs/>
                <w:snapToGrid w:val="0"/>
                <w:color w:val="auto"/>
                <w:kern w:val="0"/>
                <w:sz w:val="24"/>
                <w:szCs w:val="28"/>
                <w:lang w:val="en-US" w:eastAsia="zh-CN" w:bidi="ar"/>
              </w:rPr>
            </w:pPr>
            <w:r>
              <w:rPr>
                <w:rStyle w:val="40"/>
                <w:rFonts w:cs="Times New Roman"/>
                <w:b/>
                <w:snapToGrid w:val="0"/>
                <w:color w:val="auto"/>
                <w:kern w:val="2"/>
              </w:rPr>
              <w:t>（</w:t>
            </w:r>
            <w:r>
              <w:rPr>
                <w:rFonts w:hint="eastAsia" w:ascii="Times New Roman" w:hAnsi="Times New Roman" w:eastAsia="宋体" w:cs="Times New Roman"/>
                <w:b/>
                <w:bCs/>
                <w:snapToGrid w:val="0"/>
                <w:color w:val="auto"/>
                <w:kern w:val="0"/>
                <w:sz w:val="24"/>
                <w:szCs w:val="28"/>
                <w:lang w:val="en-US" w:eastAsia="zh-CN" w:bidi="ar"/>
              </w:rPr>
              <w:t>4</w:t>
            </w:r>
            <w:r>
              <w:rPr>
                <w:rFonts w:ascii="Times New Roman" w:hAnsi="Times New Roman" w:eastAsia="宋体" w:cs="Times New Roman"/>
                <w:b/>
                <w:bCs/>
                <w:snapToGrid w:val="0"/>
                <w:color w:val="auto"/>
                <w:kern w:val="0"/>
                <w:sz w:val="24"/>
                <w:szCs w:val="28"/>
                <w:lang w:val="en-US" w:eastAsia="zh-CN" w:bidi="ar"/>
              </w:rPr>
              <w:t>）环境风险防范措施及应急要求</w:t>
            </w:r>
          </w:p>
          <w:p>
            <w:pPr>
              <w:widowControl w:val="0"/>
              <w:spacing w:line="360" w:lineRule="auto"/>
              <w:ind w:firstLine="480" w:firstLineChars="200"/>
              <w:jc w:val="both"/>
              <w:rPr>
                <w:rFonts w:ascii="Times New Roman" w:hAnsi="Times New Roman" w:eastAsia="宋体" w:cs="Times New Roman"/>
                <w:snapToGrid w:val="0"/>
                <w:color w:val="auto"/>
                <w:kern w:val="0"/>
                <w:sz w:val="24"/>
                <w:szCs w:val="28"/>
                <w:lang w:val="en-US" w:eastAsia="zh-CN" w:bidi="ar"/>
              </w:rPr>
            </w:pPr>
            <w:r>
              <w:rPr>
                <w:rFonts w:hint="eastAsia" w:ascii="Times New Roman" w:hAnsi="Times New Roman" w:eastAsia="宋体" w:cs="Times New Roman"/>
                <w:snapToGrid w:val="0"/>
                <w:color w:val="auto"/>
                <w:kern w:val="0"/>
                <w:sz w:val="24"/>
                <w:szCs w:val="28"/>
                <w:lang w:val="en-US" w:eastAsia="zh-CN" w:bidi="ar"/>
              </w:rPr>
              <w:t>①环境风险</w:t>
            </w:r>
            <w:r>
              <w:rPr>
                <w:rFonts w:ascii="Times New Roman" w:hAnsi="Times New Roman" w:eastAsia="宋体" w:cs="Times New Roman"/>
                <w:snapToGrid w:val="0"/>
                <w:color w:val="auto"/>
                <w:kern w:val="0"/>
                <w:sz w:val="24"/>
                <w:szCs w:val="28"/>
                <w:lang w:val="en-US" w:eastAsia="zh-CN" w:bidi="ar"/>
              </w:rPr>
              <w:t>防范措施</w:t>
            </w:r>
          </w:p>
          <w:p>
            <w:pPr>
              <w:widowControl w:val="0"/>
              <w:spacing w:line="360" w:lineRule="auto"/>
              <w:ind w:firstLine="480" w:firstLineChars="200"/>
              <w:jc w:val="both"/>
              <w:rPr>
                <w:rFonts w:ascii="Times New Roman" w:hAnsi="Times New Roman" w:eastAsia="宋体" w:cs="Times New Roman"/>
                <w:bCs/>
                <w:snapToGrid w:val="0"/>
                <w:color w:val="auto"/>
                <w:kern w:val="0"/>
                <w:sz w:val="24"/>
                <w:szCs w:val="28"/>
                <w:lang w:val="en-US" w:eastAsia="zh-CN" w:bidi="ar"/>
              </w:rPr>
            </w:pPr>
            <w:r>
              <w:rPr>
                <w:rFonts w:hint="eastAsia" w:ascii="Times New Roman" w:hAnsi="Times New Roman" w:eastAsia="宋体" w:cs="Times New Roman"/>
                <w:bCs/>
                <w:snapToGrid w:val="0"/>
                <w:color w:val="auto"/>
                <w:kern w:val="0"/>
                <w:sz w:val="24"/>
                <w:szCs w:val="28"/>
                <w:lang w:val="en-US" w:eastAsia="zh-CN" w:bidi="ar"/>
              </w:rPr>
              <w:t>A</w:t>
            </w:r>
            <w:r>
              <w:rPr>
                <w:rFonts w:ascii="Times New Roman" w:hAnsi="Times New Roman" w:eastAsia="宋体" w:cs="Times New Roman"/>
                <w:bCs/>
                <w:snapToGrid w:val="0"/>
                <w:color w:val="auto"/>
                <w:kern w:val="0"/>
                <w:sz w:val="24"/>
                <w:szCs w:val="28"/>
                <w:lang w:val="en-US" w:eastAsia="zh-CN" w:bidi="ar"/>
              </w:rPr>
              <w:t>.</w:t>
            </w:r>
            <w:r>
              <w:rPr>
                <w:rFonts w:hint="eastAsia" w:ascii="Times New Roman" w:hAnsi="Times New Roman" w:eastAsia="宋体" w:cs="Times New Roman"/>
                <w:bCs/>
                <w:snapToGrid w:val="0"/>
                <w:color w:val="auto"/>
                <w:kern w:val="0"/>
                <w:sz w:val="24"/>
                <w:szCs w:val="28"/>
                <w:lang w:val="en-US" w:eastAsia="zh-CN" w:bidi="ar"/>
              </w:rPr>
              <w:t>升压站内主变压器下设置集油坑，场内配套设置1个容积</w:t>
            </w:r>
            <w:r>
              <w:rPr>
                <w:rFonts w:hint="eastAsia" w:cs="Times New Roman"/>
                <w:bCs/>
                <w:snapToGrid w:val="0"/>
                <w:color w:val="auto"/>
                <w:kern w:val="0"/>
                <w:sz w:val="24"/>
                <w:szCs w:val="28"/>
                <w:lang w:val="en-US" w:eastAsia="zh-CN" w:bidi="ar"/>
              </w:rPr>
              <w:t>30</w:t>
            </w:r>
            <w:r>
              <w:rPr>
                <w:rFonts w:hint="eastAsia" w:ascii="Times New Roman" w:hAnsi="Times New Roman" w:eastAsia="宋体" w:cs="Times New Roman"/>
                <w:bCs/>
                <w:snapToGrid w:val="0"/>
                <w:color w:val="auto"/>
                <w:kern w:val="0"/>
                <w:sz w:val="24"/>
                <w:szCs w:val="28"/>
                <w:lang w:val="en-US" w:eastAsia="zh-CN" w:bidi="ar"/>
              </w:rPr>
              <w:t>m</w:t>
            </w:r>
            <w:r>
              <w:rPr>
                <w:rFonts w:hint="eastAsia" w:ascii="Times New Roman" w:hAnsi="Times New Roman" w:eastAsia="宋体" w:cs="Times New Roman"/>
                <w:bCs/>
                <w:snapToGrid w:val="0"/>
                <w:color w:val="auto"/>
                <w:kern w:val="0"/>
                <w:sz w:val="24"/>
                <w:szCs w:val="28"/>
                <w:vertAlign w:val="superscript"/>
                <w:lang w:val="en-US" w:eastAsia="zh-CN" w:bidi="ar"/>
              </w:rPr>
              <w:t>3</w:t>
            </w:r>
            <w:r>
              <w:rPr>
                <w:rFonts w:hint="eastAsia" w:ascii="Times New Roman" w:hAnsi="Times New Roman" w:eastAsia="宋体" w:cs="Times New Roman"/>
                <w:bCs/>
                <w:snapToGrid w:val="0"/>
                <w:color w:val="auto"/>
                <w:kern w:val="0"/>
                <w:sz w:val="24"/>
                <w:szCs w:val="28"/>
                <w:lang w:val="en-US" w:eastAsia="zh-CN" w:bidi="ar"/>
              </w:rPr>
              <w:t>的事故油池，并由排油管道与集油坑相连。主变压器在维修和事故情况下，产生的废油由集油坑收集后，经排油管道排至事故油池存放。</w:t>
            </w:r>
          </w:p>
          <w:p>
            <w:pPr>
              <w:widowControl w:val="0"/>
              <w:spacing w:line="360" w:lineRule="auto"/>
              <w:ind w:firstLine="480" w:firstLineChars="200"/>
              <w:jc w:val="both"/>
              <w:rPr>
                <w:rFonts w:ascii="Times New Roman" w:hAnsi="Times New Roman" w:eastAsia="宋体" w:cs="Times New Roman"/>
                <w:bCs/>
                <w:snapToGrid w:val="0"/>
                <w:color w:val="auto"/>
                <w:kern w:val="0"/>
                <w:sz w:val="24"/>
                <w:szCs w:val="28"/>
                <w:lang w:val="en-US" w:eastAsia="zh-CN" w:bidi="ar"/>
              </w:rPr>
            </w:pPr>
            <w:r>
              <w:rPr>
                <w:rFonts w:hint="eastAsia" w:ascii="Times New Roman" w:hAnsi="Times New Roman" w:eastAsia="宋体" w:cs="Times New Roman"/>
                <w:bCs/>
                <w:snapToGrid w:val="0"/>
                <w:color w:val="auto"/>
                <w:kern w:val="0"/>
                <w:sz w:val="24"/>
                <w:szCs w:val="28"/>
                <w:lang w:val="en-US" w:eastAsia="zh-CN" w:bidi="ar"/>
              </w:rPr>
              <w:t>B．光伏场区各箱变配套设置事故油池，各事故油池容积应能储存箱变事故状1</w:t>
            </w:r>
            <w:r>
              <w:rPr>
                <w:rFonts w:ascii="Times New Roman" w:hAnsi="Times New Roman" w:eastAsia="宋体" w:cs="Times New Roman"/>
                <w:bCs/>
                <w:snapToGrid w:val="0"/>
                <w:color w:val="auto"/>
                <w:kern w:val="0"/>
                <w:sz w:val="24"/>
                <w:szCs w:val="28"/>
                <w:lang w:val="en-US" w:eastAsia="zh-CN" w:bidi="ar"/>
              </w:rPr>
              <w:t>00%油量。</w:t>
            </w:r>
          </w:p>
          <w:p>
            <w:pPr>
              <w:widowControl w:val="0"/>
              <w:spacing w:line="360" w:lineRule="auto"/>
              <w:ind w:firstLine="480" w:firstLineChars="200"/>
              <w:jc w:val="both"/>
              <w:rPr>
                <w:rFonts w:ascii="Times New Roman" w:hAnsi="Times New Roman" w:eastAsia="宋体" w:cs="Times New Roman"/>
                <w:bCs/>
                <w:snapToGrid w:val="0"/>
                <w:color w:val="auto"/>
                <w:kern w:val="0"/>
                <w:sz w:val="24"/>
                <w:szCs w:val="28"/>
                <w:lang w:val="en-US" w:eastAsia="zh-CN" w:bidi="ar"/>
              </w:rPr>
            </w:pPr>
            <w:r>
              <w:rPr>
                <w:rFonts w:hint="eastAsia" w:ascii="Times New Roman" w:hAnsi="Times New Roman" w:eastAsia="宋体" w:cs="Times New Roman"/>
                <w:bCs/>
                <w:snapToGrid w:val="0"/>
                <w:color w:val="auto"/>
                <w:kern w:val="0"/>
                <w:sz w:val="24"/>
                <w:szCs w:val="28"/>
                <w:lang w:val="en-US" w:eastAsia="zh-CN" w:bidi="ar"/>
              </w:rPr>
              <w:t>C．</w:t>
            </w:r>
            <w:r>
              <w:rPr>
                <w:rFonts w:ascii="Times New Roman" w:hAnsi="Times New Roman" w:eastAsia="宋体" w:cs="Times New Roman"/>
                <w:bCs/>
                <w:snapToGrid w:val="0"/>
                <w:color w:val="auto"/>
                <w:kern w:val="0"/>
                <w:sz w:val="24"/>
                <w:szCs w:val="28"/>
                <w:lang w:val="en-US" w:eastAsia="zh-CN" w:bidi="ar"/>
              </w:rPr>
              <w:t>严格做好分区防渗工程，施工期加强工程监理和环境监理，提高防渗工程质量，做好照片、录像以及相关文字说明等存档资料。</w:t>
            </w:r>
          </w:p>
          <w:p>
            <w:pPr>
              <w:widowControl w:val="0"/>
              <w:spacing w:line="360" w:lineRule="auto"/>
              <w:ind w:firstLine="480" w:firstLineChars="200"/>
              <w:jc w:val="both"/>
              <w:rPr>
                <w:rFonts w:ascii="Times New Roman" w:hAnsi="Times New Roman" w:eastAsia="宋体" w:cs="Times New Roman"/>
                <w:bCs/>
                <w:snapToGrid w:val="0"/>
                <w:color w:val="auto"/>
                <w:kern w:val="0"/>
                <w:sz w:val="24"/>
                <w:szCs w:val="28"/>
                <w:lang w:val="en-US" w:eastAsia="zh-CN" w:bidi="ar"/>
              </w:rPr>
            </w:pPr>
            <w:r>
              <w:rPr>
                <w:rFonts w:ascii="Times New Roman" w:hAnsi="Times New Roman" w:eastAsia="宋体" w:cs="Times New Roman"/>
                <w:bCs/>
                <w:snapToGrid w:val="0"/>
                <w:color w:val="auto"/>
                <w:kern w:val="0"/>
                <w:sz w:val="24"/>
                <w:szCs w:val="28"/>
                <w:lang w:val="en-US" w:eastAsia="zh-CN" w:bidi="ar"/>
              </w:rPr>
              <w:t>升压站集</w:t>
            </w:r>
            <w:r>
              <w:rPr>
                <w:rFonts w:hint="eastAsia" w:ascii="Times New Roman" w:hAnsi="Times New Roman" w:eastAsia="宋体" w:cs="Times New Roman"/>
                <w:bCs/>
                <w:snapToGrid w:val="0"/>
                <w:color w:val="auto"/>
                <w:kern w:val="0"/>
                <w:sz w:val="24"/>
                <w:szCs w:val="28"/>
                <w:lang w:val="en-US" w:eastAsia="zh-CN" w:bidi="ar"/>
              </w:rPr>
              <w:t>油</w:t>
            </w:r>
            <w:r>
              <w:rPr>
                <w:rFonts w:ascii="Times New Roman" w:hAnsi="Times New Roman" w:eastAsia="宋体" w:cs="Times New Roman"/>
                <w:bCs/>
                <w:snapToGrid w:val="0"/>
                <w:color w:val="auto"/>
                <w:kern w:val="0"/>
                <w:sz w:val="24"/>
                <w:szCs w:val="28"/>
                <w:lang w:val="en-US" w:eastAsia="zh-CN" w:bidi="ar"/>
              </w:rPr>
              <w:t>坑、事故油池、油品库、危废暂存间以及光伏场区箱变集油池须进行重点防渗处理，防渗技术要求为：等效黏土防渗层Mb≥6m，K≤1×10</w:t>
            </w:r>
            <w:r>
              <w:rPr>
                <w:rFonts w:ascii="Times New Roman" w:hAnsi="Times New Roman" w:eastAsia="宋体" w:cs="Times New Roman"/>
                <w:bCs/>
                <w:snapToGrid w:val="0"/>
                <w:color w:val="auto"/>
                <w:kern w:val="0"/>
                <w:sz w:val="24"/>
                <w:szCs w:val="28"/>
                <w:vertAlign w:val="superscript"/>
                <w:lang w:val="en-US" w:eastAsia="zh-CN" w:bidi="ar"/>
              </w:rPr>
              <w:t>-7</w:t>
            </w:r>
            <w:r>
              <w:rPr>
                <w:rFonts w:ascii="Times New Roman" w:hAnsi="Times New Roman" w:eastAsia="宋体" w:cs="Times New Roman"/>
                <w:bCs/>
                <w:snapToGrid w:val="0"/>
                <w:color w:val="auto"/>
                <w:kern w:val="0"/>
                <w:sz w:val="24"/>
                <w:szCs w:val="28"/>
                <w:lang w:val="en-US" w:eastAsia="zh-CN" w:bidi="ar"/>
              </w:rPr>
              <w:t>cm/s；</w:t>
            </w:r>
          </w:p>
          <w:p>
            <w:pPr>
              <w:widowControl w:val="0"/>
              <w:spacing w:line="360" w:lineRule="auto"/>
              <w:ind w:firstLine="480" w:firstLineChars="200"/>
              <w:jc w:val="both"/>
              <w:rPr>
                <w:rFonts w:ascii="Times New Roman" w:hAnsi="Times New Roman" w:eastAsia="宋体" w:cs="Times New Roman"/>
                <w:bCs/>
                <w:snapToGrid w:val="0"/>
                <w:color w:val="auto"/>
                <w:kern w:val="0"/>
                <w:sz w:val="24"/>
                <w:szCs w:val="28"/>
                <w:lang w:val="en-US" w:eastAsia="zh-CN" w:bidi="ar"/>
              </w:rPr>
            </w:pPr>
            <w:r>
              <w:rPr>
                <w:rFonts w:ascii="Times New Roman" w:hAnsi="Times New Roman" w:eastAsia="宋体" w:cs="Times New Roman"/>
                <w:bCs/>
                <w:snapToGrid w:val="0"/>
                <w:color w:val="auto"/>
                <w:kern w:val="0"/>
                <w:sz w:val="24"/>
                <w:szCs w:val="28"/>
                <w:lang w:val="en-US" w:eastAsia="zh-CN" w:bidi="ar"/>
              </w:rPr>
              <w:t>化粪池、污水处理系统须进行一般防渗</w:t>
            </w:r>
            <w:r>
              <w:rPr>
                <w:rFonts w:hint="eastAsia" w:ascii="Times New Roman" w:hAnsi="Times New Roman" w:eastAsia="宋体" w:cs="Times New Roman"/>
                <w:bCs/>
                <w:snapToGrid w:val="0"/>
                <w:color w:val="auto"/>
                <w:kern w:val="0"/>
                <w:sz w:val="24"/>
                <w:szCs w:val="28"/>
                <w:lang w:val="en-US" w:eastAsia="zh-CN" w:bidi="ar"/>
              </w:rPr>
              <w:t>处理</w:t>
            </w:r>
            <w:r>
              <w:rPr>
                <w:rFonts w:ascii="Times New Roman" w:hAnsi="Times New Roman" w:eastAsia="宋体" w:cs="Times New Roman"/>
                <w:bCs/>
                <w:snapToGrid w:val="0"/>
                <w:color w:val="auto"/>
                <w:kern w:val="0"/>
                <w:sz w:val="24"/>
                <w:szCs w:val="28"/>
                <w:lang w:val="en-US" w:eastAsia="zh-CN" w:bidi="ar"/>
              </w:rPr>
              <w:t>，防渗技术要求为：等效黏土防渗层Mb≥1.5m，K≤1×10</w:t>
            </w:r>
            <w:r>
              <w:rPr>
                <w:rFonts w:ascii="Times New Roman" w:hAnsi="Times New Roman" w:eastAsia="宋体" w:cs="Times New Roman"/>
                <w:bCs/>
                <w:snapToGrid w:val="0"/>
                <w:color w:val="auto"/>
                <w:kern w:val="0"/>
                <w:sz w:val="24"/>
                <w:szCs w:val="28"/>
                <w:vertAlign w:val="superscript"/>
                <w:lang w:val="en-US" w:eastAsia="zh-CN" w:bidi="ar"/>
              </w:rPr>
              <w:t>-7</w:t>
            </w:r>
            <w:r>
              <w:rPr>
                <w:rFonts w:ascii="Times New Roman" w:hAnsi="Times New Roman" w:eastAsia="宋体" w:cs="Times New Roman"/>
                <w:bCs/>
                <w:snapToGrid w:val="0"/>
                <w:color w:val="auto"/>
                <w:kern w:val="0"/>
                <w:sz w:val="24"/>
                <w:szCs w:val="28"/>
                <w:lang w:val="en-US" w:eastAsia="zh-CN" w:bidi="ar"/>
              </w:rPr>
              <w:t>cm/s；</w:t>
            </w:r>
          </w:p>
          <w:p>
            <w:pPr>
              <w:widowControl w:val="0"/>
              <w:spacing w:line="360" w:lineRule="auto"/>
              <w:ind w:firstLine="480" w:firstLineChars="200"/>
              <w:jc w:val="both"/>
              <w:rPr>
                <w:rFonts w:ascii="Times New Roman" w:hAnsi="Times New Roman" w:eastAsia="宋体" w:cs="Times New Roman"/>
                <w:bCs/>
                <w:snapToGrid w:val="0"/>
                <w:color w:val="auto"/>
                <w:kern w:val="0"/>
                <w:sz w:val="24"/>
                <w:szCs w:val="28"/>
                <w:lang w:val="en-US" w:eastAsia="zh-CN" w:bidi="ar"/>
              </w:rPr>
            </w:pPr>
            <w:r>
              <w:rPr>
                <w:rFonts w:hint="eastAsia" w:ascii="Times New Roman" w:hAnsi="Times New Roman" w:eastAsia="宋体" w:cs="Times New Roman"/>
                <w:bCs/>
                <w:snapToGrid w:val="0"/>
                <w:color w:val="auto"/>
                <w:kern w:val="0"/>
                <w:sz w:val="24"/>
                <w:szCs w:val="28"/>
                <w:lang w:val="en-US" w:eastAsia="zh-CN" w:bidi="ar"/>
              </w:rPr>
              <w:t>D</w:t>
            </w:r>
            <w:r>
              <w:rPr>
                <w:rFonts w:ascii="Times New Roman" w:hAnsi="Times New Roman" w:eastAsia="宋体" w:cs="Times New Roman"/>
                <w:bCs/>
                <w:snapToGrid w:val="0"/>
                <w:color w:val="auto"/>
                <w:kern w:val="0"/>
                <w:sz w:val="24"/>
                <w:szCs w:val="28"/>
                <w:lang w:val="en-US" w:eastAsia="zh-CN" w:bidi="ar"/>
              </w:rPr>
              <w:t>.运营</w:t>
            </w:r>
            <w:r>
              <w:rPr>
                <w:rFonts w:hint="eastAsia" w:ascii="Times New Roman" w:hAnsi="Times New Roman" w:eastAsia="宋体" w:cs="Times New Roman"/>
                <w:bCs/>
                <w:snapToGrid w:val="0"/>
                <w:color w:val="auto"/>
                <w:kern w:val="0"/>
                <w:sz w:val="24"/>
                <w:szCs w:val="28"/>
                <w:lang w:val="en-US" w:eastAsia="zh-CN" w:bidi="ar"/>
              </w:rPr>
              <w:t>期</w:t>
            </w:r>
            <w:r>
              <w:rPr>
                <w:rFonts w:ascii="Times New Roman" w:hAnsi="Times New Roman" w:eastAsia="宋体" w:cs="Times New Roman"/>
                <w:bCs/>
                <w:snapToGrid w:val="0"/>
                <w:color w:val="auto"/>
                <w:kern w:val="0"/>
                <w:sz w:val="24"/>
                <w:szCs w:val="28"/>
                <w:lang w:val="en-US" w:eastAsia="zh-CN" w:bidi="ar"/>
              </w:rPr>
              <w:t>定期检查</w:t>
            </w:r>
            <w:r>
              <w:rPr>
                <w:rFonts w:hint="eastAsia" w:ascii="Times New Roman" w:hAnsi="Times New Roman" w:eastAsia="宋体" w:cs="Times New Roman"/>
                <w:bCs/>
                <w:snapToGrid w:val="0"/>
                <w:color w:val="auto"/>
                <w:kern w:val="0"/>
                <w:sz w:val="24"/>
                <w:szCs w:val="28"/>
                <w:lang w:val="en-US" w:eastAsia="zh-CN" w:bidi="ar"/>
              </w:rPr>
              <w:t>各储存设施</w:t>
            </w:r>
            <w:r>
              <w:rPr>
                <w:rFonts w:ascii="Times New Roman" w:hAnsi="Times New Roman" w:eastAsia="宋体" w:cs="Times New Roman"/>
                <w:bCs/>
                <w:snapToGrid w:val="0"/>
                <w:color w:val="auto"/>
                <w:kern w:val="0"/>
                <w:sz w:val="24"/>
                <w:szCs w:val="28"/>
                <w:lang w:val="en-US" w:eastAsia="zh-CN" w:bidi="ar"/>
              </w:rPr>
              <w:t>，避免出现泄漏等不良情况</w:t>
            </w:r>
            <w:r>
              <w:rPr>
                <w:rFonts w:hint="eastAsia" w:ascii="Times New Roman" w:hAnsi="Times New Roman" w:eastAsia="宋体" w:cs="Times New Roman"/>
                <w:bCs/>
                <w:snapToGrid w:val="0"/>
                <w:color w:val="auto"/>
                <w:kern w:val="0"/>
                <w:sz w:val="24"/>
                <w:szCs w:val="28"/>
                <w:lang w:val="en-US" w:eastAsia="zh-CN" w:bidi="ar"/>
              </w:rPr>
              <w:t>。</w:t>
            </w:r>
          </w:p>
          <w:p>
            <w:pPr>
              <w:widowControl w:val="0"/>
              <w:spacing w:line="360" w:lineRule="auto"/>
              <w:ind w:firstLine="480" w:firstLineChars="200"/>
              <w:jc w:val="both"/>
              <w:rPr>
                <w:rFonts w:ascii="Times New Roman" w:hAnsi="Times New Roman" w:eastAsia="宋体" w:cs="Times New Roman"/>
                <w:bCs/>
                <w:snapToGrid w:val="0"/>
                <w:color w:val="auto"/>
                <w:kern w:val="0"/>
                <w:sz w:val="24"/>
                <w:szCs w:val="28"/>
                <w:lang w:val="en-US" w:eastAsia="zh-CN" w:bidi="ar"/>
              </w:rPr>
            </w:pPr>
            <w:r>
              <w:rPr>
                <w:rFonts w:hint="eastAsia" w:ascii="Times New Roman" w:hAnsi="Times New Roman" w:eastAsia="宋体" w:cs="Times New Roman"/>
                <w:bCs/>
                <w:snapToGrid w:val="0"/>
                <w:color w:val="auto"/>
                <w:kern w:val="0"/>
                <w:sz w:val="24"/>
                <w:szCs w:val="28"/>
                <w:lang w:val="en-US" w:eastAsia="zh-CN" w:bidi="ar"/>
              </w:rPr>
              <w:t>E</w:t>
            </w:r>
            <w:r>
              <w:rPr>
                <w:rFonts w:ascii="Times New Roman" w:hAnsi="Times New Roman" w:eastAsia="宋体" w:cs="Times New Roman"/>
                <w:bCs/>
                <w:snapToGrid w:val="0"/>
                <w:color w:val="auto"/>
                <w:kern w:val="0"/>
                <w:sz w:val="24"/>
                <w:szCs w:val="28"/>
                <w:lang w:val="en-US" w:eastAsia="zh-CN" w:bidi="ar"/>
              </w:rPr>
              <w:t>.</w:t>
            </w:r>
            <w:r>
              <w:rPr>
                <w:rFonts w:hint="eastAsia" w:ascii="Times New Roman" w:hAnsi="Times New Roman" w:eastAsia="宋体" w:cs="Times New Roman"/>
                <w:bCs/>
                <w:snapToGrid w:val="0"/>
                <w:color w:val="auto"/>
                <w:kern w:val="0"/>
                <w:sz w:val="24"/>
                <w:szCs w:val="28"/>
                <w:lang w:val="en-US" w:eastAsia="zh-CN" w:bidi="ar"/>
              </w:rPr>
              <w:t>危险废物的收集、贮存、运输严格按照《危险废物贮存污染控制标准》（GB18597-2001）及其2013修改单和《危险废物收集、贮存、运输技术规范》（HJ2025-2012）的相关要求执行。</w:t>
            </w:r>
          </w:p>
          <w:p>
            <w:pPr>
              <w:widowControl w:val="0"/>
              <w:spacing w:line="360" w:lineRule="auto"/>
              <w:ind w:firstLine="480" w:firstLineChars="200"/>
              <w:jc w:val="both"/>
              <w:rPr>
                <w:rFonts w:ascii="Times New Roman" w:hAnsi="Times New Roman" w:eastAsia="宋体" w:cs="Times New Roman"/>
                <w:bCs/>
                <w:snapToGrid w:val="0"/>
                <w:color w:val="auto"/>
                <w:kern w:val="0"/>
                <w:sz w:val="24"/>
                <w:szCs w:val="28"/>
                <w:lang w:val="en-US" w:eastAsia="zh-CN" w:bidi="ar"/>
              </w:rPr>
            </w:pPr>
            <w:r>
              <w:rPr>
                <w:rFonts w:ascii="Times New Roman" w:hAnsi="Times New Roman" w:eastAsia="宋体" w:cs="Times New Roman"/>
                <w:bCs/>
                <w:snapToGrid w:val="0"/>
                <w:color w:val="auto"/>
                <w:kern w:val="0"/>
                <w:sz w:val="24"/>
                <w:szCs w:val="28"/>
                <w:lang w:val="en-US" w:eastAsia="zh-CN" w:bidi="ar"/>
              </w:rPr>
              <w:t>F.</w:t>
            </w:r>
            <w:r>
              <w:rPr>
                <w:rFonts w:hint="eastAsia" w:ascii="Times New Roman" w:hAnsi="Times New Roman" w:eastAsia="宋体" w:cs="Times New Roman"/>
                <w:snapToGrid w:val="0"/>
                <w:color w:val="auto"/>
                <w:kern w:val="0"/>
                <w:sz w:val="24"/>
                <w:szCs w:val="28"/>
                <w:lang w:val="en-US" w:eastAsia="zh-CN" w:bidi="ar-SA"/>
              </w:rPr>
              <w:t xml:space="preserve"> </w:t>
            </w:r>
            <w:r>
              <w:rPr>
                <w:rFonts w:hint="eastAsia" w:ascii="Times New Roman" w:hAnsi="Times New Roman" w:eastAsia="宋体" w:cs="Times New Roman"/>
                <w:bCs/>
                <w:snapToGrid w:val="0"/>
                <w:color w:val="auto"/>
                <w:kern w:val="0"/>
                <w:sz w:val="24"/>
                <w:szCs w:val="28"/>
                <w:lang w:val="en-US" w:eastAsia="zh-CN" w:bidi="ar"/>
              </w:rPr>
              <w:t>如实记载每批危废的名称、来源、数量、特性和包装容器的类别、入库日期、存放库位、废物出库日期及接收单位名称。贮存期间定期养护，控制好贮存场所的温度和湿度；装卸、搬运时应轻装轻卸，注意自我防护。定期对所暂存的危险废物容器及暂存设施进行检查，发现破损，及时采取措施清理更换。</w:t>
            </w:r>
          </w:p>
          <w:p>
            <w:pPr>
              <w:widowControl w:val="0"/>
              <w:spacing w:line="360" w:lineRule="auto"/>
              <w:ind w:firstLine="480" w:firstLineChars="200"/>
              <w:jc w:val="both"/>
              <w:rPr>
                <w:rFonts w:ascii="Times New Roman" w:hAnsi="Times New Roman" w:eastAsia="宋体" w:cs="Times New Roman"/>
                <w:bCs/>
                <w:snapToGrid w:val="0"/>
                <w:color w:val="auto"/>
                <w:kern w:val="0"/>
                <w:sz w:val="24"/>
                <w:szCs w:val="28"/>
                <w:lang w:val="en-US" w:eastAsia="zh-CN" w:bidi="ar"/>
              </w:rPr>
            </w:pPr>
            <w:r>
              <w:rPr>
                <w:rFonts w:hint="eastAsia" w:ascii="Times New Roman" w:hAnsi="Times New Roman" w:eastAsia="宋体" w:cs="Times New Roman"/>
                <w:bCs/>
                <w:snapToGrid w:val="0"/>
                <w:color w:val="auto"/>
                <w:kern w:val="0"/>
                <w:sz w:val="24"/>
                <w:szCs w:val="28"/>
                <w:lang w:val="en-US" w:eastAsia="zh-CN" w:bidi="ar"/>
              </w:rPr>
              <w:t>G</w:t>
            </w:r>
            <w:r>
              <w:rPr>
                <w:rFonts w:ascii="Times New Roman" w:hAnsi="Times New Roman" w:eastAsia="宋体" w:cs="Times New Roman"/>
                <w:bCs/>
                <w:snapToGrid w:val="0"/>
                <w:color w:val="auto"/>
                <w:kern w:val="0"/>
                <w:sz w:val="24"/>
                <w:szCs w:val="28"/>
                <w:lang w:val="en-US" w:eastAsia="zh-CN" w:bidi="ar"/>
              </w:rPr>
              <w:t>.</w:t>
            </w:r>
            <w:r>
              <w:rPr>
                <w:rFonts w:hint="eastAsia" w:ascii="Times New Roman" w:hAnsi="Times New Roman" w:eastAsia="宋体" w:cs="Times New Roman"/>
                <w:bCs/>
                <w:snapToGrid w:val="0"/>
                <w:color w:val="auto"/>
                <w:kern w:val="0"/>
                <w:sz w:val="24"/>
                <w:szCs w:val="28"/>
                <w:lang w:val="en-US" w:eastAsia="zh-CN" w:bidi="ar"/>
              </w:rPr>
              <w:t>废旧铅酸蓄电池搬运过程必须严格操作规程，防止废旧铅酸蓄电池在搬运过程中倾倒发生破裂，发现破损废旧铅酸蓄电池应及时转移至PE桶内。</w:t>
            </w:r>
          </w:p>
          <w:p>
            <w:pPr>
              <w:widowControl w:val="0"/>
              <w:spacing w:line="360" w:lineRule="auto"/>
              <w:ind w:firstLine="480" w:firstLineChars="200"/>
              <w:jc w:val="both"/>
              <w:rPr>
                <w:rFonts w:ascii="Times New Roman" w:hAnsi="Times New Roman" w:eastAsia="宋体" w:cs="Times New Roman"/>
                <w:bCs/>
                <w:snapToGrid w:val="0"/>
                <w:color w:val="auto"/>
                <w:kern w:val="0"/>
                <w:sz w:val="24"/>
                <w:szCs w:val="28"/>
                <w:lang w:val="en-US" w:eastAsia="zh-CN" w:bidi="ar"/>
              </w:rPr>
            </w:pPr>
            <w:r>
              <w:rPr>
                <w:rFonts w:hint="eastAsia" w:ascii="Times New Roman" w:hAnsi="Times New Roman" w:eastAsia="宋体" w:cs="Times New Roman"/>
                <w:bCs/>
                <w:snapToGrid w:val="0"/>
                <w:color w:val="auto"/>
                <w:kern w:val="0"/>
                <w:sz w:val="24"/>
                <w:szCs w:val="28"/>
                <w:lang w:val="en-US" w:eastAsia="zh-CN" w:bidi="ar"/>
              </w:rPr>
              <w:t>H</w:t>
            </w:r>
            <w:r>
              <w:rPr>
                <w:rFonts w:ascii="Times New Roman" w:hAnsi="Times New Roman" w:eastAsia="宋体" w:cs="Times New Roman"/>
                <w:bCs/>
                <w:snapToGrid w:val="0"/>
                <w:color w:val="auto"/>
                <w:kern w:val="0"/>
                <w:sz w:val="24"/>
                <w:szCs w:val="28"/>
                <w:lang w:val="en-US" w:eastAsia="zh-CN" w:bidi="ar"/>
              </w:rPr>
              <w:t>. 严格落实防火规定，升压站内严禁吸烟、明火。人员进入升压站生产区内检修结束后，应即时清理现场，防止遗留火种。</w:t>
            </w:r>
          </w:p>
          <w:p>
            <w:pPr>
              <w:widowControl w:val="0"/>
              <w:spacing w:line="360" w:lineRule="auto"/>
              <w:ind w:firstLine="480" w:firstLineChars="200"/>
              <w:jc w:val="both"/>
              <w:rPr>
                <w:rFonts w:ascii="Times New Roman" w:hAnsi="Times New Roman" w:eastAsia="宋体" w:cs="Times New Roman"/>
                <w:bCs/>
                <w:snapToGrid w:val="0"/>
                <w:color w:val="auto"/>
                <w:kern w:val="0"/>
                <w:sz w:val="24"/>
                <w:szCs w:val="28"/>
                <w:lang w:val="en-US" w:eastAsia="zh-CN" w:bidi="ar"/>
              </w:rPr>
            </w:pPr>
            <w:r>
              <w:rPr>
                <w:rFonts w:ascii="Times New Roman" w:hAnsi="Times New Roman" w:eastAsia="宋体" w:cs="Times New Roman"/>
                <w:bCs/>
                <w:snapToGrid w:val="0"/>
                <w:color w:val="auto"/>
                <w:kern w:val="0"/>
                <w:sz w:val="24"/>
                <w:szCs w:val="28"/>
                <w:lang w:val="en-US" w:eastAsia="zh-CN" w:bidi="ar"/>
              </w:rPr>
              <w:t>I. 完善升压站消防设施、消防器材的配套，确保应急疏散通道、消防通道的通畅，加强人员消防安全培训，定期开展消防演练。</w:t>
            </w:r>
          </w:p>
          <w:p>
            <w:pPr>
              <w:widowControl w:val="0"/>
              <w:spacing w:line="360" w:lineRule="auto"/>
              <w:ind w:firstLine="480" w:firstLineChars="200"/>
              <w:jc w:val="both"/>
              <w:rPr>
                <w:rFonts w:ascii="Times New Roman" w:hAnsi="Times New Roman" w:eastAsia="宋体" w:cs="Times New Roman"/>
                <w:bCs/>
                <w:snapToGrid w:val="0"/>
                <w:color w:val="auto"/>
                <w:kern w:val="0"/>
                <w:sz w:val="24"/>
                <w:szCs w:val="28"/>
                <w:lang w:val="en-US" w:eastAsia="zh-CN" w:bidi="ar"/>
              </w:rPr>
            </w:pPr>
            <w:r>
              <w:rPr>
                <w:rFonts w:ascii="Times New Roman" w:hAnsi="Times New Roman" w:eastAsia="宋体" w:cs="Times New Roman"/>
                <w:bCs/>
                <w:snapToGrid w:val="0"/>
                <w:color w:val="auto"/>
                <w:kern w:val="0"/>
                <w:sz w:val="24"/>
                <w:szCs w:val="28"/>
                <w:lang w:val="en-US" w:eastAsia="zh-CN" w:bidi="ar"/>
              </w:rPr>
              <w:t>J. 定期开展电站火灾风险隐患排查，</w:t>
            </w:r>
            <w:r>
              <w:rPr>
                <w:rFonts w:hint="eastAsia" w:ascii="Times New Roman" w:hAnsi="Times New Roman" w:eastAsia="宋体" w:cs="Times New Roman"/>
                <w:bCs/>
                <w:snapToGrid w:val="0"/>
                <w:color w:val="auto"/>
                <w:kern w:val="0"/>
                <w:sz w:val="24"/>
                <w:szCs w:val="28"/>
                <w:lang w:val="en-US" w:eastAsia="zh-CN" w:bidi="ar"/>
              </w:rPr>
              <w:t>检查站内是否存放废旧充油设备及易燃易爆物品；电缆沟防火墙是否完好、电缆孔洞防火封堵是否合格；检查消防设施帐、卡、物是否一致，配置是否满足要求，防火门闭门器、防火胶条是否完好；应急疏散标示是否齐全，消防通道是否畅通；检查火灾报警控制器功能是否正常，主、备电源能否正常切换，是否存在误报、漏报现象，数据传输是否及时准确，烟感、手动报警装置能否正常启动；空调、电脑等是否存在导线老化、过载等情况；并结合站内实际情况，对不合格或损坏的灭火器、消防铁锨、消防桶及时进行更换，修订完善各站消防应急预案，提升消防应急处置能力。</w:t>
            </w:r>
          </w:p>
          <w:p>
            <w:pPr>
              <w:widowControl w:val="0"/>
              <w:spacing w:line="360" w:lineRule="auto"/>
              <w:ind w:firstLine="480" w:firstLineChars="200"/>
              <w:jc w:val="both"/>
              <w:rPr>
                <w:rFonts w:ascii="Times New Roman" w:hAnsi="Times New Roman" w:eastAsia="宋体" w:cs="Times New Roman"/>
                <w:bCs/>
                <w:snapToGrid w:val="0"/>
                <w:color w:val="auto"/>
                <w:kern w:val="0"/>
                <w:sz w:val="24"/>
                <w:szCs w:val="28"/>
                <w:lang w:val="en-US" w:eastAsia="zh-CN" w:bidi="ar"/>
              </w:rPr>
            </w:pPr>
            <w:r>
              <w:rPr>
                <w:rFonts w:ascii="Times New Roman" w:hAnsi="Times New Roman" w:eastAsia="宋体" w:cs="Times New Roman"/>
                <w:bCs/>
                <w:snapToGrid w:val="0"/>
                <w:color w:val="auto"/>
                <w:kern w:val="0"/>
                <w:sz w:val="24"/>
                <w:szCs w:val="28"/>
                <w:lang w:val="en-US" w:eastAsia="zh-CN" w:bidi="ar"/>
              </w:rPr>
              <w:t>K.加强对操作人员的岗位培训，建立健全的环保管理机制和各项环保规章制度，落实岗位环保责任制，加强环境风险防范工作，防止事故排放导致环境问题。</w:t>
            </w:r>
          </w:p>
          <w:p>
            <w:pPr>
              <w:widowControl w:val="0"/>
              <w:spacing w:line="360" w:lineRule="auto"/>
              <w:ind w:firstLine="480" w:firstLineChars="200"/>
              <w:jc w:val="both"/>
              <w:rPr>
                <w:rFonts w:ascii="Times New Roman" w:hAnsi="Times New Roman" w:eastAsia="宋体" w:cs="Times New Roman"/>
                <w:bCs/>
                <w:snapToGrid w:val="0"/>
                <w:color w:val="auto"/>
                <w:kern w:val="0"/>
                <w:sz w:val="24"/>
                <w:szCs w:val="28"/>
                <w:lang w:val="en-US" w:eastAsia="zh-CN" w:bidi="ar"/>
              </w:rPr>
            </w:pPr>
            <w:r>
              <w:rPr>
                <w:rFonts w:hint="eastAsia" w:ascii="Times New Roman" w:hAnsi="Times New Roman" w:eastAsia="宋体" w:cs="Times New Roman"/>
                <w:bCs/>
                <w:snapToGrid w:val="0"/>
                <w:color w:val="auto"/>
                <w:kern w:val="0"/>
                <w:sz w:val="24"/>
                <w:szCs w:val="28"/>
                <w:lang w:val="en-US" w:eastAsia="zh-CN" w:bidi="ar"/>
              </w:rPr>
              <w:t>②</w:t>
            </w:r>
            <w:r>
              <w:rPr>
                <w:rFonts w:ascii="Times New Roman" w:hAnsi="Times New Roman" w:eastAsia="宋体" w:cs="Times New Roman"/>
                <w:bCs/>
                <w:snapToGrid w:val="0"/>
                <w:color w:val="auto"/>
                <w:kern w:val="0"/>
                <w:sz w:val="24"/>
                <w:szCs w:val="28"/>
                <w:lang w:val="en-US" w:eastAsia="zh-CN" w:bidi="ar"/>
              </w:rPr>
              <w:t>突发环境风险事件应急预案</w:t>
            </w:r>
          </w:p>
          <w:p>
            <w:pPr>
              <w:widowControl w:val="0"/>
              <w:spacing w:line="360" w:lineRule="auto"/>
              <w:ind w:firstLine="480" w:firstLineChars="200"/>
              <w:jc w:val="both"/>
              <w:rPr>
                <w:rFonts w:ascii="Times New Roman" w:hAnsi="Times New Roman" w:eastAsia="宋体" w:cs="Times New Roman"/>
                <w:b/>
                <w:bCs/>
                <w:snapToGrid w:val="0"/>
                <w:color w:val="auto"/>
                <w:kern w:val="0"/>
                <w:sz w:val="24"/>
                <w:szCs w:val="28"/>
                <w:lang w:val="en-US" w:eastAsia="zh-CN" w:bidi="ar"/>
              </w:rPr>
            </w:pPr>
            <w:r>
              <w:rPr>
                <w:rFonts w:ascii="Times New Roman" w:hAnsi="Times New Roman" w:eastAsia="宋体" w:cs="Times New Roman"/>
                <w:bCs/>
                <w:snapToGrid w:val="0"/>
                <w:color w:val="auto"/>
                <w:kern w:val="0"/>
                <w:sz w:val="24"/>
                <w:szCs w:val="28"/>
                <w:lang w:val="en-US" w:eastAsia="zh-CN" w:bidi="ar"/>
              </w:rPr>
              <w:t>针对本项目可能发生的突发事故，为了将风险事故率降低到最小，建设单位应编制突发环境事件应急预案并报楚雄州生态环境局元谋分局备案。建设单位应严格按照《企业突发环境事件风险分级方法》(HJ941-2018)、《企业突发环境事件应急预案编制指南》和《企业突发环境事件风险评估指南（试行）》开展应急预案的编制工作，包括环境风险评估报告、环境应急资源调查报告和突发环境事件应急预案三个报告。</w:t>
            </w:r>
          </w:p>
          <w:p>
            <w:pPr>
              <w:widowControl w:val="0"/>
              <w:spacing w:line="360" w:lineRule="auto"/>
              <w:ind w:firstLine="482" w:firstLineChars="200"/>
              <w:jc w:val="both"/>
              <w:rPr>
                <w:rFonts w:ascii="Times New Roman" w:hAnsi="Times New Roman" w:eastAsia="宋体" w:cs="Times New Roman"/>
                <w:b/>
                <w:snapToGrid w:val="0"/>
                <w:color w:val="auto"/>
                <w:kern w:val="0"/>
                <w:sz w:val="24"/>
                <w:szCs w:val="28"/>
                <w:lang w:val="en-US" w:eastAsia="zh-CN" w:bidi="ar"/>
              </w:rPr>
            </w:pPr>
            <w:r>
              <w:rPr>
                <w:rFonts w:ascii="Times New Roman" w:hAnsi="Times New Roman" w:eastAsia="宋体" w:cs="Times New Roman"/>
                <w:b/>
                <w:bCs/>
                <w:snapToGrid w:val="0"/>
                <w:color w:val="auto"/>
                <w:kern w:val="0"/>
                <w:sz w:val="24"/>
                <w:szCs w:val="28"/>
                <w:lang w:val="en-US" w:eastAsia="zh-CN" w:bidi="ar"/>
              </w:rPr>
              <w:t>（</w:t>
            </w:r>
            <w:r>
              <w:rPr>
                <w:rFonts w:hint="eastAsia" w:ascii="Times New Roman" w:hAnsi="Times New Roman" w:eastAsia="宋体" w:cs="Times New Roman"/>
                <w:b/>
                <w:bCs/>
                <w:snapToGrid w:val="0"/>
                <w:color w:val="auto"/>
                <w:kern w:val="0"/>
                <w:sz w:val="24"/>
                <w:szCs w:val="28"/>
                <w:lang w:val="en-US" w:eastAsia="zh-CN" w:bidi="ar"/>
              </w:rPr>
              <w:t>5</w:t>
            </w:r>
            <w:r>
              <w:rPr>
                <w:rFonts w:ascii="Times New Roman" w:hAnsi="Times New Roman" w:eastAsia="宋体" w:cs="Times New Roman"/>
                <w:b/>
                <w:bCs/>
                <w:snapToGrid w:val="0"/>
                <w:color w:val="auto"/>
                <w:kern w:val="0"/>
                <w:sz w:val="24"/>
                <w:szCs w:val="28"/>
                <w:lang w:val="en-US" w:eastAsia="zh-CN" w:bidi="ar"/>
              </w:rPr>
              <w:t>）环境风险分析结论</w:t>
            </w:r>
          </w:p>
          <w:p>
            <w:pPr>
              <w:autoSpaceDE w:val="0"/>
              <w:autoSpaceDN w:val="0"/>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snapToGrid w:val="0"/>
                <w:color w:val="auto"/>
                <w:kern w:val="0"/>
                <w:sz w:val="24"/>
                <w:szCs w:val="28"/>
                <w:lang w:val="en-US" w:eastAsia="zh-CN" w:bidi="ar"/>
              </w:rPr>
              <w:t>本项目涉及的主要风险物质为矿物油及废铅酸蓄电池中的铅和硫酸，可能发生的环境风险事故主要是油品在使用、储存过程中发生</w:t>
            </w:r>
            <w:r>
              <w:rPr>
                <w:rFonts w:ascii="Times New Roman" w:hAnsi="Times New Roman" w:eastAsia="宋体" w:cs="Times New Roman"/>
                <w:snapToGrid w:val="0"/>
                <w:color w:val="auto"/>
                <w:kern w:val="0"/>
                <w:sz w:val="24"/>
                <w:szCs w:val="28"/>
                <w:lang w:val="en-US" w:eastAsia="zh-CN" w:bidi="ar"/>
              </w:rPr>
              <w:t>泄漏和燃烧爆炸，以及废铅酸蓄电池电解液泄露。</w:t>
            </w:r>
            <w:r>
              <w:rPr>
                <w:rFonts w:hint="eastAsia" w:ascii="Times New Roman" w:hAnsi="Times New Roman" w:eastAsia="宋体" w:cs="Times New Roman"/>
                <w:snapToGrid w:val="0"/>
                <w:color w:val="auto"/>
                <w:kern w:val="0"/>
                <w:sz w:val="24"/>
                <w:szCs w:val="28"/>
                <w:lang w:val="en-US" w:eastAsia="zh-CN" w:bidi="ar"/>
              </w:rPr>
              <w:t>风险事故发生后物质直接泄露和燃烧爆炸产生次生污染物，不仅会对项目内的员工及周围居住人群的生命健康造成危害，也会对周围环境产生影响。因此，建设单位要引起高度重视，采取严格的风险防范措施，建立有效的应急预案，加强风险管理，防止事故的发生，将事故影响程度减少到最低。在建设单位严格落实各项风险防范措施和风险应急预案的前提下，工程环境风险可防可控，项目建设是可行的。</w:t>
            </w:r>
          </w:p>
          <w:p>
            <w:pPr>
              <w:widowControl w:val="0"/>
              <w:spacing w:line="360" w:lineRule="auto"/>
              <w:ind w:firstLine="482" w:firstLineChars="200"/>
              <w:jc w:val="both"/>
              <w:rPr>
                <w:rFonts w:hint="eastAsia" w:ascii="Times New Roman" w:hAnsi="Times New Roman" w:eastAsia="宋体" w:cs="Times New Roman"/>
                <w:b/>
                <w:bCs/>
                <w:snapToGrid w:val="0"/>
                <w:color w:val="auto"/>
                <w:kern w:val="0"/>
                <w:sz w:val="24"/>
                <w:szCs w:val="28"/>
                <w:lang w:val="en-US" w:eastAsia="zh-CN" w:bidi="ar"/>
              </w:rPr>
            </w:pPr>
            <w:r>
              <w:rPr>
                <w:rFonts w:hint="eastAsia" w:cs="Times New Roman"/>
                <w:b/>
                <w:bCs/>
                <w:snapToGrid w:val="0"/>
                <w:color w:val="auto"/>
                <w:kern w:val="0"/>
                <w:sz w:val="24"/>
                <w:szCs w:val="28"/>
                <w:lang w:val="en-US" w:eastAsia="zh-CN" w:bidi="ar"/>
              </w:rPr>
              <w:t>4.3.4</w:t>
            </w:r>
            <w:r>
              <w:rPr>
                <w:rFonts w:hint="eastAsia" w:ascii="Times New Roman" w:hAnsi="Times New Roman" w:eastAsia="宋体" w:cs="Times New Roman"/>
                <w:b/>
                <w:bCs/>
                <w:snapToGrid w:val="0"/>
                <w:color w:val="auto"/>
                <w:kern w:val="0"/>
                <w:sz w:val="24"/>
                <w:szCs w:val="28"/>
                <w:lang w:val="en-US" w:eastAsia="zh-CN" w:bidi="ar"/>
              </w:rPr>
              <w:t>服务期满后的环境影响</w:t>
            </w:r>
          </w:p>
          <w:p>
            <w:pPr>
              <w:autoSpaceDE w:val="0"/>
              <w:autoSpaceDN w:val="0"/>
              <w:spacing w:line="360" w:lineRule="auto"/>
              <w:ind w:firstLine="480" w:firstLineChars="200"/>
              <w:jc w:val="left"/>
              <w:rPr>
                <w:rFonts w:hint="eastAsia" w:ascii="Times New Roman" w:hAnsi="Times New Roman" w:eastAsia="宋体" w:cs="Times New Roman"/>
                <w:snapToGrid w:val="0"/>
                <w:color w:val="auto"/>
                <w:kern w:val="0"/>
                <w:sz w:val="24"/>
                <w:szCs w:val="28"/>
                <w:lang w:val="en-US" w:eastAsia="zh-CN" w:bidi="ar"/>
              </w:rPr>
            </w:pPr>
            <w:r>
              <w:rPr>
                <w:rFonts w:hint="eastAsia" w:ascii="Times New Roman" w:hAnsi="Times New Roman" w:eastAsia="宋体" w:cs="Times New Roman"/>
                <w:snapToGrid w:val="0"/>
                <w:color w:val="auto"/>
                <w:kern w:val="0"/>
                <w:sz w:val="24"/>
                <w:szCs w:val="28"/>
                <w:lang w:val="en-US" w:eastAsia="zh-CN" w:bidi="ar"/>
              </w:rPr>
              <w:t>项目光伏系统使用寿命25年，其中组件寿命25年，逆变器寿命25年。服务期满后，按国家相关要求，将对电池组件及支架、变压器等进行拆除或者更换。光伏电站服务期满后的环境影响主要为拆除的太阳能电池板、蓄电池、变压器等固体废物的影响以及基础拆除产生的生态环境影响。</w:t>
            </w:r>
          </w:p>
          <w:p>
            <w:pPr>
              <w:autoSpaceDE w:val="0"/>
              <w:autoSpaceDN w:val="0"/>
              <w:spacing w:line="360" w:lineRule="auto"/>
              <w:ind w:firstLine="480" w:firstLineChars="200"/>
              <w:jc w:val="left"/>
              <w:rPr>
                <w:rFonts w:hint="eastAsia" w:ascii="Times New Roman" w:hAnsi="Times New Roman" w:eastAsia="宋体" w:cs="Times New Roman"/>
                <w:snapToGrid w:val="0"/>
                <w:color w:val="auto"/>
                <w:kern w:val="0"/>
                <w:sz w:val="24"/>
                <w:szCs w:val="28"/>
                <w:lang w:val="en-US" w:eastAsia="zh-CN" w:bidi="ar"/>
              </w:rPr>
            </w:pPr>
            <w:r>
              <w:rPr>
                <w:rFonts w:hint="eastAsia" w:ascii="Times New Roman" w:hAnsi="Times New Roman" w:eastAsia="宋体" w:cs="Times New Roman"/>
                <w:snapToGrid w:val="0"/>
                <w:color w:val="auto"/>
                <w:kern w:val="0"/>
                <w:sz w:val="24"/>
                <w:szCs w:val="28"/>
                <w:lang w:val="en-US" w:eastAsia="zh-CN" w:bidi="ar"/>
              </w:rPr>
              <w:t>（1）拆除的固体废物影响</w:t>
            </w:r>
          </w:p>
          <w:p>
            <w:pPr>
              <w:autoSpaceDE w:val="0"/>
              <w:autoSpaceDN w:val="0"/>
              <w:spacing w:line="360" w:lineRule="auto"/>
              <w:ind w:firstLine="480" w:firstLineChars="200"/>
              <w:jc w:val="left"/>
              <w:rPr>
                <w:rFonts w:hint="eastAsia" w:ascii="Times New Roman" w:hAnsi="Times New Roman" w:eastAsia="宋体" w:cs="Times New Roman"/>
                <w:snapToGrid w:val="0"/>
                <w:color w:val="auto"/>
                <w:kern w:val="0"/>
                <w:sz w:val="24"/>
                <w:szCs w:val="28"/>
                <w:lang w:val="en-US" w:eastAsia="zh-CN" w:bidi="ar"/>
              </w:rPr>
            </w:pPr>
            <w:r>
              <w:rPr>
                <w:rFonts w:hint="eastAsia" w:ascii="Times New Roman" w:hAnsi="Times New Roman" w:eastAsia="宋体" w:cs="Times New Roman"/>
                <w:snapToGrid w:val="0"/>
                <w:color w:val="auto"/>
                <w:kern w:val="0"/>
                <w:sz w:val="24"/>
                <w:szCs w:val="28"/>
                <w:lang w:val="en-US" w:eastAsia="zh-CN" w:bidi="ar"/>
              </w:rPr>
              <w:t>在光伏电站服务期满后，拆除的蓄电池、变压器等对环境具有较强的破坏性。其中，蓄电池多含有毒物质，如若将电池大量丢弃于环境中，其中的酸、碱电解质溶液会影响土壤和水系的pH，使土壤和水系酸性化或碱性化，而汞、镉等重金属被生物吸收后，通过各种途径进入人类的食物链，在人体内聚集，使人体致畸或致变，甚至导致死亡。因此，本项目服务期满后需对拆除的废弃物进行安全处置，太阳电池板由生产商回收资源化利用，变压器、蓄电池等交由有危废处置资质的单位进行回收处理；支架等钢材可外售给物资回收公司。</w:t>
            </w:r>
          </w:p>
          <w:p>
            <w:pPr>
              <w:autoSpaceDE w:val="0"/>
              <w:autoSpaceDN w:val="0"/>
              <w:spacing w:line="360" w:lineRule="auto"/>
              <w:ind w:firstLine="480" w:firstLineChars="200"/>
              <w:jc w:val="left"/>
              <w:rPr>
                <w:rFonts w:hint="eastAsia" w:ascii="Times New Roman" w:hAnsi="Times New Roman" w:eastAsia="宋体" w:cs="Times New Roman"/>
                <w:snapToGrid w:val="0"/>
                <w:color w:val="auto"/>
                <w:kern w:val="0"/>
                <w:sz w:val="24"/>
                <w:szCs w:val="28"/>
                <w:lang w:val="en-US" w:eastAsia="zh-CN" w:bidi="ar"/>
              </w:rPr>
            </w:pPr>
            <w:r>
              <w:rPr>
                <w:rFonts w:hint="eastAsia" w:ascii="Times New Roman" w:hAnsi="Times New Roman" w:eastAsia="宋体" w:cs="Times New Roman"/>
                <w:snapToGrid w:val="0"/>
                <w:color w:val="auto"/>
                <w:kern w:val="0"/>
                <w:sz w:val="24"/>
                <w:szCs w:val="28"/>
                <w:lang w:val="en-US" w:eastAsia="zh-CN" w:bidi="ar"/>
              </w:rPr>
              <w:t>（2）基础拆除产生的生态环境影响</w:t>
            </w:r>
          </w:p>
          <w:p>
            <w:pPr>
              <w:autoSpaceDE w:val="0"/>
              <w:autoSpaceDN w:val="0"/>
              <w:spacing w:line="360" w:lineRule="auto"/>
              <w:ind w:firstLine="480" w:firstLineChars="200"/>
              <w:jc w:val="left"/>
              <w:rPr>
                <w:rFonts w:hint="eastAsia" w:ascii="Times New Roman" w:hAnsi="Times New Roman" w:eastAsia="宋体" w:cs="Times New Roman"/>
                <w:snapToGrid w:val="0"/>
                <w:color w:val="auto"/>
                <w:kern w:val="0"/>
                <w:sz w:val="24"/>
                <w:szCs w:val="28"/>
                <w:lang w:val="en-US" w:eastAsia="zh-CN" w:bidi="ar"/>
              </w:rPr>
            </w:pPr>
            <w:r>
              <w:rPr>
                <w:rFonts w:hint="eastAsia" w:ascii="Times New Roman" w:hAnsi="Times New Roman" w:eastAsia="宋体" w:cs="Times New Roman"/>
                <w:snapToGrid w:val="0"/>
                <w:color w:val="auto"/>
                <w:kern w:val="0"/>
                <w:sz w:val="24"/>
                <w:szCs w:val="28"/>
                <w:lang w:val="en-US" w:eastAsia="zh-CN" w:bidi="ar"/>
              </w:rPr>
              <w:t>光伏组件支架基础、箱变等基础在服务期满后拆除、清理过程中会造成局部地表扰动和植被破坏，应进行生态恢复：</w:t>
            </w:r>
          </w:p>
          <w:p>
            <w:pPr>
              <w:autoSpaceDE w:val="0"/>
              <w:autoSpaceDN w:val="0"/>
              <w:spacing w:line="360" w:lineRule="auto"/>
              <w:ind w:firstLine="480" w:firstLineChars="200"/>
              <w:jc w:val="left"/>
              <w:rPr>
                <w:rFonts w:hint="eastAsia" w:ascii="Times New Roman" w:hAnsi="Times New Roman" w:eastAsia="宋体" w:cs="Times New Roman"/>
                <w:snapToGrid w:val="0"/>
                <w:color w:val="auto"/>
                <w:kern w:val="0"/>
                <w:sz w:val="24"/>
                <w:szCs w:val="28"/>
                <w:lang w:val="en-US" w:eastAsia="zh-CN" w:bidi="ar"/>
              </w:rPr>
            </w:pPr>
            <w:r>
              <w:rPr>
                <w:rFonts w:hint="eastAsia" w:ascii="Times New Roman" w:hAnsi="Times New Roman" w:eastAsia="宋体" w:cs="Times New Roman"/>
                <w:snapToGrid w:val="0"/>
                <w:color w:val="auto"/>
                <w:kern w:val="0"/>
                <w:sz w:val="24"/>
                <w:szCs w:val="28"/>
                <w:lang w:val="en-US" w:eastAsia="zh-CN" w:bidi="ar"/>
              </w:rPr>
              <w:t>①掘除硬化地面基础，对场地进行恢复；恢复后的场地进行洒水和压实，以固结地表，防止产生扬尘和对土壤的风蚀。</w:t>
            </w:r>
          </w:p>
          <w:p>
            <w:pPr>
              <w:autoSpaceDE w:val="0"/>
              <w:autoSpaceDN w:val="0"/>
              <w:spacing w:line="360" w:lineRule="auto"/>
              <w:ind w:firstLine="480" w:firstLineChars="200"/>
              <w:jc w:val="left"/>
              <w:rPr>
                <w:rFonts w:hint="eastAsia" w:ascii="Times New Roman" w:hAnsi="Times New Roman" w:eastAsia="宋体" w:cs="Times New Roman"/>
                <w:snapToGrid w:val="0"/>
                <w:color w:val="auto"/>
                <w:kern w:val="0"/>
                <w:sz w:val="24"/>
                <w:szCs w:val="28"/>
                <w:lang w:val="en-US" w:eastAsia="zh-CN" w:bidi="ar"/>
              </w:rPr>
            </w:pPr>
            <w:r>
              <w:rPr>
                <w:rFonts w:hint="eastAsia" w:ascii="Times New Roman" w:hAnsi="Times New Roman" w:eastAsia="宋体" w:cs="Times New Roman"/>
                <w:snapToGrid w:val="0"/>
                <w:color w:val="auto"/>
                <w:kern w:val="0"/>
                <w:sz w:val="24"/>
                <w:szCs w:val="28"/>
                <w:lang w:val="en-US" w:eastAsia="zh-CN" w:bidi="ar"/>
              </w:rPr>
              <w:t>②拆除过程中应尽量减小对土地的扰动范围，对于场区原绿化土地应予以保留；</w:t>
            </w:r>
          </w:p>
          <w:p>
            <w:pPr>
              <w:autoSpaceDE w:val="0"/>
              <w:autoSpaceDN w:val="0"/>
              <w:spacing w:line="360" w:lineRule="auto"/>
              <w:ind w:firstLine="480" w:firstLineChars="200"/>
              <w:jc w:val="left"/>
              <w:rPr>
                <w:rFonts w:hint="eastAsia" w:ascii="Times New Roman" w:hAnsi="Times New Roman" w:eastAsia="宋体" w:cs="Times New Roman"/>
                <w:snapToGrid w:val="0"/>
                <w:color w:val="auto"/>
                <w:kern w:val="0"/>
                <w:sz w:val="24"/>
                <w:szCs w:val="28"/>
                <w:lang w:val="en-US" w:eastAsia="zh-CN" w:bidi="ar"/>
              </w:rPr>
            </w:pPr>
            <w:r>
              <w:rPr>
                <w:rFonts w:hint="eastAsia" w:ascii="Times New Roman" w:hAnsi="Times New Roman" w:eastAsia="宋体" w:cs="Times New Roman"/>
                <w:snapToGrid w:val="0"/>
                <w:color w:val="auto"/>
                <w:kern w:val="0"/>
                <w:sz w:val="24"/>
                <w:szCs w:val="28"/>
                <w:lang w:val="en-US" w:eastAsia="zh-CN" w:bidi="ar"/>
              </w:rPr>
              <w:t>③对场地进行平整后覆土植树，对场地内进行全面复垦，植树绿化。根据新项目对地形地貌及景观的破坏程度，项目服务期满后，设立专项资金，采取植被重建的方式厂区进行生态恢复，种植乔木、灌木以及草类植被等。</w:t>
            </w:r>
          </w:p>
          <w:p>
            <w:pPr>
              <w:autoSpaceDE w:val="0"/>
              <w:autoSpaceDN w:val="0"/>
              <w:spacing w:line="360" w:lineRule="auto"/>
              <w:ind w:firstLine="480" w:firstLineChars="200"/>
              <w:jc w:val="left"/>
              <w:rPr>
                <w:rFonts w:hint="default" w:ascii="Times New Roman" w:hAnsi="Times New Roman" w:eastAsia="宋体" w:cs="Times New Roman"/>
                <w:snapToGrid w:val="0"/>
                <w:color w:val="auto"/>
                <w:kern w:val="0"/>
                <w:sz w:val="24"/>
                <w:szCs w:val="28"/>
                <w:lang w:val="en-US" w:eastAsia="zh-CN" w:bidi="ar"/>
              </w:rPr>
            </w:pPr>
            <w:r>
              <w:rPr>
                <w:rFonts w:hint="eastAsia" w:ascii="Times New Roman" w:hAnsi="Times New Roman" w:eastAsia="宋体" w:cs="Times New Roman"/>
                <w:snapToGrid w:val="0"/>
                <w:color w:val="auto"/>
                <w:kern w:val="0"/>
                <w:sz w:val="24"/>
                <w:szCs w:val="28"/>
                <w:lang w:val="en-US" w:eastAsia="zh-CN" w:bidi="ar"/>
              </w:rPr>
              <w:t>综上所述，建设单位在严格落实上述环境保护措施后，光伏电站服务期满后对环境产生的影响较小。</w:t>
            </w:r>
          </w:p>
          <w:p>
            <w:pPr>
              <w:pStyle w:val="14"/>
              <w:rPr>
                <w:rFonts w:hint="default"/>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366" w:type="pct"/>
            <w:noWrap w:val="0"/>
            <w:tcMar>
              <w:left w:w="28" w:type="dxa"/>
              <w:right w:w="28" w:type="dxa"/>
            </w:tcMar>
            <w:vAlign w:val="center"/>
          </w:tcPr>
          <w:p>
            <w:pPr>
              <w:widowControl/>
              <w:adjustRightInd w:val="0"/>
              <w:snapToGrid w:val="0"/>
              <w:spacing w:before="0" w:beforeAutospacing="0" w:after="0" w:afterAutospacing="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选址选线环境合理性分析</w:t>
            </w:r>
          </w:p>
        </w:tc>
        <w:tc>
          <w:tcPr>
            <w:tcW w:w="4633" w:type="pct"/>
            <w:noWrap w:val="0"/>
            <w:vAlign w:val="top"/>
          </w:tcPr>
          <w:p>
            <w:pPr>
              <w:adjustRightInd w:val="0"/>
              <w:snapToGrid w:val="0"/>
              <w:spacing w:line="360" w:lineRule="auto"/>
              <w:ind w:firstLine="482" w:firstLineChars="200"/>
              <w:rPr>
                <w:rFonts w:hint="eastAsia" w:ascii="Times New Roman" w:hAnsi="Times New Roman" w:eastAsia="宋体" w:cs="Times New Roman"/>
                <w:b/>
                <w:bCs/>
                <w:color w:val="auto"/>
                <w:sz w:val="24"/>
              </w:rPr>
            </w:pPr>
            <w:r>
              <w:rPr>
                <w:rFonts w:hint="eastAsia" w:cs="Times New Roman"/>
                <w:b/>
                <w:bCs/>
                <w:color w:val="auto"/>
                <w:sz w:val="24"/>
                <w:lang w:val="en-US" w:eastAsia="zh-CN"/>
              </w:rPr>
              <w:t>4.4</w:t>
            </w:r>
            <w:r>
              <w:rPr>
                <w:rFonts w:hint="eastAsia" w:ascii="Times New Roman" w:hAnsi="Times New Roman" w:eastAsia="宋体" w:cs="Times New Roman"/>
                <w:b/>
                <w:bCs/>
                <w:color w:val="auto"/>
                <w:sz w:val="24"/>
              </w:rPr>
              <w:t>工程选址合理性分析</w:t>
            </w:r>
          </w:p>
          <w:p>
            <w:pPr>
              <w:autoSpaceDE w:val="0"/>
              <w:autoSpaceDN w:val="0"/>
              <w:spacing w:line="360" w:lineRule="auto"/>
              <w:ind w:firstLine="480" w:firstLineChars="200"/>
              <w:jc w:val="left"/>
              <w:rPr>
                <w:rFonts w:hint="eastAsia" w:ascii="Times New Roman" w:hAnsi="Times New Roman" w:eastAsia="宋体" w:cs="Times New Roman"/>
                <w:snapToGrid w:val="0"/>
                <w:color w:val="auto"/>
                <w:kern w:val="0"/>
                <w:sz w:val="24"/>
                <w:szCs w:val="28"/>
                <w:lang w:val="en-US" w:eastAsia="zh-CN" w:bidi="ar"/>
              </w:rPr>
            </w:pPr>
            <w:r>
              <w:rPr>
                <w:rFonts w:hint="eastAsia" w:ascii="Times New Roman" w:hAnsi="Times New Roman" w:eastAsia="宋体" w:cs="Times New Roman"/>
                <w:snapToGrid w:val="0"/>
                <w:color w:val="auto"/>
                <w:kern w:val="0"/>
                <w:sz w:val="24"/>
                <w:szCs w:val="28"/>
                <w:lang w:val="en-US" w:eastAsia="zh-CN" w:bidi="ar"/>
              </w:rPr>
              <w:t>根据《可研》本项目选址方案为唯一方案，本项目光伏电站场址位于元谋县老城乡，项目共3个地块，项目选址不涉及自然保护区、风景名胜区、饮用水水源保护区、世界文化及自然遗产地等生态环境敏感区，避让了生态保护红线、生态公益林、基本农田，选址符合环境保护要求。项目升压站选址位于沙沟光伏场区东南面平地处，根据《云南省电力设施保护条例》变电站围墙外延伸</w:t>
            </w:r>
            <w:r>
              <w:rPr>
                <w:rFonts w:hint="default" w:ascii="Times New Roman" w:hAnsi="Times New Roman" w:eastAsia="宋体" w:cs="Times New Roman"/>
                <w:snapToGrid w:val="0"/>
                <w:color w:val="auto"/>
                <w:kern w:val="0"/>
                <w:sz w:val="24"/>
                <w:szCs w:val="28"/>
                <w:lang w:val="en-US" w:eastAsia="zh-CN" w:bidi="ar"/>
              </w:rPr>
              <w:t>3</w:t>
            </w:r>
            <w:r>
              <w:rPr>
                <w:rFonts w:hint="eastAsia" w:ascii="Times New Roman" w:hAnsi="Times New Roman" w:eastAsia="宋体" w:cs="Times New Roman"/>
                <w:snapToGrid w:val="0"/>
                <w:color w:val="auto"/>
                <w:kern w:val="0"/>
                <w:sz w:val="24"/>
                <w:szCs w:val="28"/>
                <w:lang w:val="en-US" w:eastAsia="zh-CN" w:bidi="ar"/>
              </w:rPr>
              <w:t>米所形成的区域为安全防护距离，本项目变更后的升压站围墙外</w:t>
            </w:r>
            <w:r>
              <w:rPr>
                <w:rFonts w:hint="default" w:ascii="Times New Roman" w:hAnsi="Times New Roman" w:eastAsia="宋体" w:cs="Times New Roman"/>
                <w:snapToGrid w:val="0"/>
                <w:color w:val="auto"/>
                <w:kern w:val="0"/>
                <w:sz w:val="24"/>
                <w:szCs w:val="28"/>
                <w:lang w:val="en-US" w:eastAsia="zh-CN" w:bidi="ar"/>
              </w:rPr>
              <w:t>3</w:t>
            </w:r>
            <w:r>
              <w:rPr>
                <w:rFonts w:hint="eastAsia" w:ascii="Times New Roman" w:hAnsi="Times New Roman" w:eastAsia="宋体" w:cs="Times New Roman"/>
                <w:snapToGrid w:val="0"/>
                <w:color w:val="auto"/>
                <w:kern w:val="0"/>
                <w:sz w:val="24"/>
                <w:szCs w:val="28"/>
                <w:lang w:val="en-US" w:eastAsia="zh-CN" w:bidi="ar"/>
              </w:rPr>
              <w:t>米范围内无居民敏感点分布，因此升压站选址合理。</w:t>
            </w:r>
          </w:p>
          <w:p>
            <w:pPr>
              <w:autoSpaceDE w:val="0"/>
              <w:autoSpaceDN w:val="0"/>
              <w:spacing w:line="360" w:lineRule="auto"/>
              <w:ind w:firstLine="480" w:firstLineChars="200"/>
              <w:jc w:val="left"/>
              <w:rPr>
                <w:rFonts w:hint="default" w:ascii="Times New Roman" w:hAnsi="Times New Roman" w:eastAsia="宋体" w:cs="Times New Roman"/>
                <w:snapToGrid w:val="0"/>
                <w:color w:val="auto"/>
                <w:kern w:val="0"/>
                <w:sz w:val="24"/>
                <w:szCs w:val="28"/>
                <w:lang w:val="en-US" w:eastAsia="zh-CN" w:bidi="ar"/>
              </w:rPr>
            </w:pPr>
            <w:r>
              <w:rPr>
                <w:rFonts w:hint="eastAsia" w:ascii="Times New Roman" w:hAnsi="Times New Roman" w:eastAsia="宋体" w:cs="Times New Roman"/>
                <w:snapToGrid w:val="0"/>
                <w:color w:val="auto"/>
                <w:kern w:val="0"/>
                <w:sz w:val="24"/>
                <w:szCs w:val="28"/>
                <w:lang w:val="en-US" w:eastAsia="zh-CN" w:bidi="ar"/>
              </w:rPr>
              <w:t>本项目是太阳能光伏发电项目，属清洁能源，主要污染为施工期生态影响、噪声影响、扬尘影响，在采取相应的措施后均能达到相应质量标准，对周围环境的影响是短暂的，随着施工的结束而消失。运营期主要影响来为废水影响、固体废物影响、生态环境影响、环境风险等，本项目在采取本评价提出的各项污染防治对策措施和生态保护措施后，项目产生的环境影响均可得到有效控制，能够满足当地环境保护的要求，且不会改变当地的环境功能。</w:t>
            </w:r>
          </w:p>
          <w:p>
            <w:pPr>
              <w:autoSpaceDE w:val="0"/>
              <w:autoSpaceDN w:val="0"/>
              <w:spacing w:line="360" w:lineRule="auto"/>
              <w:ind w:firstLine="480" w:firstLineChars="200"/>
              <w:jc w:val="left"/>
              <w:rPr>
                <w:rFonts w:hint="default" w:ascii="Times New Roman" w:hAnsi="Times New Roman" w:eastAsia="宋体" w:cs="Times New Roman"/>
                <w:snapToGrid w:val="0"/>
                <w:color w:val="auto"/>
                <w:kern w:val="0"/>
                <w:sz w:val="24"/>
                <w:szCs w:val="28"/>
                <w:lang w:val="en-US" w:eastAsia="zh-CN" w:bidi="ar"/>
              </w:rPr>
            </w:pPr>
            <w:r>
              <w:rPr>
                <w:rFonts w:hint="eastAsia" w:ascii="Times New Roman" w:hAnsi="Times New Roman" w:eastAsia="宋体" w:cs="Times New Roman"/>
                <w:snapToGrid w:val="0"/>
                <w:color w:val="auto"/>
                <w:kern w:val="0"/>
                <w:sz w:val="24"/>
                <w:szCs w:val="28"/>
                <w:lang w:val="en-US" w:eastAsia="zh-CN" w:bidi="ar"/>
              </w:rPr>
              <w:t>综上所述，本项目选址环境合理</w:t>
            </w:r>
            <w:r>
              <w:rPr>
                <w:rFonts w:hint="default" w:ascii="Times New Roman" w:hAnsi="Times New Roman" w:eastAsia="宋体" w:cs="Times New Roman"/>
                <w:snapToGrid w:val="0"/>
                <w:color w:val="auto"/>
                <w:kern w:val="0"/>
                <w:sz w:val="24"/>
                <w:szCs w:val="28"/>
                <w:lang w:val="en-US" w:eastAsia="zh-CN" w:bidi="ar"/>
              </w:rPr>
              <w:t>。</w:t>
            </w:r>
          </w:p>
          <w:p>
            <w:pPr>
              <w:adjustRightInd w:val="0"/>
              <w:snapToGrid w:val="0"/>
              <w:spacing w:line="360" w:lineRule="auto"/>
              <w:ind w:firstLine="482" w:firstLineChars="200"/>
              <w:rPr>
                <w:rFonts w:hint="eastAsia" w:ascii="Times New Roman" w:hAnsi="Times New Roman" w:eastAsia="宋体" w:cs="Times New Roman"/>
                <w:b/>
                <w:bCs/>
                <w:color w:val="auto"/>
                <w:sz w:val="24"/>
              </w:rPr>
            </w:pPr>
            <w:r>
              <w:rPr>
                <w:rFonts w:hint="eastAsia" w:cs="Times New Roman"/>
                <w:b/>
                <w:bCs/>
                <w:color w:val="auto"/>
                <w:sz w:val="24"/>
                <w:lang w:val="en-US" w:eastAsia="zh-CN"/>
              </w:rPr>
              <w:t>4.5</w:t>
            </w:r>
            <w:r>
              <w:rPr>
                <w:rFonts w:hint="eastAsia" w:ascii="Times New Roman" w:hAnsi="Times New Roman" w:eastAsia="宋体" w:cs="Times New Roman"/>
                <w:b/>
                <w:bCs/>
                <w:color w:val="auto"/>
                <w:sz w:val="24"/>
              </w:rPr>
              <w:t>环境选址合理性分析</w:t>
            </w:r>
          </w:p>
          <w:p>
            <w:pPr>
              <w:pStyle w:val="44"/>
              <w:adjustRightInd w:val="0"/>
              <w:snapToGrid w:val="0"/>
              <w:rPr>
                <w:rFonts w:ascii="Times New Roman" w:hAnsi="Times New Roman" w:eastAsia="宋体" w:cs="Times New Roman"/>
                <w:color w:val="auto"/>
                <w:szCs w:val="24"/>
              </w:rPr>
            </w:pPr>
            <w:r>
              <w:rPr>
                <w:rFonts w:hint="eastAsia" w:ascii="宋体" w:hAnsi="宋体" w:eastAsia="宋体" w:cs="Times New Roman"/>
                <w:color w:val="auto"/>
                <w:szCs w:val="24"/>
              </w:rPr>
              <w:t>（1）政府主管部门意见</w:t>
            </w:r>
          </w:p>
          <w:p>
            <w:pPr>
              <w:pStyle w:val="44"/>
              <w:adjustRightInd w:val="0"/>
              <w:snapToGrid w:val="0"/>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项目已经取得元谋县自然资源局、林草局、生态环境分局、水务局意见，明确项目不占用生态保护红线（公开版）、永久基本农田、稳定耕地、水源地环境敏感区，同意项目选址。</w:t>
            </w:r>
          </w:p>
          <w:p>
            <w:pPr>
              <w:pStyle w:val="44"/>
              <w:adjustRightInd w:val="0"/>
              <w:snapToGrid w:val="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（2）环境敏感性分析</w:t>
            </w:r>
          </w:p>
          <w:p>
            <w:pPr>
              <w:pStyle w:val="44"/>
              <w:adjustRightInd w:val="0"/>
              <w:snapToGrid w:val="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项目充分考虑了国家相关用地政策、光伏规划、环保要求，不占用生态保护红线、永久基本农田，避让了周边的自然保护区、风景名胜区，也不涉及国家公园、森林公园、重要湿地、世界文化遗产地、种质资源保护区、饮用水水源保护区等环境敏感区。工程主要选取荒山坡地建设，用地区域现状以草地、灌木林及少量果园和坡耕地为主，为光伏项目允许用地；尽管集电线路塔基少量占用国家级、省级公益林，但占用区域场地现状林木疏生，植被主要以干热性稀树灌木草丛和干热河谷次生灌丛为主，零星分布低矮灌木，项目建设造成的林木资源破坏小；且本项目采取复合式开发，实际产生的公益林永久占用面积较小，光伏场区通过植被保护和施工结束后的封禁养护，植被可逐步恢复至与现状差别不大，对区域整体森林生态系统的影响不大。项目用地区域无珍稀濒危保护植物、狭域特有物种、名木古树等分布，现有植被类型较为单一、生物多样性一般，现有分布的野生动物种类及种群数量均较为贫乏。因此，项目建设对生态系统的影响较小。</w:t>
            </w:r>
          </w:p>
          <w:p>
            <w:pPr>
              <w:pStyle w:val="44"/>
              <w:adjustRightInd w:val="0"/>
              <w:snapToGrid w:val="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场区周边大部分村庄居民区等保护目标均与项目距离较远，仅</w:t>
            </w:r>
            <w:r>
              <w:rPr>
                <w:rFonts w:hint="eastAsia" w:eastAsia="宋体" w:cs="Times New Roman"/>
                <w:color w:val="auto"/>
                <w:lang w:val="en-US" w:eastAsia="zh-CN"/>
              </w:rPr>
              <w:t>松树湾</w:t>
            </w:r>
            <w:r>
              <w:rPr>
                <w:rFonts w:hint="default" w:ascii="Times New Roman" w:hAnsi="Times New Roman" w:eastAsia="宋体" w:cs="Times New Roman"/>
                <w:color w:val="auto"/>
              </w:rPr>
              <w:t>片区集电线路沿线的丙月村、大月旧村、山后村与本项目距离较近，其中最近处仅约130m左右</w:t>
            </w:r>
            <w:r>
              <w:rPr>
                <w:rFonts w:hint="default" w:ascii="Times New Roman" w:hAnsi="Times New Roman" w:eastAsia="宋体" w:cs="Times New Roman"/>
                <w:color w:val="auto"/>
                <w:szCs w:val="24"/>
              </w:rPr>
              <w:t>，但通过采取本次评价提出的各项控制措施，可将工程建设运行对上述保护目标的影响降至最低。</w:t>
            </w:r>
          </w:p>
          <w:p>
            <w:pPr>
              <w:pStyle w:val="44"/>
              <w:adjustRightInd w:val="0"/>
              <w:snapToGrid w:val="0"/>
              <w:rPr>
                <w:rFonts w:ascii="Times New Roman" w:hAnsi="Times New Roman" w:eastAsia="宋体" w:cs="Times New Roman"/>
                <w:color w:val="auto"/>
                <w:szCs w:val="24"/>
              </w:rPr>
            </w:pPr>
            <w:r>
              <w:rPr>
                <w:rFonts w:ascii="Times New Roman" w:hAnsi="Times New Roman" w:eastAsia="宋体" w:cs="Times New Roman"/>
                <w:color w:val="auto"/>
                <w:szCs w:val="24"/>
              </w:rPr>
              <w:t>总体而言，从环境敏感性角度分析，</w:t>
            </w:r>
            <w:r>
              <w:rPr>
                <w:rFonts w:hint="eastAsia" w:ascii="Times New Roman" w:hAnsi="Times New Roman" w:eastAsia="宋体" w:cs="Times New Roman"/>
                <w:color w:val="auto"/>
                <w:szCs w:val="24"/>
              </w:rPr>
              <w:t>项目选址合理</w:t>
            </w:r>
          </w:p>
          <w:p>
            <w:pPr>
              <w:adjustRightInd w:val="0"/>
              <w:snapToGrid w:val="0"/>
              <w:spacing w:line="360" w:lineRule="auto"/>
              <w:ind w:firstLine="480" w:firstLineChars="200"/>
              <w:rPr>
                <w:rFonts w:ascii="Times New Roman" w:hAnsi="Times New Roman" w:eastAsia="宋体" w:cs="Times New Roman"/>
                <w:bCs/>
                <w:color w:val="auto"/>
                <w:sz w:val="24"/>
              </w:rPr>
            </w:pPr>
            <w:r>
              <w:rPr>
                <w:rFonts w:hint="eastAsia" w:cs="Times New Roman"/>
                <w:bCs/>
                <w:color w:val="auto"/>
                <w:sz w:val="24"/>
                <w:lang w:val="en-US" w:eastAsia="zh-CN"/>
              </w:rPr>
              <w:t>3、</w:t>
            </w:r>
            <w:r>
              <w:rPr>
                <w:rFonts w:hint="eastAsia" w:ascii="Times New Roman" w:hAnsi="Times New Roman" w:eastAsia="宋体" w:cs="Times New Roman"/>
                <w:bCs/>
                <w:color w:val="auto"/>
                <w:sz w:val="24"/>
              </w:rPr>
              <w:t>临时工程</w:t>
            </w:r>
            <w:r>
              <w:rPr>
                <w:rFonts w:ascii="Times New Roman" w:hAnsi="Times New Roman" w:eastAsia="宋体" w:cs="Times New Roman"/>
                <w:bCs/>
                <w:color w:val="auto"/>
                <w:sz w:val="24"/>
              </w:rPr>
              <w:t>选址</w:t>
            </w:r>
            <w:r>
              <w:rPr>
                <w:rFonts w:hint="eastAsia" w:ascii="Times New Roman" w:hAnsi="Times New Roman" w:eastAsia="宋体" w:cs="Times New Roman"/>
                <w:bCs/>
                <w:color w:val="auto"/>
                <w:sz w:val="24"/>
              </w:rPr>
              <w:t>、选线</w:t>
            </w:r>
            <w:r>
              <w:rPr>
                <w:rFonts w:ascii="Times New Roman" w:hAnsi="Times New Roman" w:eastAsia="宋体" w:cs="Times New Roman"/>
                <w:bCs/>
                <w:color w:val="auto"/>
                <w:sz w:val="24"/>
              </w:rPr>
              <w:t>合理性分析</w:t>
            </w:r>
          </w:p>
          <w:p>
            <w:pPr>
              <w:adjustRightInd w:val="0"/>
              <w:snapToGrid w:val="0"/>
              <w:spacing w:line="360" w:lineRule="auto"/>
              <w:ind w:firstLine="480" w:firstLineChars="200"/>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①弃渣场</w:t>
            </w:r>
          </w:p>
          <w:p>
            <w:pPr>
              <w:adjustRightInd w:val="0"/>
              <w:snapToGrid w:val="0"/>
              <w:spacing w:line="360" w:lineRule="auto"/>
              <w:ind w:firstLine="480" w:firstLineChars="200"/>
              <w:rPr>
                <w:rFonts w:hint="eastAsia" w:ascii="Times New Roman" w:hAnsi="Times New Roman" w:eastAsia="宋体" w:cs="Times New Roman"/>
                <w:color w:val="auto"/>
              </w:rPr>
            </w:pPr>
            <w:r>
              <w:rPr>
                <w:rFonts w:hint="eastAsia" w:ascii="宋体" w:hAnsi="宋体" w:eastAsia="宋体" w:cs="Times New Roman"/>
                <w:color w:val="auto"/>
                <w:sz w:val="24"/>
                <w:lang w:val="en-US" w:eastAsia="zh-CN"/>
              </w:rPr>
              <w:t>根据项目水土保持方案报告书，</w:t>
            </w:r>
            <w:r>
              <w:rPr>
                <w:rFonts w:ascii="宋体" w:hAnsi="宋体" w:eastAsia="宋体" w:cs="Times New Roman"/>
                <w:color w:val="auto"/>
                <w:sz w:val="24"/>
              </w:rPr>
              <w:t>项目共设置</w:t>
            </w:r>
            <w:r>
              <w:rPr>
                <w:rFonts w:hint="eastAsia" w:ascii="宋体" w:hAnsi="宋体" w:eastAsia="宋体" w:cs="Times New Roman"/>
                <w:color w:val="auto"/>
                <w:sz w:val="24"/>
                <w:lang w:val="en-US" w:eastAsia="zh-CN"/>
              </w:rPr>
              <w:t>3</w:t>
            </w:r>
            <w:r>
              <w:rPr>
                <w:rFonts w:hint="eastAsia" w:ascii="宋体" w:hAnsi="宋体" w:eastAsia="宋体" w:cs="Times New Roman"/>
                <w:color w:val="auto"/>
                <w:sz w:val="24"/>
              </w:rPr>
              <w:t>个弃渣场，位于项目</w:t>
            </w:r>
            <w:r>
              <w:rPr>
                <w:rFonts w:hint="eastAsia" w:ascii="宋体" w:hAnsi="宋体" w:eastAsia="宋体" w:cs="Times New Roman"/>
                <w:color w:val="auto"/>
                <w:sz w:val="24"/>
                <w:lang w:val="en-US" w:eastAsia="zh-CN"/>
              </w:rPr>
              <w:t>沙沟（沙沟1#弃渣场、沙沟2#弃渣场）与松树湾（松树湾弃渣场）</w:t>
            </w:r>
            <w:r>
              <w:rPr>
                <w:rFonts w:ascii="宋体" w:hAnsi="宋体" w:eastAsia="宋体" w:cs="Times New Roman"/>
                <w:color w:val="auto"/>
                <w:sz w:val="24"/>
              </w:rPr>
              <w:t>光伏场区处；</w:t>
            </w:r>
            <w:r>
              <w:rPr>
                <w:rFonts w:hint="eastAsia" w:ascii="宋体" w:hAnsi="宋体" w:eastAsia="宋体" w:cs="Times New Roman"/>
                <w:color w:val="auto"/>
                <w:sz w:val="24"/>
              </w:rPr>
              <w:t>本项目选用弃渣场均为原方案批复弃渣场，根据原水保方案，本次变更后选用的3座弃渣场下游均无重要基础设施和村庄等，未占用敏感地类，渣场位置的选择从水土保持角度来说合理可行，由于本项目弃方大部分产生于升压站和道路，从弃渣方便和运输距离的角度考虑，弃渣场的选址是合理的，本项目弃能得到了妥善处置，避免了弃渣乱堆乱倒造成的水土流失和安全隐患，但是，要求建设单位和施工人员在工程施工过程中，要强化水土保持意识，严格按照堆规划，将弃渣运往指定弃渣场进行堆存，严禁随意乱倒。</w:t>
            </w:r>
          </w:p>
          <w:p>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rPr>
              <w:t>②</w:t>
            </w:r>
            <w:r>
              <w:rPr>
                <w:rFonts w:hint="eastAsia" w:ascii="Times New Roman" w:hAnsi="Times New Roman" w:eastAsia="宋体" w:cs="Times New Roman"/>
                <w:bCs/>
                <w:color w:val="auto"/>
                <w:sz w:val="24"/>
                <w:lang w:val="en-US" w:eastAsia="zh-CN"/>
              </w:rPr>
              <w:t>表土堆场</w:t>
            </w:r>
          </w:p>
          <w:p>
            <w:pPr>
              <w:adjustRightInd w:val="0"/>
              <w:snapToGrid w:val="0"/>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根据</w:t>
            </w:r>
            <w:r>
              <w:rPr>
                <w:rFonts w:hint="eastAsia" w:ascii="Times New Roman" w:hAnsi="Times New Roman" w:eastAsia="宋体" w:cs="Times New Roman"/>
                <w:bCs/>
                <w:color w:val="auto"/>
                <w:sz w:val="24"/>
                <w:lang w:val="en-US" w:eastAsia="zh-CN"/>
              </w:rPr>
              <w:t>项目水土保持方案分析</w:t>
            </w:r>
            <w:r>
              <w:rPr>
                <w:rFonts w:hint="eastAsia" w:ascii="Times New Roman" w:hAnsi="Times New Roman" w:eastAsia="宋体" w:cs="Times New Roman"/>
                <w:bCs/>
                <w:color w:val="auto"/>
                <w:sz w:val="24"/>
              </w:rPr>
              <w:t>，本项目共剥离收集表土0.81万m，集电线路</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rPr>
              <w:t>塔基</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rPr>
              <w:t>剥离的表土堆放在塔基一角堆存点</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rPr>
              <w:t>集电线路</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rPr>
              <w:t>直埋电缆</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rPr>
              <w:t>剥离的表土堆放在电缆沟一侧，回填土和表土堆放在电缆沟一侧时分别堆存，回填时先回填垫层士方再回覆表土，由于施工期较短且即挖即填，集电线路</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rPr>
              <w:t>直埋电缆</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rPr>
              <w:t>区域不再单独布设集中表土堆场。升压站剥离待回填的表土采用植生袋装袋后码砌在升压站东南侧。场内道路剥离的表土堆放在道路沿线，选择道路沿线宽阔平缓路段分段设置表土堆存场，施工期间道路表土堆存点可利用道路回车及错车区域。本方案新增表土堆存期间的临时苦盖和临时拦挡，减少堆存期间的水土流失。</w:t>
            </w:r>
          </w:p>
          <w:p>
            <w:pPr>
              <w:adjustRightInd w:val="0"/>
              <w:snapToGrid w:val="0"/>
              <w:spacing w:line="360" w:lineRule="auto"/>
              <w:ind w:firstLine="480" w:firstLineChars="200"/>
              <w:rPr>
                <w:rFonts w:ascii="Times New Roman" w:hAnsi="Times New Roman" w:eastAsia="宋体" w:cs="Times New Roman"/>
                <w:bCs/>
                <w:color w:val="auto"/>
                <w:sz w:val="24"/>
              </w:rPr>
            </w:pPr>
            <w:r>
              <w:rPr>
                <w:rFonts w:hint="eastAsia" w:ascii="Times New Roman" w:hAnsi="Times New Roman" w:eastAsia="宋体" w:cs="Times New Roman"/>
                <w:bCs/>
                <w:color w:val="auto"/>
                <w:sz w:val="24"/>
              </w:rPr>
              <w:t>表土堆存前将外围采取编织袋临时拦挡，防治表土外溢，堆存后在表土上费用彩条布覆盖，防治降雨产生水土流失。待施工结束后，用作各分区植被恢复和绿化覆土。表土堆场均位于各分区占地红线范围内，不再新增占地，符合水土保持要求。</w:t>
            </w:r>
          </w:p>
          <w:p>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rPr>
              <w:t>③</w:t>
            </w:r>
            <w:r>
              <w:rPr>
                <w:rFonts w:hint="eastAsia" w:ascii="Times New Roman" w:hAnsi="Times New Roman" w:eastAsia="宋体" w:cs="Times New Roman"/>
                <w:bCs/>
                <w:color w:val="auto"/>
                <w:sz w:val="24"/>
                <w:lang w:val="en-US" w:eastAsia="zh-CN"/>
              </w:rPr>
              <w:t>选址及平面布局合理性</w:t>
            </w:r>
          </w:p>
          <w:p>
            <w:pPr>
              <w:adjustRightInd w:val="0"/>
              <w:snapToGrid w:val="0"/>
              <w:spacing w:line="360" w:lineRule="auto"/>
              <w:ind w:firstLine="480" w:firstLineChars="200"/>
              <w:rPr>
                <w:rFonts w:hint="eastAsia" w:ascii="Times New Roman" w:hAnsi="Times New Roman" w:eastAsia="宋体" w:cs="Times New Roman"/>
                <w:bCs/>
                <w:color w:val="auto"/>
                <w:sz w:val="24"/>
              </w:rPr>
            </w:pPr>
            <w:r>
              <w:rPr>
                <w:rFonts w:ascii="Times New Roman" w:hAnsi="Times New Roman" w:eastAsia="宋体" w:cs="Times New Roman"/>
                <w:bCs/>
                <w:color w:val="auto"/>
                <w:sz w:val="24"/>
              </w:rPr>
              <w:t>本项目对外交通主要依托 G5 京昆高速公路、G108 国道、S214 省道，项目施工交通主要依托项目区西侧 G108 国道、S214 省道进入项目区，无需新建进场道路。</w:t>
            </w:r>
            <w:r>
              <w:rPr>
                <w:rFonts w:hint="eastAsia" w:ascii="Times New Roman" w:hAnsi="Times New Roman" w:eastAsia="宋体" w:cs="Times New Roman"/>
                <w:bCs/>
                <w:color w:val="auto"/>
                <w:sz w:val="24"/>
              </w:rPr>
              <w:t>光伏场区内部检修道路在设计时考虑永临结合，施工时先进行场内检修道路的改造及新建，满足施工及设备运输要求；施工结束后即作为运行期检修道路，满足检修维护的需要。升压站新建800m长道路连接至现有道路，可保障工程施工对外交通运输要求。因此，工程施工期依托现有公路、已硬化乡村道路进场，不涉及新建进场道路；光伏场区内施工道路结合运行期检修道路建设，尽量减小道路工程的环境影响，设置较为合理。</w:t>
            </w:r>
          </w:p>
          <w:p>
            <w:pPr>
              <w:adjustRightInd w:val="0"/>
              <w:snapToGrid w:val="0"/>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综上所述，项目选址及平面布局</w:t>
            </w:r>
            <w:r>
              <w:rPr>
                <w:rFonts w:ascii="Times New Roman" w:hAnsi="Times New Roman" w:eastAsia="宋体" w:cs="Times New Roman"/>
                <w:bCs/>
                <w:color w:val="auto"/>
                <w:sz w:val="24"/>
              </w:rPr>
              <w:t>合理，</w:t>
            </w:r>
            <w:r>
              <w:rPr>
                <w:rFonts w:hint="eastAsia" w:ascii="Times New Roman" w:hAnsi="Times New Roman" w:eastAsia="宋体" w:cs="Times New Roman"/>
                <w:bCs/>
                <w:color w:val="auto"/>
                <w:sz w:val="24"/>
              </w:rPr>
              <w:t>不存在重大环境制约因素。</w:t>
            </w:r>
          </w:p>
          <w:p>
            <w:pPr>
              <w:spacing w:line="360" w:lineRule="auto"/>
              <w:ind w:firstLine="420" w:firstLineChars="200"/>
              <w:rPr>
                <w:rFonts w:hint="default" w:ascii="Times New Roman" w:hAnsi="Times New Roman" w:eastAsia="宋体" w:cs="Times New Roman"/>
                <w:bCs/>
                <w:color w:val="auto"/>
                <w:kern w:val="2"/>
                <w:sz w:val="21"/>
                <w:szCs w:val="21"/>
                <w:lang w:val="en-US" w:eastAsia="zh-CN" w:bidi="ar-SA"/>
              </w:rPr>
            </w:pPr>
          </w:p>
        </w:tc>
      </w:tr>
    </w:tbl>
    <w:p>
      <w:pPr>
        <w:rPr>
          <w:rFonts w:hint="default"/>
          <w:lang w:val="en-US" w:eastAsia="zh-CN"/>
        </w:rPr>
      </w:pPr>
      <w:r>
        <w:rPr>
          <w:rFonts w:hint="default"/>
          <w:lang w:val="en-US" w:eastAsia="zh-CN"/>
        </w:rPr>
        <w:br w:type="page"/>
      </w:r>
    </w:p>
    <w:p>
      <w:pPr>
        <w:widowControl/>
        <w:numPr>
          <w:ilvl w:val="0"/>
          <w:numId w:val="0"/>
        </w:numPr>
        <w:spacing w:before="100" w:beforeAutospacing="1" w:after="100" w:afterAutospacing="1"/>
        <w:jc w:val="center"/>
        <w:outlineLvl w:val="0"/>
        <w:rPr>
          <w:rFonts w:hint="eastAsia" w:ascii="黑体" w:hAnsi="黑体" w:eastAsia="黑体" w:cs="Times New Roman"/>
          <w:snapToGrid w:val="0"/>
          <w:color w:val="auto"/>
          <w:kern w:val="0"/>
          <w:sz w:val="30"/>
          <w:szCs w:val="30"/>
          <w:lang w:val="en-US" w:eastAsia="zh-CN" w:bidi="ar-SA"/>
        </w:rPr>
      </w:pPr>
      <w:bookmarkStart w:id="22" w:name="_Toc24311"/>
      <w:bookmarkStart w:id="23" w:name="_Toc20661"/>
      <w:r>
        <w:rPr>
          <w:rFonts w:hint="eastAsia" w:ascii="黑体" w:hAnsi="黑体" w:eastAsia="黑体" w:cs="Times New Roman"/>
          <w:snapToGrid w:val="0"/>
          <w:color w:val="auto"/>
          <w:kern w:val="0"/>
          <w:sz w:val="30"/>
          <w:szCs w:val="30"/>
          <w:lang w:val="en-US" w:eastAsia="zh-CN" w:bidi="ar-SA"/>
        </w:rPr>
        <w:t>五、主要生态环境保护措施</w:t>
      </w:r>
      <w:bookmarkEnd w:id="22"/>
      <w:bookmarkEnd w:id="23"/>
    </w:p>
    <w:tbl>
      <w:tblPr>
        <w:tblStyle w:val="18"/>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83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377" w:type="pct"/>
            <w:noWrap w:val="0"/>
            <w:tcMar>
              <w:left w:w="28" w:type="dxa"/>
              <w:right w:w="28" w:type="dxa"/>
            </w:tcMar>
            <w:vAlign w:val="center"/>
          </w:tcPr>
          <w:p>
            <w:pPr>
              <w:adjustRightInd w:val="0"/>
              <w:snapToGrid w:val="0"/>
              <w:jc w:val="center"/>
              <w:rPr>
                <w:rFonts w:hint="default" w:ascii="Times New Roman" w:hAnsi="Times New Roman" w:eastAsia="宋体" w:cs="Times New Roman"/>
                <w:bCs/>
                <w:color w:val="auto"/>
                <w:sz w:val="24"/>
                <w:szCs w:val="21"/>
              </w:rPr>
            </w:pPr>
            <w:r>
              <w:rPr>
                <w:rFonts w:hint="default" w:ascii="Times New Roman" w:hAnsi="Times New Roman" w:eastAsia="宋体" w:cs="Times New Roman"/>
                <w:bCs/>
                <w:color w:val="auto"/>
                <w:spacing w:val="10"/>
                <w:sz w:val="24"/>
                <w:szCs w:val="21"/>
              </w:rPr>
              <w:t>施工期生态环境保护措施</w:t>
            </w:r>
          </w:p>
        </w:tc>
        <w:tc>
          <w:tcPr>
            <w:tcW w:w="4622" w:type="pct"/>
            <w:noWrap w:val="0"/>
            <w:vAlign w:val="top"/>
          </w:tcPr>
          <w:p>
            <w:pPr>
              <w:widowControl w:val="0"/>
              <w:spacing w:beforeLines="0" w:afterLines="0" w:line="360" w:lineRule="auto"/>
              <w:ind w:firstLine="482" w:firstLineChars="200"/>
              <w:jc w:val="both"/>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5.1施工期已采取</w:t>
            </w:r>
            <w:r>
              <w:rPr>
                <w:rFonts w:hint="default" w:ascii="Times New Roman" w:hAnsi="Times New Roman" w:eastAsia="宋体" w:cs="Times New Roman"/>
                <w:b/>
                <w:color w:val="auto"/>
                <w:kern w:val="2"/>
                <w:sz w:val="24"/>
                <w:szCs w:val="24"/>
                <w:highlight w:val="none"/>
                <w:lang w:val="en-US" w:eastAsia="zh-CN" w:bidi="ar-SA"/>
              </w:rPr>
              <w:t>环境防治措施</w:t>
            </w:r>
          </w:p>
          <w:p>
            <w:pPr>
              <w:widowControl w:val="0"/>
              <w:spacing w:beforeLines="0" w:afterLines="0" w:line="360" w:lineRule="auto"/>
              <w:ind w:firstLine="482" w:firstLineChars="200"/>
              <w:jc w:val="both"/>
              <w:rPr>
                <w:rFonts w:hint="default" w:ascii="Times New Roman" w:hAnsi="Times New Roman" w:eastAsia="宋体" w:cs="Times New Roman"/>
                <w:b/>
                <w:color w:val="auto"/>
                <w:kern w:val="2"/>
                <w:sz w:val="24"/>
                <w:szCs w:val="24"/>
                <w:highlight w:val="none"/>
                <w:lang w:val="en-US" w:eastAsia="zh-CN" w:bidi="ar-SA"/>
              </w:rPr>
            </w:pPr>
            <w:r>
              <w:rPr>
                <w:rFonts w:hint="eastAsia" w:cs="Times New Roman"/>
                <w:b/>
                <w:color w:val="auto"/>
                <w:kern w:val="2"/>
                <w:sz w:val="24"/>
                <w:szCs w:val="24"/>
                <w:highlight w:val="none"/>
                <w:lang w:val="en-US" w:eastAsia="zh-CN" w:bidi="ar-SA"/>
              </w:rPr>
              <w:t>5.1.1</w:t>
            </w:r>
            <w:r>
              <w:rPr>
                <w:rFonts w:hint="eastAsia" w:ascii="Times New Roman" w:hAnsi="Times New Roman" w:eastAsia="宋体" w:cs="Times New Roman"/>
                <w:b/>
                <w:color w:val="auto"/>
                <w:kern w:val="2"/>
                <w:sz w:val="24"/>
                <w:szCs w:val="24"/>
                <w:highlight w:val="none"/>
                <w:lang w:val="en-US" w:eastAsia="zh-CN" w:bidi="ar-SA"/>
              </w:rPr>
              <w:t>已采取</w:t>
            </w:r>
            <w:r>
              <w:rPr>
                <w:rFonts w:hint="default" w:ascii="Times New Roman" w:hAnsi="Times New Roman" w:eastAsia="宋体" w:cs="Times New Roman"/>
                <w:b/>
                <w:color w:val="auto"/>
                <w:kern w:val="2"/>
                <w:sz w:val="24"/>
                <w:szCs w:val="24"/>
                <w:highlight w:val="none"/>
                <w:lang w:val="en-US" w:eastAsia="zh-CN" w:bidi="ar-SA"/>
              </w:rPr>
              <w:t>生态环境防治措施</w:t>
            </w:r>
          </w:p>
          <w:p>
            <w:pPr>
              <w:widowControl w:val="0"/>
              <w:spacing w:beforeLines="0" w:afterLines="0" w:line="360" w:lineRule="auto"/>
              <w:ind w:firstLine="482" w:firstLineChars="200"/>
              <w:jc w:val="both"/>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1、土壤保护措施</w:t>
            </w: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①</w:t>
            </w:r>
            <w:r>
              <w:rPr>
                <w:rFonts w:hint="eastAsia" w:ascii="Times New Roman" w:hAnsi="Times New Roman" w:eastAsia="宋体" w:cs="Times New Roman"/>
                <w:color w:val="auto"/>
                <w:kern w:val="2"/>
                <w:sz w:val="24"/>
                <w:szCs w:val="24"/>
                <w:lang w:val="en-US" w:eastAsia="zh-CN" w:bidi="ar-SA"/>
              </w:rPr>
              <w:t>做到严格</w:t>
            </w:r>
            <w:r>
              <w:rPr>
                <w:rFonts w:hint="default" w:ascii="Times New Roman" w:hAnsi="Times New Roman" w:eastAsia="宋体" w:cs="Times New Roman"/>
                <w:color w:val="auto"/>
                <w:kern w:val="2"/>
                <w:sz w:val="24"/>
                <w:szCs w:val="24"/>
                <w:lang w:val="en-US" w:eastAsia="zh-CN" w:bidi="ar-SA"/>
              </w:rPr>
              <w:t>施工管理，合理安排施工时间及工序，避开</w:t>
            </w:r>
            <w:r>
              <w:rPr>
                <w:rFonts w:hint="eastAsia" w:ascii="Times New Roman" w:hAnsi="Times New Roman" w:eastAsia="宋体" w:cs="Times New Roman"/>
                <w:color w:val="auto"/>
                <w:kern w:val="2"/>
                <w:sz w:val="24"/>
                <w:szCs w:val="24"/>
                <w:lang w:val="en-US" w:eastAsia="zh-CN" w:bidi="ar-SA"/>
              </w:rPr>
              <w:t>了</w:t>
            </w:r>
            <w:r>
              <w:rPr>
                <w:rFonts w:hint="default" w:ascii="Times New Roman" w:hAnsi="Times New Roman" w:eastAsia="宋体" w:cs="Times New Roman"/>
                <w:color w:val="auto"/>
                <w:kern w:val="2"/>
                <w:sz w:val="24"/>
                <w:szCs w:val="24"/>
                <w:lang w:val="en-US" w:eastAsia="zh-CN" w:bidi="ar-SA"/>
              </w:rPr>
              <w:t>大风天气及雨季</w:t>
            </w:r>
            <w:r>
              <w:rPr>
                <w:rFonts w:hint="eastAsia" w:ascii="Times New Roman" w:hAnsi="Times New Roman" w:eastAsia="宋体" w:cs="Times New Roman"/>
                <w:color w:val="auto"/>
                <w:kern w:val="2"/>
                <w:sz w:val="24"/>
                <w:szCs w:val="24"/>
                <w:lang w:val="en-US" w:eastAsia="zh-CN" w:bidi="ar-SA"/>
              </w:rPr>
              <w:t>进行土石方</w:t>
            </w:r>
            <w:r>
              <w:rPr>
                <w:rFonts w:hint="default" w:ascii="Times New Roman" w:hAnsi="Times New Roman" w:eastAsia="宋体" w:cs="Times New Roman"/>
                <w:color w:val="auto"/>
                <w:kern w:val="2"/>
                <w:sz w:val="24"/>
                <w:szCs w:val="24"/>
                <w:lang w:val="en-US" w:eastAsia="zh-CN" w:bidi="ar-SA"/>
              </w:rPr>
              <w:t>开挖</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回填</w:t>
            </w:r>
            <w:r>
              <w:rPr>
                <w:rFonts w:hint="eastAsia" w:ascii="Times New Roman" w:hAnsi="Times New Roman" w:eastAsia="宋体" w:cs="Times New Roman"/>
                <w:color w:val="auto"/>
                <w:kern w:val="2"/>
                <w:sz w:val="24"/>
                <w:szCs w:val="24"/>
                <w:lang w:val="en-US" w:eastAsia="zh-CN" w:bidi="ar-SA"/>
              </w:rPr>
              <w:t>。2022年</w:t>
            </w:r>
            <w:r>
              <w:rPr>
                <w:rFonts w:hint="eastAsia" w:cs="Times New Roman"/>
                <w:color w:val="auto"/>
                <w:kern w:val="2"/>
                <w:sz w:val="24"/>
                <w:szCs w:val="24"/>
                <w:lang w:val="en-US" w:eastAsia="zh-CN" w:bidi="ar-SA"/>
              </w:rPr>
              <w:t>7</w:t>
            </w:r>
            <w:r>
              <w:rPr>
                <w:rFonts w:hint="eastAsia" w:ascii="Times New Roman" w:hAnsi="Times New Roman" w:eastAsia="宋体" w:cs="Times New Roman"/>
                <w:color w:val="auto"/>
                <w:kern w:val="2"/>
                <w:sz w:val="24"/>
                <w:szCs w:val="24"/>
                <w:lang w:val="en-US" w:eastAsia="zh-CN" w:bidi="ar-SA"/>
              </w:rPr>
              <w:t>月开工，项目为旱季施工</w:t>
            </w:r>
            <w:r>
              <w:rPr>
                <w:rFonts w:hint="default" w:ascii="Times New Roman" w:hAnsi="Times New Roman" w:eastAsia="宋体" w:cs="Times New Roman"/>
                <w:color w:val="auto"/>
                <w:kern w:val="2"/>
                <w:sz w:val="24"/>
                <w:szCs w:val="24"/>
                <w:lang w:val="en-US" w:eastAsia="zh-CN" w:bidi="ar-SA"/>
              </w:rPr>
              <w:t>。</w:t>
            </w: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②</w:t>
            </w:r>
            <w:r>
              <w:rPr>
                <w:rFonts w:hint="eastAsia" w:ascii="Times New Roman" w:hAnsi="Times New Roman" w:eastAsia="宋体" w:cs="Times New Roman"/>
                <w:color w:val="auto"/>
                <w:kern w:val="2"/>
                <w:sz w:val="24"/>
                <w:szCs w:val="24"/>
                <w:lang w:val="en-US" w:eastAsia="zh-CN" w:bidi="ar-SA"/>
              </w:rPr>
              <w:t>根据项目用地周边道路情况，充分</w:t>
            </w:r>
            <w:r>
              <w:rPr>
                <w:rFonts w:hint="default" w:ascii="Times New Roman" w:hAnsi="Times New Roman" w:eastAsia="宋体" w:cs="Times New Roman"/>
                <w:color w:val="auto"/>
                <w:kern w:val="2"/>
                <w:sz w:val="24"/>
                <w:szCs w:val="24"/>
                <w:lang w:val="en-US" w:eastAsia="zh-CN" w:bidi="ar-SA"/>
              </w:rPr>
              <w:t>利用现有</w:t>
            </w:r>
            <w:r>
              <w:rPr>
                <w:rFonts w:hint="eastAsia" w:ascii="Times New Roman" w:hAnsi="Times New Roman" w:eastAsia="宋体" w:cs="Times New Roman"/>
                <w:color w:val="auto"/>
                <w:kern w:val="2"/>
                <w:sz w:val="24"/>
                <w:szCs w:val="24"/>
                <w:lang w:val="en-US" w:eastAsia="zh-CN" w:bidi="ar-SA"/>
              </w:rPr>
              <w:t>乡村</w:t>
            </w:r>
            <w:r>
              <w:rPr>
                <w:rFonts w:hint="default" w:ascii="Times New Roman" w:hAnsi="Times New Roman" w:eastAsia="宋体" w:cs="Times New Roman"/>
                <w:color w:val="auto"/>
                <w:kern w:val="2"/>
                <w:sz w:val="24"/>
                <w:szCs w:val="24"/>
                <w:lang w:val="en-US" w:eastAsia="zh-CN" w:bidi="ar-SA"/>
              </w:rPr>
              <w:t>道路施工，施工车辆严格按规定行车路线通行，</w:t>
            </w:r>
            <w:r>
              <w:rPr>
                <w:rFonts w:hint="eastAsia" w:ascii="Times New Roman" w:hAnsi="Times New Roman" w:eastAsia="宋体" w:cs="Times New Roman"/>
                <w:color w:val="auto"/>
                <w:kern w:val="2"/>
                <w:sz w:val="24"/>
                <w:szCs w:val="24"/>
                <w:lang w:val="en-US" w:eastAsia="zh-CN" w:bidi="ar-SA"/>
              </w:rPr>
              <w:t>没有对</w:t>
            </w:r>
            <w:r>
              <w:rPr>
                <w:rFonts w:hint="eastAsia" w:cs="Times New Roman"/>
                <w:color w:val="auto"/>
                <w:kern w:val="2"/>
                <w:sz w:val="24"/>
                <w:szCs w:val="24"/>
                <w:lang w:val="en-US" w:eastAsia="zh-CN" w:bidi="ar-SA"/>
              </w:rPr>
              <w:t>马头地</w:t>
            </w:r>
            <w:r>
              <w:rPr>
                <w:rFonts w:hint="eastAsia" w:ascii="Times New Roman" w:hAnsi="Times New Roman" w:eastAsia="宋体" w:cs="Times New Roman"/>
                <w:color w:val="auto"/>
                <w:kern w:val="2"/>
                <w:sz w:val="24"/>
                <w:szCs w:val="24"/>
                <w:lang w:val="en-US" w:eastAsia="zh-CN" w:bidi="ar-SA"/>
              </w:rPr>
              <w:t>用地进行</w:t>
            </w:r>
            <w:r>
              <w:rPr>
                <w:rFonts w:hint="default" w:ascii="Times New Roman" w:hAnsi="Times New Roman" w:eastAsia="宋体" w:cs="Times New Roman"/>
                <w:color w:val="auto"/>
                <w:kern w:val="2"/>
                <w:sz w:val="24"/>
                <w:szCs w:val="24"/>
                <w:lang w:val="en-US" w:eastAsia="zh-CN" w:bidi="ar-SA"/>
              </w:rPr>
              <w:t>随意碾压，践踏道路外土地，破坏原有地表植被。</w:t>
            </w:r>
          </w:p>
          <w:p>
            <w:pPr>
              <w:widowControl w:val="0"/>
              <w:spacing w:beforeLines="0" w:afterLines="0" w:line="360" w:lineRule="auto"/>
              <w:ind w:firstLine="482"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2、植物保护措施</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 xml:space="preserve">）项目做到了严格控制施工活动区域，在规定的作业范围内活动。 </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 xml:space="preserve">）已对对施工人员进行了宣传教育，施工期没有破坏占地以外的植被。 </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）对施工表土进行集中堆存，边施工边回填。</w:t>
            </w:r>
          </w:p>
          <w:p>
            <w:pPr>
              <w:widowControl w:val="0"/>
              <w:spacing w:beforeLines="0" w:afterLines="0" w:line="360" w:lineRule="auto"/>
              <w:ind w:firstLine="482" w:firstLineChars="200"/>
              <w:jc w:val="both"/>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3、动物保护措施</w:t>
            </w:r>
          </w:p>
          <w:p>
            <w:pPr>
              <w:widowControl w:val="0"/>
              <w:spacing w:beforeLines="0" w:afterLines="0"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施工期间，对施工人员和管理人员</w:t>
            </w:r>
            <w:r>
              <w:rPr>
                <w:rFonts w:hint="eastAsia" w:ascii="Times New Roman" w:hAnsi="Times New Roman" w:eastAsia="宋体" w:cs="Times New Roman"/>
                <w:color w:val="auto"/>
                <w:kern w:val="2"/>
                <w:sz w:val="24"/>
                <w:szCs w:val="24"/>
                <w:lang w:val="en-US" w:eastAsia="zh-CN" w:bidi="ar-SA"/>
              </w:rPr>
              <w:t>做到严格</w:t>
            </w:r>
            <w:r>
              <w:rPr>
                <w:rFonts w:hint="default" w:ascii="Times New Roman" w:hAnsi="Times New Roman" w:eastAsia="宋体" w:cs="Times New Roman"/>
                <w:color w:val="auto"/>
                <w:kern w:val="2"/>
                <w:sz w:val="24"/>
                <w:szCs w:val="24"/>
                <w:lang w:val="en-US" w:eastAsia="zh-CN" w:bidi="ar-SA"/>
              </w:rPr>
              <w:t>教育，</w:t>
            </w:r>
            <w:r>
              <w:rPr>
                <w:rFonts w:hint="eastAsia" w:ascii="Times New Roman" w:hAnsi="Times New Roman" w:eastAsia="宋体" w:cs="Times New Roman"/>
                <w:color w:val="auto"/>
                <w:kern w:val="2"/>
                <w:sz w:val="24"/>
                <w:szCs w:val="24"/>
                <w:lang w:val="en-US" w:eastAsia="zh-CN" w:bidi="ar-SA"/>
              </w:rPr>
              <w:t>未发现施工人员</w:t>
            </w:r>
            <w:r>
              <w:rPr>
                <w:rFonts w:hint="default" w:ascii="Times New Roman" w:hAnsi="Times New Roman" w:eastAsia="宋体" w:cs="Times New Roman"/>
                <w:color w:val="auto"/>
                <w:kern w:val="2"/>
                <w:sz w:val="24"/>
                <w:szCs w:val="24"/>
                <w:lang w:val="en-US" w:eastAsia="zh-CN" w:bidi="ar-SA"/>
              </w:rPr>
              <w:t>对各类野生动物乱捕乱杀</w:t>
            </w:r>
            <w:r>
              <w:rPr>
                <w:rFonts w:hint="eastAsia" w:ascii="Times New Roman" w:hAnsi="Times New Roman" w:eastAsia="宋体" w:cs="Times New Roman"/>
                <w:color w:val="auto"/>
                <w:kern w:val="2"/>
                <w:sz w:val="24"/>
                <w:szCs w:val="24"/>
                <w:lang w:val="en-US" w:eastAsia="zh-CN" w:bidi="ar-SA"/>
              </w:rPr>
              <w:t>。</w:t>
            </w:r>
          </w:p>
          <w:p>
            <w:pPr>
              <w:widowControl w:val="0"/>
              <w:spacing w:beforeLines="0" w:afterLines="0" w:line="360" w:lineRule="auto"/>
              <w:ind w:firstLine="482" w:firstLineChars="200"/>
              <w:jc w:val="both"/>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4、水土流失保护措施</w:t>
            </w:r>
          </w:p>
          <w:p>
            <w:pPr>
              <w:pStyle w:val="1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color w:val="auto"/>
                <w:lang w:val="en-US" w:eastAsia="zh-CN"/>
              </w:rPr>
            </w:pPr>
            <w:r>
              <w:rPr>
                <w:rFonts w:hint="eastAsia" w:ascii="Times New Roman" w:hAnsi="Times New Roman" w:eastAsia="宋体" w:cs="Times New Roman"/>
                <w:color w:val="auto"/>
                <w:kern w:val="2"/>
                <w:sz w:val="24"/>
                <w:szCs w:val="24"/>
                <w:lang w:val="en-US" w:eastAsia="zh-CN" w:bidi="ar-SA"/>
              </w:rPr>
              <w:t>工程建设过程中应严格落实水土保持方案提出的各项措施，尽量减少水土流失。弃渣、临时表土堆存严格按照“先挡后弃”原则执行；光伏场区、升压站、各施工临时营场地建设已先挖设截排水沟。</w:t>
            </w:r>
          </w:p>
          <w:p>
            <w:pPr>
              <w:widowControl w:val="0"/>
              <w:spacing w:beforeLines="0" w:afterLines="0" w:line="360" w:lineRule="auto"/>
              <w:ind w:firstLine="482" w:firstLineChars="200"/>
              <w:jc w:val="both"/>
              <w:rPr>
                <w:rFonts w:hint="default" w:ascii="Times New Roman" w:hAnsi="Times New Roman" w:eastAsia="宋体" w:cs="Times New Roman"/>
                <w:b/>
                <w:color w:val="auto"/>
                <w:kern w:val="2"/>
                <w:sz w:val="24"/>
                <w:szCs w:val="24"/>
                <w:highlight w:val="none"/>
                <w:lang w:val="en-US" w:eastAsia="zh-CN" w:bidi="ar-SA"/>
              </w:rPr>
            </w:pPr>
            <w:r>
              <w:rPr>
                <w:rFonts w:hint="eastAsia" w:cs="Times New Roman"/>
                <w:b/>
                <w:color w:val="auto"/>
                <w:kern w:val="2"/>
                <w:sz w:val="24"/>
                <w:szCs w:val="24"/>
                <w:highlight w:val="none"/>
                <w:lang w:val="en-US" w:eastAsia="zh-CN" w:bidi="ar-SA"/>
              </w:rPr>
              <w:t>5.1.2</w:t>
            </w:r>
            <w:r>
              <w:rPr>
                <w:rFonts w:hint="default" w:ascii="Times New Roman" w:hAnsi="Times New Roman" w:eastAsia="宋体" w:cs="Times New Roman"/>
                <w:b/>
                <w:color w:val="auto"/>
                <w:kern w:val="2"/>
                <w:sz w:val="24"/>
                <w:szCs w:val="24"/>
                <w:highlight w:val="none"/>
                <w:lang w:val="en-US" w:eastAsia="zh-CN" w:bidi="ar-SA"/>
              </w:rPr>
              <w:t>施工期大气环境污染防治措施</w:t>
            </w: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）配置了</w:t>
            </w:r>
            <w:r>
              <w:rPr>
                <w:rFonts w:hint="eastAsia"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辆洒水车，对片区进行间断性洒水降尘，在施工场地安排施工人员定期对施工场地洒水以减少扬尘量。</w:t>
            </w: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（2）运输车辆采取了篷布遮盖等封闭措施；运输车辆经过村庄路段减速行驶。 </w:t>
            </w: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（3）混凝土拌和站布置的位置远离村庄居民点。</w:t>
            </w: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4）建设单位制定了专人负责施工现场扬尘污染措施的实施和监督。施工工地出入口设立了环境保护监督牌。注明项目名称、建设单位、施工单位、防治扬尘污染现场监督员姓名和联系电话、项目工程、生态环境措施、举报电话等内容。</w:t>
            </w:r>
          </w:p>
          <w:p>
            <w:pPr>
              <w:widowControl w:val="0"/>
              <w:spacing w:beforeLines="0" w:afterLines="0" w:line="360" w:lineRule="auto"/>
              <w:ind w:firstLine="482" w:firstLineChars="200"/>
              <w:jc w:val="both"/>
              <w:rPr>
                <w:rFonts w:hint="default" w:ascii="Times New Roman" w:hAnsi="Times New Roman" w:eastAsia="宋体" w:cs="Times New Roman"/>
                <w:b/>
                <w:color w:val="auto"/>
                <w:kern w:val="2"/>
                <w:sz w:val="24"/>
                <w:szCs w:val="24"/>
                <w:lang w:val="en-US" w:eastAsia="zh-CN" w:bidi="ar-SA"/>
              </w:rPr>
            </w:pPr>
            <w:r>
              <w:rPr>
                <w:rFonts w:hint="eastAsia" w:cs="Times New Roman"/>
                <w:b/>
                <w:color w:val="auto"/>
                <w:kern w:val="2"/>
                <w:sz w:val="24"/>
                <w:szCs w:val="24"/>
                <w:lang w:val="en-US" w:eastAsia="zh-CN" w:bidi="ar-SA"/>
              </w:rPr>
              <w:t>5.1.3</w:t>
            </w:r>
            <w:r>
              <w:rPr>
                <w:rFonts w:hint="default" w:ascii="Times New Roman" w:hAnsi="Times New Roman" w:eastAsia="宋体" w:cs="Times New Roman"/>
                <w:b/>
                <w:color w:val="auto"/>
                <w:kern w:val="2"/>
                <w:sz w:val="24"/>
                <w:szCs w:val="24"/>
                <w:lang w:val="en-US" w:eastAsia="zh-CN" w:bidi="ar-SA"/>
              </w:rPr>
              <w:t>施工期水环境污染防治措施</w:t>
            </w:r>
          </w:p>
          <w:p>
            <w:pPr>
              <w:widowControl w:val="0"/>
              <w:spacing w:beforeLines="0" w:afterLines="0"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（1）在升压站及光伏板区施工区设置3座2</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eastAsia" w:ascii="Times New Roman" w:hAnsi="Times New Roman" w:eastAsia="宋体" w:cs="Times New Roman"/>
                <w:color w:val="auto"/>
                <w:kern w:val="2"/>
                <w:sz w:val="24"/>
                <w:szCs w:val="24"/>
                <w:lang w:val="en-US" w:eastAsia="zh-CN" w:bidi="ar-SA"/>
              </w:rPr>
              <w:t>的收集桶、1座2</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eastAsia" w:ascii="Times New Roman" w:hAnsi="Times New Roman" w:eastAsia="宋体" w:cs="Times New Roman"/>
                <w:color w:val="auto"/>
                <w:kern w:val="2"/>
                <w:sz w:val="24"/>
                <w:szCs w:val="24"/>
                <w:lang w:val="en-US" w:eastAsia="zh-CN" w:bidi="ar-SA"/>
              </w:rPr>
              <w:t>的临时沉淀池，用于施工处理废水，产生的废水经沉淀处理后，全部回用于施工用水及场地洒水降尘，不外排。</w:t>
            </w:r>
          </w:p>
          <w:p>
            <w:pPr>
              <w:widowControl w:val="0"/>
              <w:spacing w:beforeLines="0" w:afterLines="0"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（2）在混凝土拌和系统设置3座2</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eastAsia" w:ascii="Times New Roman" w:hAnsi="Times New Roman" w:eastAsia="宋体" w:cs="Times New Roman"/>
                <w:color w:val="auto"/>
                <w:kern w:val="2"/>
                <w:sz w:val="24"/>
                <w:szCs w:val="24"/>
                <w:lang w:val="en-US" w:eastAsia="zh-CN" w:bidi="ar-SA"/>
              </w:rPr>
              <w:t>的收集桶、1座2</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eastAsia" w:ascii="Times New Roman" w:hAnsi="Times New Roman" w:eastAsia="宋体" w:cs="Times New Roman"/>
                <w:color w:val="auto"/>
                <w:kern w:val="2"/>
                <w:sz w:val="24"/>
                <w:szCs w:val="24"/>
                <w:lang w:val="en-US" w:eastAsia="zh-CN" w:bidi="ar-SA"/>
              </w:rPr>
              <w:t>的临时沉淀池，拌和站转筒和料罐冲洗废水经收集处理后，循环回用到拌和工序，废水没有外排。</w:t>
            </w:r>
          </w:p>
          <w:p>
            <w:pPr>
              <w:widowControl w:val="0"/>
              <w:spacing w:beforeLines="0" w:afterLines="0"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（3）光伏场区施工营地附近设了旱厕一座，粪尿污水进入旱厕，旱厕定期清掏，全部用于周边农用施肥，不外排。</w:t>
            </w:r>
          </w:p>
          <w:p>
            <w:pPr>
              <w:widowControl w:val="0"/>
              <w:spacing w:beforeLines="0" w:afterLines="0" w:line="360" w:lineRule="auto"/>
              <w:ind w:firstLine="482" w:firstLineChars="200"/>
              <w:jc w:val="both"/>
              <w:rPr>
                <w:rFonts w:hint="default" w:ascii="Times New Roman" w:hAnsi="Times New Roman" w:eastAsia="宋体" w:cs="Times New Roman"/>
                <w:color w:val="auto"/>
                <w:kern w:val="2"/>
                <w:sz w:val="24"/>
                <w:szCs w:val="24"/>
                <w:lang w:val="en-US" w:eastAsia="zh-CN" w:bidi="ar-SA"/>
              </w:rPr>
            </w:pPr>
            <w:r>
              <w:rPr>
                <w:rFonts w:hint="eastAsia" w:cs="Times New Roman"/>
                <w:b/>
                <w:color w:val="auto"/>
                <w:kern w:val="2"/>
                <w:sz w:val="24"/>
                <w:szCs w:val="24"/>
                <w:lang w:val="en-US" w:eastAsia="zh-CN" w:bidi="ar-SA"/>
              </w:rPr>
              <w:t>5.1.4</w:t>
            </w:r>
            <w:r>
              <w:rPr>
                <w:rFonts w:hint="default" w:ascii="Times New Roman" w:hAnsi="Times New Roman" w:eastAsia="宋体" w:cs="Times New Roman"/>
                <w:b/>
                <w:color w:val="auto"/>
                <w:kern w:val="2"/>
                <w:sz w:val="24"/>
                <w:szCs w:val="24"/>
                <w:lang w:val="en-US" w:eastAsia="zh-CN" w:bidi="ar-SA"/>
              </w:rPr>
              <w:t>施工期声环境污染防治措施</w:t>
            </w:r>
          </w:p>
          <w:p>
            <w:pPr>
              <w:widowControl w:val="0"/>
              <w:spacing w:beforeLines="0" w:afterLines="0"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（1）选用性能良好的低噪声施工机械设备，施工机械的维修、管理，保证施工机械处于低噪声、高效率的良好工作状态。</w:t>
            </w:r>
          </w:p>
          <w:p>
            <w:pPr>
              <w:widowControl w:val="0"/>
              <w:spacing w:beforeLines="0" w:afterLines="0"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（2）施工期运输车辆车况良好，合理调度，做到匀速慢行。</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both"/>
              <w:textAlignment w:val="auto"/>
              <w:rPr>
                <w:rFonts w:hint="default" w:ascii="Times New Roman" w:hAnsi="Times New Roman" w:eastAsia="宋体" w:cs="Times New Roman"/>
                <w:b/>
                <w:color w:val="auto"/>
                <w:kern w:val="2"/>
                <w:sz w:val="24"/>
                <w:szCs w:val="24"/>
                <w:lang w:val="en-US" w:eastAsia="zh-CN" w:bidi="ar-SA"/>
              </w:rPr>
            </w:pPr>
            <w:r>
              <w:rPr>
                <w:rFonts w:hint="eastAsia" w:cs="Times New Roman"/>
                <w:b/>
                <w:color w:val="auto"/>
                <w:kern w:val="2"/>
                <w:sz w:val="24"/>
                <w:szCs w:val="24"/>
                <w:lang w:val="en-US" w:eastAsia="zh-CN" w:bidi="ar-SA"/>
              </w:rPr>
              <w:t>5.1.5</w:t>
            </w:r>
            <w:r>
              <w:rPr>
                <w:rFonts w:hint="default" w:ascii="Times New Roman" w:hAnsi="Times New Roman" w:eastAsia="宋体" w:cs="Times New Roman"/>
                <w:b/>
                <w:color w:val="auto"/>
                <w:kern w:val="2"/>
                <w:sz w:val="24"/>
                <w:szCs w:val="24"/>
                <w:lang w:val="en-US" w:eastAsia="zh-CN" w:bidi="ar-SA"/>
              </w:rPr>
              <w:t>施工期固体废物污染防治措施</w:t>
            </w: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（1）施工场地内设置了1个占地150m</w:t>
            </w:r>
            <w:r>
              <w:rPr>
                <w:rFonts w:hint="eastAsia" w:ascii="Times New Roman" w:hAnsi="Times New Roman" w:eastAsia="宋体" w:cs="Times New Roman"/>
                <w:color w:val="auto"/>
                <w:kern w:val="2"/>
                <w:sz w:val="24"/>
                <w:szCs w:val="24"/>
                <w:vertAlign w:val="superscript"/>
                <w:lang w:val="en-US" w:eastAsia="zh-CN" w:bidi="ar-SA"/>
              </w:rPr>
              <w:t>2</w:t>
            </w:r>
            <w:r>
              <w:rPr>
                <w:rFonts w:hint="eastAsia" w:ascii="Times New Roman" w:hAnsi="Times New Roman" w:eastAsia="宋体" w:cs="Times New Roman"/>
                <w:color w:val="auto"/>
                <w:kern w:val="2"/>
                <w:sz w:val="24"/>
                <w:szCs w:val="24"/>
                <w:lang w:val="en-US" w:eastAsia="zh-CN" w:bidi="ar-SA"/>
              </w:rPr>
              <w:t>的建筑垃圾临时堆放点对建筑垃圾分类收集暂时堆放，</w:t>
            </w:r>
            <w:r>
              <w:rPr>
                <w:rFonts w:hint="default" w:ascii="Times New Roman" w:hAnsi="Times New Roman" w:eastAsia="宋体" w:cs="Times New Roman"/>
                <w:color w:val="auto"/>
                <w:kern w:val="2"/>
                <w:sz w:val="24"/>
                <w:szCs w:val="24"/>
                <w:lang w:val="en-US" w:eastAsia="zh-CN" w:bidi="ar-SA"/>
              </w:rPr>
              <w:t>建筑垃圾分类收集，可回收利用的</w:t>
            </w:r>
            <w:r>
              <w:rPr>
                <w:rFonts w:hint="eastAsia" w:ascii="Times New Roman" w:hAnsi="Times New Roman" w:eastAsia="宋体" w:cs="Times New Roman"/>
                <w:color w:val="auto"/>
                <w:kern w:val="2"/>
                <w:sz w:val="24"/>
                <w:szCs w:val="24"/>
                <w:lang w:val="en-US" w:eastAsia="zh-CN" w:bidi="ar-SA"/>
              </w:rPr>
              <w:t>已</w:t>
            </w:r>
            <w:r>
              <w:rPr>
                <w:rFonts w:hint="default" w:ascii="Times New Roman" w:hAnsi="Times New Roman" w:eastAsia="宋体" w:cs="Times New Roman"/>
                <w:color w:val="auto"/>
                <w:kern w:val="2"/>
                <w:sz w:val="24"/>
                <w:szCs w:val="24"/>
                <w:lang w:val="en-US" w:eastAsia="zh-CN" w:bidi="ar-SA"/>
              </w:rPr>
              <w:t>外售相应收购商，不可回收部分</w:t>
            </w:r>
            <w:r>
              <w:rPr>
                <w:rFonts w:hint="eastAsia" w:ascii="Times New Roman" w:hAnsi="Times New Roman" w:eastAsia="宋体" w:cs="Times New Roman"/>
                <w:color w:val="auto"/>
                <w:kern w:val="2"/>
                <w:sz w:val="24"/>
                <w:szCs w:val="24"/>
                <w:lang w:val="en-US" w:eastAsia="zh-CN" w:bidi="ar-SA"/>
              </w:rPr>
              <w:t>运至建筑部门指定地点堆放</w:t>
            </w:r>
            <w:r>
              <w:rPr>
                <w:rFonts w:hint="default" w:ascii="Times New Roman" w:hAnsi="Times New Roman" w:eastAsia="宋体" w:cs="Times New Roman"/>
                <w:color w:val="auto"/>
                <w:kern w:val="2"/>
                <w:sz w:val="24"/>
                <w:szCs w:val="24"/>
                <w:lang w:val="en-US" w:eastAsia="zh-CN" w:bidi="ar-SA"/>
              </w:rPr>
              <w:t>。</w:t>
            </w: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施工现场设置</w:t>
            </w:r>
            <w:r>
              <w:rPr>
                <w:rFonts w:hint="eastAsia" w:ascii="Times New Roman" w:hAnsi="Times New Roman" w:eastAsia="宋体" w:cs="Times New Roman"/>
                <w:color w:val="auto"/>
                <w:kern w:val="2"/>
                <w:sz w:val="24"/>
                <w:szCs w:val="24"/>
                <w:lang w:val="en-US" w:eastAsia="zh-CN" w:bidi="ar-SA"/>
              </w:rPr>
              <w:t>了</w:t>
            </w:r>
            <w:r>
              <w:rPr>
                <w:rFonts w:hint="default" w:ascii="Times New Roman" w:hAnsi="Times New Roman" w:eastAsia="宋体" w:cs="Times New Roman"/>
                <w:color w:val="auto"/>
                <w:kern w:val="2"/>
                <w:sz w:val="24"/>
                <w:szCs w:val="24"/>
                <w:lang w:val="en-US" w:eastAsia="zh-CN" w:bidi="ar-SA"/>
              </w:rPr>
              <w:t>临时垃圾桶收集</w:t>
            </w:r>
            <w:r>
              <w:rPr>
                <w:rFonts w:hint="eastAsia" w:ascii="Times New Roman" w:hAnsi="Times New Roman" w:eastAsia="宋体" w:cs="Times New Roman"/>
                <w:color w:val="auto"/>
                <w:kern w:val="2"/>
                <w:sz w:val="24"/>
                <w:szCs w:val="24"/>
                <w:lang w:val="en-US" w:eastAsia="zh-CN" w:bidi="ar-SA"/>
              </w:rPr>
              <w:t>生活垃圾</w:t>
            </w:r>
            <w:r>
              <w:rPr>
                <w:rFonts w:hint="default" w:ascii="Times New Roman" w:hAnsi="Times New Roman" w:eastAsia="宋体" w:cs="Times New Roman"/>
                <w:color w:val="auto"/>
                <w:kern w:val="2"/>
                <w:sz w:val="24"/>
                <w:szCs w:val="24"/>
                <w:lang w:val="en-US" w:eastAsia="zh-CN" w:bidi="ar-SA"/>
              </w:rPr>
              <w:t>，定期统一清运</w:t>
            </w:r>
            <w:r>
              <w:rPr>
                <w:rFonts w:hint="eastAsia" w:ascii="Times New Roman" w:hAnsi="Times New Roman" w:eastAsia="宋体" w:cs="Times New Roman"/>
                <w:color w:val="auto"/>
                <w:kern w:val="2"/>
                <w:sz w:val="24"/>
                <w:szCs w:val="24"/>
                <w:lang w:val="en-US" w:eastAsia="zh-CN" w:bidi="ar-SA"/>
              </w:rPr>
              <w:t>至白衣村</w:t>
            </w:r>
            <w:r>
              <w:rPr>
                <w:rFonts w:hint="default" w:ascii="Times New Roman" w:hAnsi="Times New Roman" w:eastAsia="宋体" w:cs="Times New Roman"/>
                <w:color w:val="auto"/>
                <w:kern w:val="2"/>
                <w:sz w:val="24"/>
                <w:szCs w:val="24"/>
                <w:lang w:val="en-US" w:eastAsia="zh-CN" w:bidi="ar-SA"/>
              </w:rPr>
              <w:t>统一垃圾收集处置点进行处理。</w:t>
            </w: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设置</w:t>
            </w:r>
            <w:r>
              <w:rPr>
                <w:rFonts w:hint="eastAsia" w:ascii="Times New Roman" w:hAnsi="Times New Roman" w:eastAsia="宋体" w:cs="Times New Roman"/>
                <w:color w:val="auto"/>
                <w:kern w:val="2"/>
                <w:sz w:val="24"/>
                <w:szCs w:val="24"/>
                <w:lang w:val="en-US" w:eastAsia="zh-CN" w:bidi="ar-SA"/>
              </w:rPr>
              <w:t>了</w:t>
            </w:r>
            <w:r>
              <w:rPr>
                <w:rFonts w:hint="default" w:ascii="Times New Roman" w:hAnsi="Times New Roman" w:eastAsia="宋体" w:cs="Times New Roman"/>
                <w:color w:val="auto"/>
                <w:kern w:val="2"/>
                <w:sz w:val="24"/>
                <w:szCs w:val="24"/>
                <w:lang w:val="en-US" w:eastAsia="zh-CN" w:bidi="ar-SA"/>
              </w:rPr>
              <w:t>临时旱厕收集的粪便，</w:t>
            </w:r>
            <w:r>
              <w:rPr>
                <w:rFonts w:hint="eastAsia" w:ascii="Times New Roman" w:hAnsi="Times New Roman" w:eastAsia="宋体" w:cs="Times New Roman"/>
                <w:color w:val="auto"/>
                <w:kern w:val="2"/>
                <w:sz w:val="24"/>
                <w:szCs w:val="24"/>
                <w:lang w:val="en-US" w:eastAsia="zh-CN" w:bidi="ar-SA"/>
              </w:rPr>
              <w:t>目前还未</w:t>
            </w:r>
            <w:r>
              <w:rPr>
                <w:rFonts w:hint="default" w:ascii="Times New Roman" w:hAnsi="Times New Roman" w:eastAsia="宋体" w:cs="Times New Roman"/>
                <w:color w:val="auto"/>
                <w:kern w:val="2"/>
                <w:sz w:val="24"/>
                <w:szCs w:val="24"/>
                <w:lang w:val="en-US" w:eastAsia="zh-CN" w:bidi="ar-SA"/>
              </w:rPr>
              <w:t>清掏处理。</w:t>
            </w:r>
          </w:p>
          <w:p>
            <w:pPr>
              <w:widowControl w:val="0"/>
              <w:spacing w:beforeLines="0" w:afterLines="0" w:line="360" w:lineRule="auto"/>
              <w:ind w:firstLine="480" w:firstLineChars="200"/>
              <w:jc w:val="both"/>
              <w:rPr>
                <w:rFonts w:hint="eastAsia"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（4）边开挖边回填</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无弃方产生。</w:t>
            </w:r>
          </w:p>
          <w:p>
            <w:pPr>
              <w:widowControl w:val="0"/>
              <w:spacing w:beforeLines="0" w:afterLines="0" w:line="360" w:lineRule="auto"/>
              <w:ind w:firstLine="482" w:firstLineChars="200"/>
              <w:jc w:val="both"/>
              <w:rPr>
                <w:rFonts w:hint="eastAsia"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sz w:val="24"/>
                <w:lang w:val="en-US" w:eastAsia="zh-CN"/>
              </w:rPr>
              <w:t>5.2</w:t>
            </w:r>
            <w:r>
              <w:rPr>
                <w:rFonts w:hint="eastAsia" w:ascii="Times New Roman" w:hAnsi="Times New Roman" w:eastAsia="宋体" w:cs="Times New Roman"/>
                <w:b/>
                <w:color w:val="auto"/>
                <w:kern w:val="2"/>
                <w:sz w:val="24"/>
                <w:szCs w:val="24"/>
                <w:lang w:val="en-US" w:eastAsia="zh-CN" w:bidi="ar-SA"/>
              </w:rPr>
              <w:t>后续</w:t>
            </w:r>
            <w:r>
              <w:rPr>
                <w:rFonts w:hint="default" w:ascii="Times New Roman" w:hAnsi="Times New Roman" w:eastAsia="宋体" w:cs="Times New Roman"/>
                <w:b/>
                <w:color w:val="auto"/>
                <w:kern w:val="2"/>
                <w:sz w:val="24"/>
                <w:szCs w:val="24"/>
                <w:lang w:val="en-US" w:eastAsia="zh-CN" w:bidi="ar-SA"/>
              </w:rPr>
              <w:t>施工期</w:t>
            </w:r>
            <w:r>
              <w:rPr>
                <w:rFonts w:hint="eastAsia" w:ascii="Times New Roman" w:hAnsi="Times New Roman" w:eastAsia="宋体" w:cs="Times New Roman"/>
                <w:b/>
                <w:color w:val="auto"/>
                <w:kern w:val="2"/>
                <w:sz w:val="24"/>
                <w:szCs w:val="24"/>
                <w:lang w:val="en-US" w:eastAsia="zh-CN" w:bidi="ar-SA"/>
              </w:rPr>
              <w:t>防护措施</w:t>
            </w:r>
          </w:p>
          <w:p>
            <w:pPr>
              <w:widowControl w:val="0"/>
              <w:spacing w:beforeLines="0" w:afterLines="0" w:line="360" w:lineRule="auto"/>
              <w:ind w:firstLine="482" w:firstLineChars="200"/>
              <w:jc w:val="both"/>
              <w:rPr>
                <w:rFonts w:hint="default" w:ascii="Times New Roman" w:hAnsi="Times New Roman" w:eastAsia="宋体" w:cs="Times New Roman"/>
                <w:b/>
                <w:color w:val="auto"/>
                <w:kern w:val="2"/>
                <w:sz w:val="24"/>
                <w:szCs w:val="24"/>
                <w:lang w:val="en-US" w:eastAsia="zh-CN" w:bidi="ar-SA"/>
              </w:rPr>
            </w:pPr>
            <w:r>
              <w:rPr>
                <w:rFonts w:hint="eastAsia" w:cs="Times New Roman"/>
                <w:b/>
                <w:color w:val="auto"/>
                <w:kern w:val="2"/>
                <w:sz w:val="24"/>
                <w:szCs w:val="24"/>
                <w:lang w:val="en-US" w:eastAsia="zh-CN" w:bidi="ar-SA"/>
              </w:rPr>
              <w:t>5.2.1</w:t>
            </w:r>
            <w:r>
              <w:rPr>
                <w:rFonts w:hint="eastAsia" w:ascii="Times New Roman" w:hAnsi="Times New Roman" w:eastAsia="宋体" w:cs="Times New Roman"/>
                <w:b/>
                <w:color w:val="auto"/>
                <w:kern w:val="2"/>
                <w:sz w:val="24"/>
                <w:szCs w:val="24"/>
                <w:lang w:val="en-US" w:eastAsia="zh-CN" w:bidi="ar-SA"/>
              </w:rPr>
              <w:t>施工期</w:t>
            </w:r>
            <w:r>
              <w:rPr>
                <w:rFonts w:hint="default" w:ascii="Times New Roman" w:hAnsi="Times New Roman" w:eastAsia="宋体" w:cs="Times New Roman"/>
                <w:b/>
                <w:color w:val="auto"/>
                <w:kern w:val="2"/>
                <w:sz w:val="24"/>
                <w:szCs w:val="24"/>
                <w:lang w:val="en-US" w:eastAsia="zh-CN" w:bidi="ar-SA"/>
              </w:rPr>
              <w:t>生态环境防治措施</w:t>
            </w:r>
          </w:p>
          <w:p>
            <w:pPr>
              <w:widowControl w:val="0"/>
              <w:spacing w:beforeLines="0" w:afterLines="0" w:line="360" w:lineRule="auto"/>
              <w:ind w:firstLine="482" w:firstLineChars="200"/>
              <w:jc w:val="both"/>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1、土壤保护措施</w:t>
            </w: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①</w:t>
            </w:r>
            <w:r>
              <w:rPr>
                <w:rFonts w:hint="default" w:ascii="Times New Roman" w:hAnsi="Times New Roman" w:eastAsia="宋体" w:cs="Times New Roman"/>
                <w:color w:val="auto"/>
                <w:kern w:val="2"/>
                <w:sz w:val="24"/>
                <w:szCs w:val="24"/>
                <w:lang w:val="en-US" w:eastAsia="zh-CN" w:bidi="ar-SA"/>
              </w:rPr>
              <w:t>施工中应加强施工管理，划定施工区域界限，在保证施工顺利进行的前提下，尽量缩小施工范围，明确临时作业区，尽量减少扰动面积。合理安排施工时间及工序，施工避开大风天气及雨季，开挖后土石方应及时回填。</w:t>
            </w: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②</w:t>
            </w:r>
            <w:r>
              <w:rPr>
                <w:rFonts w:hint="default" w:ascii="Times New Roman" w:hAnsi="Times New Roman" w:eastAsia="宋体" w:cs="Times New Roman"/>
                <w:color w:val="auto"/>
                <w:kern w:val="2"/>
                <w:sz w:val="24"/>
                <w:szCs w:val="24"/>
                <w:lang w:val="en-US" w:eastAsia="zh-CN" w:bidi="ar-SA"/>
              </w:rPr>
              <w:t>施工单位尽可能利用现有</w:t>
            </w:r>
            <w:r>
              <w:rPr>
                <w:rFonts w:hint="eastAsia" w:ascii="Times New Roman" w:hAnsi="Times New Roman" w:eastAsia="宋体" w:cs="Times New Roman"/>
                <w:color w:val="auto"/>
                <w:kern w:val="2"/>
                <w:sz w:val="24"/>
                <w:szCs w:val="24"/>
                <w:lang w:val="en-US" w:eastAsia="zh-CN" w:bidi="ar-SA"/>
              </w:rPr>
              <w:t>乡村</w:t>
            </w:r>
            <w:r>
              <w:rPr>
                <w:rFonts w:hint="default" w:ascii="Times New Roman" w:hAnsi="Times New Roman" w:eastAsia="宋体" w:cs="Times New Roman"/>
                <w:color w:val="auto"/>
                <w:kern w:val="2"/>
                <w:sz w:val="24"/>
                <w:szCs w:val="24"/>
                <w:lang w:val="en-US" w:eastAsia="zh-CN" w:bidi="ar-SA"/>
              </w:rPr>
              <w:t>道路施工，施工车辆应严格按规定行车路线通行，禁止随意碾压，践踏道路外土地，破坏原有地表植被。工程施工便道的设置应寻求与消森林防道路相结合的利用途径。</w:t>
            </w:r>
          </w:p>
          <w:p>
            <w:pPr>
              <w:widowControl w:val="0"/>
              <w:spacing w:beforeLines="0" w:afterLines="0" w:line="360" w:lineRule="auto"/>
              <w:ind w:firstLine="482"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2、植物保护措施</w:t>
            </w:r>
          </w:p>
          <w:p>
            <w:pPr>
              <w:widowControl w:val="0"/>
              <w:spacing w:beforeLines="0" w:afterLines="0" w:line="360" w:lineRule="auto"/>
              <w:ind w:firstLine="480" w:firstLineChars="200"/>
              <w:jc w:val="both"/>
              <w:rPr>
                <w:rFonts w:hint="default" w:ascii="宋体" w:hAnsi="宋体" w:eastAsia="宋体" w:cs="宋体"/>
                <w:color w:val="auto"/>
                <w:kern w:val="2"/>
                <w:sz w:val="24"/>
                <w:szCs w:val="24"/>
                <w:lang w:val="en-US" w:eastAsia="zh-CN" w:bidi="ar-SA"/>
              </w:rPr>
            </w:pP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val="en-US" w:eastAsia="zh-CN"/>
              </w:rPr>
              <w:t>）按照《云南省林业和草原局 云南省能源局关于进一步规范光伏复合项目使用林草地有关事项的通知》（云林规〔</w:t>
            </w:r>
            <w:r>
              <w:rPr>
                <w:rFonts w:hint="default" w:ascii="Times New Roman" w:hAnsi="Times New Roman" w:eastAsia="宋体" w:cs="Times New Roman"/>
                <w:color w:val="auto"/>
                <w:sz w:val="24"/>
                <w:lang w:val="en-US" w:eastAsia="zh-CN"/>
              </w:rPr>
              <w:t>2021</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 xml:space="preserve">5 </w:t>
            </w:r>
            <w:r>
              <w:rPr>
                <w:rFonts w:hint="eastAsia" w:ascii="Times New Roman" w:hAnsi="Times New Roman" w:eastAsia="宋体" w:cs="Times New Roman"/>
                <w:color w:val="auto"/>
                <w:sz w:val="24"/>
                <w:lang w:val="en-US" w:eastAsia="zh-CN"/>
              </w:rPr>
              <w:t>号）的规定，合理规划项目选址和用地要求，项目的生产区、生活区禁止使用天然乔木林地；施工期临时设施禁止使用乔木林地；电池组件阵列禁止使用疏林地、未成林造林地、采伐迹地、火烧迹地等，临时工程应尽可能利用永久占地。减少临时占地对植物的影响。项目临时占地需办理相关用地手续。严格控制施工活动区域，必须在规定的作业范围内活动。</w:t>
            </w:r>
          </w:p>
          <w:p>
            <w:pPr>
              <w:autoSpaceDE w:val="0"/>
              <w:autoSpaceDN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2）施工时应严格按划定的用地范围作业，禁止超范围占用土地和破坏植被。光伏场区除桩基等永久用地区域外，严禁硬化地面，施工时也应尽量控制作业面，减小对非永久占地之外区域的地表扰动，保护现有耕作层。施工车辆和各种设备应按规定的路线行驶，不得随意破坏道路和碾压道路范围外的植被。</w:t>
            </w:r>
          </w:p>
          <w:p>
            <w:pPr>
              <w:autoSpaceDE w:val="0"/>
              <w:autoSpaceDN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（3）加强对施工人员的环保宣传教育和监督管理，</w:t>
            </w:r>
            <w:r>
              <w:rPr>
                <w:rFonts w:ascii="Times New Roman" w:hAnsi="Times New Roman" w:eastAsia="宋体" w:cs="Times New Roman"/>
                <w:color w:val="auto"/>
                <w:sz w:val="24"/>
              </w:rPr>
              <w:t>将生态环境</w:t>
            </w:r>
            <w:r>
              <w:rPr>
                <w:rFonts w:hint="eastAsia" w:ascii="Times New Roman" w:hAnsi="Times New Roman" w:eastAsia="宋体" w:cs="Times New Roman"/>
                <w:color w:val="auto"/>
                <w:sz w:val="24"/>
              </w:rPr>
              <w:t>保护</w:t>
            </w:r>
            <w:r>
              <w:rPr>
                <w:rFonts w:ascii="Times New Roman" w:hAnsi="Times New Roman" w:eastAsia="宋体" w:cs="Times New Roman"/>
                <w:color w:val="auto"/>
                <w:sz w:val="24"/>
              </w:rPr>
              <w:t>列入施工责任书，</w:t>
            </w:r>
            <w:r>
              <w:rPr>
                <w:rFonts w:hint="eastAsia" w:ascii="Times New Roman" w:hAnsi="Times New Roman" w:eastAsia="宋体" w:cs="Times New Roman"/>
                <w:color w:val="auto"/>
                <w:kern w:val="0"/>
                <w:sz w:val="24"/>
              </w:rPr>
              <w:t>坚决杜绝</w:t>
            </w:r>
            <w:r>
              <w:rPr>
                <w:rFonts w:ascii="Times New Roman" w:hAnsi="Times New Roman" w:eastAsia="宋体" w:cs="Times New Roman"/>
                <w:color w:val="auto"/>
                <w:sz w:val="24"/>
              </w:rPr>
              <w:t>乱砍乱伐</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kern w:val="0"/>
                <w:sz w:val="24"/>
              </w:rPr>
              <w:t>盗伐、偷猎等非法活动；施工人不应随意进入施工作业区之外的区域活动，减少扰动影响。加强施工用火管理，严防森林火灾。</w:t>
            </w:r>
          </w:p>
          <w:p>
            <w:pPr>
              <w:autoSpaceDE w:val="0"/>
              <w:autoSpaceDN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（4）后期施工时若发现有保护植物，需上报当地林业局，根据林业局及自然保护区主管部门意见采取避让、就地保护或移栽措施，保证其成活。</w:t>
            </w:r>
          </w:p>
          <w:p>
            <w:pPr>
              <w:autoSpaceDE w:val="0"/>
              <w:autoSpaceDN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（5）工程建设开挖时，应将表层土与下层土分开，表土单独剥离并集中保存于临时表土堆场，待施工完毕后用于场地绿化及临时用地复垦覆土，以恢复土壤理化性质。</w:t>
            </w:r>
          </w:p>
          <w:p>
            <w:pPr>
              <w:autoSpaceDE w:val="0"/>
              <w:autoSpaceDN w:val="0"/>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w:t>
            </w:r>
            <w:r>
              <w:rPr>
                <w:rFonts w:ascii="Times New Roman" w:hAnsi="Times New Roman" w:eastAsia="宋体" w:cs="Times New Roman"/>
                <w:color w:val="auto"/>
                <w:kern w:val="0"/>
                <w:sz w:val="24"/>
              </w:rPr>
              <w:t>6</w:t>
            </w:r>
            <w:r>
              <w:rPr>
                <w:rFonts w:hint="eastAsia" w:ascii="Times New Roman" w:hAnsi="Times New Roman" w:eastAsia="宋体" w:cs="Times New Roman"/>
                <w:color w:val="auto"/>
                <w:kern w:val="0"/>
                <w:sz w:val="24"/>
              </w:rPr>
              <w:t>）施工结束后应督促施工单位及时拆除临时设施，清理，恢复土层，并对临时占用的施工生产生活区、弃渣场、集电线路区和场内道路边坡等区域进行恢复性种植；复垦种植宜就地采集当地植物的种子、幼苗，不得引入外来入侵物种。复垦后应采取封育手段对植被恢复区进行抚育管理，促进自然恢复。</w:t>
            </w:r>
          </w:p>
          <w:p>
            <w:pPr>
              <w:widowControl w:val="0"/>
              <w:spacing w:beforeLines="0" w:afterLines="0" w:line="360" w:lineRule="auto"/>
              <w:ind w:firstLine="480" w:firstLineChars="200"/>
              <w:jc w:val="both"/>
              <w:rPr>
                <w:rFonts w:hint="default" w:ascii="宋体" w:hAnsi="宋体" w:eastAsia="宋体" w:cs="宋体"/>
                <w:color w:val="auto"/>
                <w:kern w:val="2"/>
                <w:sz w:val="24"/>
                <w:szCs w:val="24"/>
                <w:lang w:val="en-US" w:eastAsia="zh-CN" w:bidi="ar-SA"/>
              </w:rPr>
            </w:pPr>
            <w:r>
              <w:rPr>
                <w:rFonts w:hint="eastAsia" w:ascii="Times New Roman" w:hAnsi="Times New Roman" w:eastAsia="宋体" w:cs="Times New Roman"/>
                <w:color w:val="auto"/>
                <w:sz w:val="24"/>
              </w:rPr>
              <w:t>（7）尽快开展农林光互补工程设计，太阳能电池板正下方部分宜选取喜阴的低小植物、农作物或草坪；太阳能光伏板周围不会遮挡处、边坡等区域尽量采取灌木种植，注意灌、花、草结合。选取的农作物、植物应尽量采用当地的优良乡土物种，提高成活率，不得引入外来入侵物种。农林光互补工程应尽量与主体工程同步实施，严禁抛荒土地和施工扰动作业面长期裸露。</w:t>
            </w:r>
          </w:p>
          <w:p>
            <w:pPr>
              <w:widowControl w:val="0"/>
              <w:spacing w:beforeLines="0" w:afterLines="0" w:line="360" w:lineRule="auto"/>
              <w:ind w:firstLine="482" w:firstLineChars="200"/>
              <w:jc w:val="both"/>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3、动物保护措施</w:t>
            </w:r>
          </w:p>
          <w:p>
            <w:pPr>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（1）合理安排，尽量避开动物的繁殖季节施工，特别是两栖爬行类和雉类的繁殖期，最大限度地降低工程施工对区域动物的影响。</w:t>
            </w:r>
          </w:p>
          <w:p>
            <w:pPr>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2）通过标识标牌等措施进行宣传，尤其是对于评价区内可能分布的黑鸢、红隼、斑头鸺鹠等保护动物，可通过图片、手册等方式使施工人员加以认知了解，加强施工单位和施工人员的宣传教育，严禁捕杀和食用野生动物。</w:t>
            </w:r>
          </w:p>
          <w:p>
            <w:pPr>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w:t>
            </w:r>
            <w:r>
              <w:rPr>
                <w:rFonts w:ascii="Times New Roman" w:hAnsi="Times New Roman" w:eastAsia="宋体" w:cs="Times New Roman"/>
                <w:color w:val="auto"/>
                <w:kern w:val="0"/>
                <w:sz w:val="24"/>
              </w:rPr>
              <w:t>3</w:t>
            </w:r>
            <w:r>
              <w:rPr>
                <w:rFonts w:hint="eastAsia" w:ascii="Times New Roman" w:hAnsi="Times New Roman" w:eastAsia="宋体" w:cs="Times New Roman"/>
                <w:color w:val="auto"/>
                <w:kern w:val="0"/>
                <w:sz w:val="24"/>
              </w:rPr>
              <w:t>）在施工中遇到的幼兽，应上报移交林业部门，不得擅自处理；施工中遇到的鸟窝应转移到非施工区的其他树上；对在施工中遇到的幼鸟和鸟卵（蛋）应移交林业局的专业人员妥善处置。</w:t>
            </w:r>
          </w:p>
          <w:p>
            <w:pPr>
              <w:widowControl/>
              <w:spacing w:line="360" w:lineRule="auto"/>
              <w:ind w:firstLine="480" w:firstLineChars="200"/>
              <w:jc w:val="left"/>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w:t>
            </w:r>
            <w:r>
              <w:rPr>
                <w:rFonts w:ascii="Times New Roman" w:hAnsi="Times New Roman" w:eastAsia="宋体" w:cs="Times New Roman"/>
                <w:color w:val="auto"/>
                <w:kern w:val="0"/>
                <w:sz w:val="24"/>
              </w:rPr>
              <w:t>4</w:t>
            </w:r>
            <w:r>
              <w:rPr>
                <w:rFonts w:hint="eastAsia" w:ascii="Times New Roman" w:hAnsi="Times New Roman" w:eastAsia="宋体" w:cs="Times New Roman"/>
                <w:color w:val="auto"/>
                <w:kern w:val="0"/>
                <w:sz w:val="24"/>
              </w:rPr>
              <w:t>）采用合理的施工工艺，选用先进的施工机械设备，同时做好机械保养，避免施工噪声过大对区域动物的正常觅食、繁殖、活动造成大的影响。</w:t>
            </w:r>
          </w:p>
          <w:p>
            <w:pPr>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（5）施工结束后，尽快清理施工场地，及时清理残留在原场地的混凝土、土石方，并对施工扰动区域进行复耕或进行植被恢复。</w:t>
            </w:r>
          </w:p>
          <w:p>
            <w:pPr>
              <w:widowControl w:val="0"/>
              <w:spacing w:beforeLines="0" w:afterLines="0" w:line="360" w:lineRule="auto"/>
              <w:ind w:firstLine="482" w:firstLineChars="200"/>
              <w:jc w:val="both"/>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4、水土流失保护措施</w:t>
            </w:r>
          </w:p>
          <w:p>
            <w:pPr>
              <w:widowControl/>
              <w:spacing w:line="360" w:lineRule="auto"/>
              <w:ind w:firstLine="480" w:firstLineChars="200"/>
              <w:jc w:val="left"/>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本项目已由</w:t>
            </w:r>
            <w:r>
              <w:rPr>
                <w:rFonts w:hint="eastAsia" w:ascii="Times New Roman" w:hAnsi="Times New Roman" w:eastAsia="宋体" w:cs="Times New Roman"/>
                <w:color w:val="auto"/>
                <w:kern w:val="0"/>
                <w:sz w:val="24"/>
                <w:lang w:val="en-US" w:eastAsia="zh-CN"/>
              </w:rPr>
              <w:t>中国能源建设集团云南省电力设计院有限公司</w:t>
            </w:r>
            <w:r>
              <w:rPr>
                <w:rFonts w:hint="eastAsia" w:ascii="Times New Roman" w:hAnsi="Times New Roman" w:eastAsia="宋体" w:cs="Times New Roman"/>
                <w:color w:val="auto"/>
                <w:kern w:val="0"/>
                <w:sz w:val="24"/>
              </w:rPr>
              <w:t>了《华能元谋马头地光伏电站水土保持方案</w:t>
            </w:r>
            <w:r>
              <w:rPr>
                <w:rFonts w:hint="eastAsia" w:cs="Times New Roman"/>
                <w:color w:val="auto"/>
                <w:kern w:val="0"/>
                <w:sz w:val="24"/>
                <w:lang w:val="en-US" w:eastAsia="zh-CN"/>
              </w:rPr>
              <w:t>变更报告表</w:t>
            </w:r>
            <w:r>
              <w:rPr>
                <w:rFonts w:hint="eastAsia" w:ascii="Times New Roman" w:hAnsi="Times New Roman" w:eastAsia="宋体" w:cs="Times New Roman"/>
                <w:color w:val="auto"/>
                <w:kern w:val="0"/>
                <w:sz w:val="24"/>
              </w:rPr>
              <w:t>》，结合主体工程设计，对各施工作业区域提出水土保持措施如下：</w:t>
            </w:r>
          </w:p>
          <w:p>
            <w:pPr>
              <w:widowControl w:val="0"/>
              <w:spacing w:line="360" w:lineRule="auto"/>
              <w:ind w:firstLine="482" w:firstLineChars="200"/>
              <w:jc w:val="center"/>
              <w:rPr>
                <w:rFonts w:ascii="Times New Roman" w:hAnsi="Times New Roman" w:eastAsia="宋体" w:cs="Times New Roman"/>
                <w:b/>
                <w:snapToGrid w:val="0"/>
                <w:color w:val="auto"/>
                <w:kern w:val="0"/>
                <w:sz w:val="24"/>
                <w:szCs w:val="28"/>
                <w:lang w:val="en-US" w:eastAsia="zh-CN" w:bidi="ar-SA"/>
              </w:rPr>
            </w:pPr>
            <w:r>
              <w:rPr>
                <w:rFonts w:ascii="Times New Roman" w:hAnsi="Times New Roman" w:eastAsia="宋体" w:cs="Times New Roman"/>
                <w:b/>
                <w:snapToGrid w:val="0"/>
                <w:color w:val="auto"/>
                <w:kern w:val="0"/>
                <w:sz w:val="24"/>
                <w:szCs w:val="28"/>
                <w:lang w:val="en-US" w:eastAsia="zh-CN" w:bidi="ar-SA"/>
              </w:rPr>
              <w:t>表</w:t>
            </w:r>
            <w:r>
              <w:rPr>
                <w:rFonts w:hint="eastAsia" w:ascii="Times New Roman" w:hAnsi="Times New Roman" w:eastAsia="宋体" w:cs="Times New Roman"/>
                <w:b/>
                <w:snapToGrid w:val="0"/>
                <w:color w:val="auto"/>
                <w:kern w:val="0"/>
                <w:sz w:val="24"/>
                <w:szCs w:val="28"/>
                <w:lang w:val="en-US" w:eastAsia="zh-CN" w:bidi="ar-SA"/>
              </w:rPr>
              <w:t>5.3</w:t>
            </w:r>
            <w:r>
              <w:rPr>
                <w:rFonts w:ascii="Times New Roman" w:hAnsi="Times New Roman" w:eastAsia="宋体" w:cs="Times New Roman"/>
                <w:b/>
                <w:snapToGrid w:val="0"/>
                <w:color w:val="auto"/>
                <w:kern w:val="0"/>
                <w:sz w:val="24"/>
                <w:szCs w:val="28"/>
                <w:lang w:val="en-US" w:eastAsia="zh-CN" w:bidi="ar-SA"/>
              </w:rPr>
              <w:t>-1  水土流失防治措施体系表</w:t>
            </w:r>
          </w:p>
          <w:tbl>
            <w:tblPr>
              <w:tblStyle w:val="32"/>
              <w:tblW w:w="4999" w:type="pct"/>
              <w:tblInd w:w="-3"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35"/>
              <w:gridCol w:w="1271"/>
              <w:gridCol w:w="5147"/>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015" w:type="pct"/>
                  <w:tcBorders>
                    <w:tl2br w:val="nil"/>
                    <w:tr2bl w:val="nil"/>
                  </w:tcBorders>
                  <w:vAlign w:val="center"/>
                </w:tcPr>
                <w:p>
                  <w:pPr>
                    <w:pStyle w:val="45"/>
                    <w:spacing w:before="69" w:line="225"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2"/>
                      <w:sz w:val="21"/>
                    </w:rPr>
                    <w:t>防治分区</w:t>
                  </w:r>
                </w:p>
              </w:tc>
              <w:tc>
                <w:tcPr>
                  <w:tcW w:w="789" w:type="pct"/>
                  <w:tcBorders>
                    <w:tl2br w:val="nil"/>
                    <w:tr2bl w:val="nil"/>
                  </w:tcBorders>
                  <w:vAlign w:val="center"/>
                </w:tcPr>
                <w:p>
                  <w:pPr>
                    <w:pStyle w:val="45"/>
                    <w:spacing w:before="69" w:line="226"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7"/>
                      <w:sz w:val="21"/>
                    </w:rPr>
                    <w:t>措施类型</w:t>
                  </w:r>
                </w:p>
              </w:tc>
              <w:tc>
                <w:tcPr>
                  <w:tcW w:w="3195" w:type="pct"/>
                  <w:tcBorders>
                    <w:tl2br w:val="nil"/>
                    <w:tr2bl w:val="nil"/>
                  </w:tcBorders>
                  <w:vAlign w:val="center"/>
                </w:tcPr>
                <w:p>
                  <w:pPr>
                    <w:pStyle w:val="45"/>
                    <w:spacing w:before="69" w:line="223"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7"/>
                      <w:sz w:val="21"/>
                    </w:rPr>
                    <w:t>措施布设</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015" w:type="pct"/>
                  <w:tcBorders>
                    <w:tl2br w:val="nil"/>
                    <w:tr2bl w:val="nil"/>
                  </w:tcBorders>
                  <w:vAlign w:val="center"/>
                </w:tcPr>
                <w:p>
                  <w:pPr>
                    <w:pStyle w:val="45"/>
                    <w:spacing w:before="67" w:line="226"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5"/>
                      <w:sz w:val="21"/>
                    </w:rPr>
                    <w:t>光伏发电</w:t>
                  </w:r>
                </w:p>
              </w:tc>
              <w:tc>
                <w:tcPr>
                  <w:tcW w:w="789" w:type="pct"/>
                  <w:tcBorders>
                    <w:tl2br w:val="nil"/>
                    <w:tr2bl w:val="nil"/>
                  </w:tcBorders>
                  <w:vAlign w:val="center"/>
                </w:tcPr>
                <w:p>
                  <w:pPr>
                    <w:pStyle w:val="45"/>
                    <w:spacing w:before="67" w:line="226"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6"/>
                      <w:sz w:val="21"/>
                    </w:rPr>
                    <w:t>工程措施</w:t>
                  </w:r>
                </w:p>
              </w:tc>
              <w:tc>
                <w:tcPr>
                  <w:tcW w:w="3195" w:type="pct"/>
                  <w:tcBorders>
                    <w:tl2br w:val="nil"/>
                    <w:tr2bl w:val="nil"/>
                  </w:tcBorders>
                  <w:vAlign w:val="center"/>
                </w:tcPr>
                <w:p>
                  <w:pPr>
                    <w:pStyle w:val="45"/>
                    <w:spacing w:before="67" w:line="225"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6"/>
                      <w:sz w:val="21"/>
                    </w:rPr>
                    <w:t>表土剥离★</w:t>
                  </w:r>
                  <w:r>
                    <w:rPr>
                      <w:rFonts w:ascii="Times New Roman" w:hAnsi="Times New Roman" w:eastAsia="宋体"/>
                      <w:color w:val="auto"/>
                      <w:spacing w:val="-73"/>
                      <w:sz w:val="21"/>
                    </w:rPr>
                    <w:t xml:space="preserve"> </w:t>
                  </w:r>
                  <w:r>
                    <w:rPr>
                      <w:rFonts w:ascii="Times New Roman" w:hAnsi="Times New Roman" w:eastAsia="宋体"/>
                      <w:color w:val="auto"/>
                      <w:spacing w:val="6"/>
                      <w:sz w:val="21"/>
                    </w:rPr>
                    <w:t>、谷坊★</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15" w:type="pct"/>
                  <w:vMerge w:val="restart"/>
                  <w:tcBorders>
                    <w:tl2br w:val="nil"/>
                    <w:tr2bl w:val="nil"/>
                  </w:tcBorders>
                  <w:vAlign w:val="center"/>
                </w:tcPr>
                <w:p>
                  <w:pPr>
                    <w:pStyle w:val="45"/>
                    <w:spacing w:before="65" w:line="225"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6"/>
                      <w:sz w:val="21"/>
                    </w:rPr>
                    <w:t>集电线路</w:t>
                  </w:r>
                </w:p>
              </w:tc>
              <w:tc>
                <w:tcPr>
                  <w:tcW w:w="789" w:type="pct"/>
                  <w:tcBorders>
                    <w:tl2br w:val="nil"/>
                    <w:tr2bl w:val="nil"/>
                  </w:tcBorders>
                  <w:vAlign w:val="center"/>
                </w:tcPr>
                <w:p>
                  <w:pPr>
                    <w:pStyle w:val="45"/>
                    <w:spacing w:before="69" w:line="226"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6"/>
                      <w:sz w:val="21"/>
                    </w:rPr>
                    <w:t>工程措施</w:t>
                  </w:r>
                </w:p>
              </w:tc>
              <w:tc>
                <w:tcPr>
                  <w:tcW w:w="3195" w:type="pct"/>
                  <w:tcBorders>
                    <w:tl2br w:val="nil"/>
                    <w:tr2bl w:val="nil"/>
                  </w:tcBorders>
                  <w:vAlign w:val="center"/>
                </w:tcPr>
                <w:p>
                  <w:pPr>
                    <w:pStyle w:val="45"/>
                    <w:spacing w:before="69" w:line="225"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8"/>
                      <w:sz w:val="21"/>
                    </w:rPr>
                    <w:t>表土剥离★</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015" w:type="pct"/>
                  <w:vMerge w:val="continue"/>
                  <w:tcBorders>
                    <w:tl2br w:val="nil"/>
                    <w:tr2bl w:val="nil"/>
                  </w:tcBorders>
                  <w:vAlign w:val="center"/>
                </w:tcPr>
                <w:p>
                  <w:pPr>
                    <w:ind w:left="0" w:leftChars="0" w:right="0" w:rightChars="0" w:firstLine="0" w:firstLineChars="0"/>
                    <w:jc w:val="center"/>
                    <w:rPr>
                      <w:rFonts w:ascii="Times New Roman" w:hAnsi="Times New Roman" w:eastAsia="宋体"/>
                      <w:color w:val="auto"/>
                      <w:sz w:val="21"/>
                    </w:rPr>
                  </w:pPr>
                </w:p>
              </w:tc>
              <w:tc>
                <w:tcPr>
                  <w:tcW w:w="789" w:type="pct"/>
                  <w:tcBorders>
                    <w:tl2br w:val="nil"/>
                    <w:tr2bl w:val="nil"/>
                  </w:tcBorders>
                  <w:vAlign w:val="center"/>
                </w:tcPr>
                <w:p>
                  <w:pPr>
                    <w:pStyle w:val="45"/>
                    <w:spacing w:before="70" w:line="224"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8"/>
                      <w:sz w:val="21"/>
                    </w:rPr>
                    <w:t>植物措施</w:t>
                  </w:r>
                </w:p>
              </w:tc>
              <w:tc>
                <w:tcPr>
                  <w:tcW w:w="3195" w:type="pct"/>
                  <w:tcBorders>
                    <w:tl2br w:val="nil"/>
                    <w:tr2bl w:val="nil"/>
                  </w:tcBorders>
                  <w:vAlign w:val="center"/>
                </w:tcPr>
                <w:p>
                  <w:pPr>
                    <w:pStyle w:val="45"/>
                    <w:spacing w:before="67" w:line="228"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7"/>
                      <w:sz w:val="21"/>
                    </w:rPr>
                    <w:t>撒草绿化★</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015" w:type="pct"/>
                  <w:vMerge w:val="continue"/>
                  <w:tcBorders>
                    <w:tl2br w:val="nil"/>
                    <w:tr2bl w:val="nil"/>
                  </w:tcBorders>
                  <w:vAlign w:val="center"/>
                </w:tcPr>
                <w:p>
                  <w:pPr>
                    <w:ind w:left="0" w:leftChars="0" w:right="0" w:rightChars="0" w:firstLine="0" w:firstLineChars="0"/>
                    <w:jc w:val="center"/>
                    <w:rPr>
                      <w:rFonts w:ascii="Times New Roman" w:hAnsi="Times New Roman" w:eastAsia="宋体"/>
                      <w:color w:val="auto"/>
                      <w:sz w:val="21"/>
                    </w:rPr>
                  </w:pPr>
                </w:p>
              </w:tc>
              <w:tc>
                <w:tcPr>
                  <w:tcW w:w="789" w:type="pct"/>
                  <w:tcBorders>
                    <w:tl2br w:val="nil"/>
                    <w:tr2bl w:val="nil"/>
                  </w:tcBorders>
                  <w:vAlign w:val="center"/>
                </w:tcPr>
                <w:p>
                  <w:pPr>
                    <w:pStyle w:val="45"/>
                    <w:spacing w:before="73" w:line="226"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4"/>
                      <w:sz w:val="21"/>
                    </w:rPr>
                    <w:t>临时措施</w:t>
                  </w:r>
                </w:p>
              </w:tc>
              <w:tc>
                <w:tcPr>
                  <w:tcW w:w="3195" w:type="pct"/>
                  <w:tcBorders>
                    <w:tl2br w:val="nil"/>
                    <w:tr2bl w:val="nil"/>
                  </w:tcBorders>
                  <w:vAlign w:val="center"/>
                </w:tcPr>
                <w:p>
                  <w:pPr>
                    <w:pStyle w:val="45"/>
                    <w:spacing w:before="80" w:line="213" w:lineRule="auto"/>
                    <w:ind w:left="0" w:leftChars="0" w:right="0" w:rightChars="0" w:firstLine="0" w:firstLineChars="0"/>
                    <w:jc w:val="center"/>
                    <w:rPr>
                      <w:rFonts w:ascii="Times New Roman" w:hAnsi="Times New Roman" w:eastAsia="宋体" w:cs="Segoe UI Symbol"/>
                      <w:color w:val="auto"/>
                      <w:sz w:val="21"/>
                    </w:rPr>
                  </w:pPr>
                  <w:r>
                    <w:rPr>
                      <w:rFonts w:ascii="Times New Roman" w:hAnsi="Times New Roman" w:eastAsia="宋体"/>
                      <w:color w:val="auto"/>
                      <w:spacing w:val="5"/>
                      <w:sz w:val="21"/>
                    </w:rPr>
                    <w:t>临时苫盖</w:t>
                  </w:r>
                  <w:r>
                    <w:rPr>
                      <w:rFonts w:ascii="Times New Roman" w:hAnsi="Times New Roman" w:eastAsia="宋体" w:cs="Segoe UI Symbol"/>
                      <w:color w:val="auto"/>
                      <w:spacing w:val="5"/>
                      <w:sz w:val="21"/>
                    </w:rPr>
                    <w:t>★</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015" w:type="pct"/>
                  <w:tcBorders>
                    <w:tl2br w:val="nil"/>
                    <w:tr2bl w:val="nil"/>
                  </w:tcBorders>
                  <w:vAlign w:val="center"/>
                </w:tcPr>
                <w:p>
                  <w:pPr>
                    <w:pStyle w:val="45"/>
                    <w:spacing w:before="73" w:line="224"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8"/>
                      <w:sz w:val="21"/>
                    </w:rPr>
                    <w:t>箱变及分支箱</w:t>
                  </w:r>
                </w:p>
              </w:tc>
              <w:tc>
                <w:tcPr>
                  <w:tcW w:w="789" w:type="pct"/>
                  <w:tcBorders>
                    <w:tl2br w:val="nil"/>
                    <w:tr2bl w:val="nil"/>
                  </w:tcBorders>
                  <w:vAlign w:val="center"/>
                </w:tcPr>
                <w:p>
                  <w:pPr>
                    <w:pStyle w:val="45"/>
                    <w:spacing w:before="73" w:line="226"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6"/>
                      <w:sz w:val="21"/>
                    </w:rPr>
                    <w:t>工程措施</w:t>
                  </w:r>
                </w:p>
              </w:tc>
              <w:tc>
                <w:tcPr>
                  <w:tcW w:w="3195" w:type="pct"/>
                  <w:tcBorders>
                    <w:tl2br w:val="nil"/>
                    <w:tr2bl w:val="nil"/>
                  </w:tcBorders>
                  <w:vAlign w:val="center"/>
                </w:tcPr>
                <w:p>
                  <w:pPr>
                    <w:spacing w:before="106" w:line="199" w:lineRule="auto"/>
                    <w:ind w:left="0" w:leftChars="0" w:right="0" w:rightChars="0" w:firstLine="0" w:firstLineChars="0"/>
                    <w:jc w:val="center"/>
                    <w:rPr>
                      <w:rFonts w:ascii="Times New Roman" w:hAnsi="Times New Roman" w:eastAsia="宋体" w:cs="Times New Roman"/>
                      <w:color w:val="auto"/>
                      <w:sz w:val="21"/>
                      <w:szCs w:val="20"/>
                    </w:rPr>
                  </w:pPr>
                  <w:r>
                    <w:rPr>
                      <w:rFonts w:ascii="Times New Roman" w:hAnsi="Times New Roman" w:eastAsia="宋体" w:cs="Times New Roman"/>
                      <w:color w:val="auto"/>
                      <w:spacing w:val="2"/>
                      <w:sz w:val="21"/>
                      <w:szCs w:val="20"/>
                    </w:rPr>
                    <w:t>/</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1015" w:type="pct"/>
                  <w:vMerge w:val="restart"/>
                  <w:tcBorders>
                    <w:tl2br w:val="nil"/>
                    <w:tr2bl w:val="nil"/>
                  </w:tcBorders>
                  <w:vAlign w:val="center"/>
                </w:tcPr>
                <w:p>
                  <w:pPr>
                    <w:pStyle w:val="45"/>
                    <w:spacing w:before="65" w:line="226"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5"/>
                      <w:sz w:val="21"/>
                    </w:rPr>
                    <w:t>升压站</w:t>
                  </w:r>
                </w:p>
              </w:tc>
              <w:tc>
                <w:tcPr>
                  <w:tcW w:w="789" w:type="pct"/>
                  <w:tcBorders>
                    <w:tl2br w:val="nil"/>
                    <w:tr2bl w:val="nil"/>
                  </w:tcBorders>
                  <w:vAlign w:val="center"/>
                </w:tcPr>
                <w:p>
                  <w:pPr>
                    <w:pStyle w:val="45"/>
                    <w:spacing w:before="178" w:line="226"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6"/>
                      <w:sz w:val="21"/>
                    </w:rPr>
                    <w:t>工程措施</w:t>
                  </w:r>
                </w:p>
              </w:tc>
              <w:tc>
                <w:tcPr>
                  <w:tcW w:w="3195" w:type="pct"/>
                  <w:tcBorders>
                    <w:tl2br w:val="nil"/>
                    <w:tr2bl w:val="nil"/>
                  </w:tcBorders>
                  <w:vAlign w:val="center"/>
                </w:tcPr>
                <w:p>
                  <w:pPr>
                    <w:pStyle w:val="45"/>
                    <w:spacing w:before="44" w:line="228"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5"/>
                      <w:sz w:val="21"/>
                    </w:rPr>
                    <w:t>表土剥离★</w:t>
                  </w:r>
                  <w:r>
                    <w:rPr>
                      <w:rFonts w:ascii="Times New Roman" w:hAnsi="Times New Roman" w:eastAsia="宋体"/>
                      <w:color w:val="auto"/>
                      <w:spacing w:val="-58"/>
                      <w:sz w:val="21"/>
                    </w:rPr>
                    <w:t xml:space="preserve"> </w:t>
                  </w:r>
                  <w:r>
                    <w:rPr>
                      <w:rFonts w:ascii="Times New Roman" w:hAnsi="Times New Roman" w:eastAsia="宋体"/>
                      <w:color w:val="auto"/>
                      <w:spacing w:val="5"/>
                      <w:sz w:val="21"/>
                    </w:rPr>
                    <w:t>、雨水管网☆</w:t>
                  </w:r>
                  <w:r>
                    <w:rPr>
                      <w:rFonts w:ascii="Times New Roman" w:hAnsi="Times New Roman" w:eastAsia="宋体"/>
                      <w:color w:val="auto"/>
                      <w:spacing w:val="-72"/>
                      <w:sz w:val="21"/>
                    </w:rPr>
                    <w:t xml:space="preserve"> </w:t>
                  </w:r>
                  <w:r>
                    <w:rPr>
                      <w:rFonts w:ascii="Times New Roman" w:hAnsi="Times New Roman" w:eastAsia="宋体"/>
                      <w:color w:val="auto"/>
                      <w:spacing w:val="5"/>
                      <w:sz w:val="21"/>
                    </w:rPr>
                    <w:t>、站内排水沟☆</w:t>
                  </w:r>
                  <w:r>
                    <w:rPr>
                      <w:rFonts w:ascii="Times New Roman" w:hAnsi="Times New Roman" w:eastAsia="宋体"/>
                      <w:color w:val="auto"/>
                      <w:spacing w:val="-75"/>
                      <w:sz w:val="21"/>
                    </w:rPr>
                    <w:t xml:space="preserve"> </w:t>
                  </w:r>
                  <w:r>
                    <w:rPr>
                      <w:rFonts w:ascii="Times New Roman" w:hAnsi="Times New Roman" w:eastAsia="宋体"/>
                      <w:color w:val="auto"/>
                      <w:spacing w:val="5"/>
                      <w:sz w:val="21"/>
                    </w:rPr>
                    <w:t>、截水沟☆</w:t>
                  </w:r>
                  <w:r>
                    <w:rPr>
                      <w:rFonts w:ascii="Times New Roman" w:hAnsi="Times New Roman" w:eastAsia="宋体"/>
                      <w:color w:val="auto"/>
                      <w:spacing w:val="-73"/>
                      <w:sz w:val="21"/>
                    </w:rPr>
                    <w:t xml:space="preserve"> </w:t>
                  </w:r>
                  <w:r>
                    <w:rPr>
                      <w:rFonts w:ascii="Times New Roman" w:hAnsi="Times New Roman" w:eastAsia="宋体"/>
                      <w:color w:val="auto"/>
                      <w:spacing w:val="5"/>
                      <w:sz w:val="21"/>
                    </w:rPr>
                    <w:t>、马道</w:t>
                  </w:r>
                  <w:r>
                    <w:rPr>
                      <w:rFonts w:ascii="Times New Roman" w:hAnsi="Times New Roman" w:eastAsia="宋体"/>
                      <w:color w:val="auto"/>
                      <w:sz w:val="21"/>
                    </w:rPr>
                    <w:t xml:space="preserve"> </w:t>
                  </w:r>
                  <w:r>
                    <w:rPr>
                      <w:rFonts w:ascii="Times New Roman" w:hAnsi="Times New Roman" w:eastAsia="宋体"/>
                      <w:color w:val="auto"/>
                      <w:spacing w:val="5"/>
                      <w:sz w:val="21"/>
                    </w:rPr>
                    <w:t>排水沟☆</w:t>
                  </w:r>
                  <w:r>
                    <w:rPr>
                      <w:rFonts w:ascii="Times New Roman" w:hAnsi="Times New Roman" w:eastAsia="宋体"/>
                      <w:color w:val="auto"/>
                      <w:spacing w:val="-68"/>
                      <w:sz w:val="21"/>
                    </w:rPr>
                    <w:t xml:space="preserve"> </w:t>
                  </w:r>
                  <w:r>
                    <w:rPr>
                      <w:rFonts w:ascii="Times New Roman" w:hAnsi="Times New Roman" w:eastAsia="宋体"/>
                      <w:color w:val="auto"/>
                      <w:spacing w:val="5"/>
                      <w:sz w:val="21"/>
                    </w:rPr>
                    <w:t>、跌水井☆</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15" w:type="pct"/>
                  <w:vMerge w:val="continue"/>
                  <w:tcBorders>
                    <w:tl2br w:val="nil"/>
                    <w:tr2bl w:val="nil"/>
                  </w:tcBorders>
                  <w:vAlign w:val="center"/>
                </w:tcPr>
                <w:p>
                  <w:pPr>
                    <w:ind w:left="0" w:leftChars="0" w:right="0" w:rightChars="0" w:firstLine="0" w:firstLineChars="0"/>
                    <w:jc w:val="center"/>
                    <w:rPr>
                      <w:rFonts w:ascii="Times New Roman" w:hAnsi="Times New Roman" w:eastAsia="宋体"/>
                      <w:color w:val="auto"/>
                      <w:sz w:val="21"/>
                    </w:rPr>
                  </w:pPr>
                </w:p>
              </w:tc>
              <w:tc>
                <w:tcPr>
                  <w:tcW w:w="789" w:type="pct"/>
                  <w:tcBorders>
                    <w:tl2br w:val="nil"/>
                    <w:tr2bl w:val="nil"/>
                  </w:tcBorders>
                  <w:vAlign w:val="center"/>
                </w:tcPr>
                <w:p>
                  <w:pPr>
                    <w:pStyle w:val="45"/>
                    <w:spacing w:before="76" w:line="224"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8"/>
                      <w:sz w:val="21"/>
                    </w:rPr>
                    <w:t>植物措施</w:t>
                  </w:r>
                </w:p>
              </w:tc>
              <w:tc>
                <w:tcPr>
                  <w:tcW w:w="3195" w:type="pct"/>
                  <w:tcBorders>
                    <w:tl2br w:val="nil"/>
                    <w:tr2bl w:val="nil"/>
                  </w:tcBorders>
                  <w:vAlign w:val="center"/>
                </w:tcPr>
                <w:p>
                  <w:pPr>
                    <w:pStyle w:val="45"/>
                    <w:spacing w:before="74" w:line="227"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6"/>
                      <w:sz w:val="21"/>
                    </w:rPr>
                    <w:t>混凝土骨架植草护坡☆</w:t>
                  </w:r>
                  <w:r>
                    <w:rPr>
                      <w:rFonts w:ascii="Times New Roman" w:hAnsi="Times New Roman" w:eastAsia="宋体"/>
                      <w:color w:val="auto"/>
                      <w:spacing w:val="-65"/>
                      <w:sz w:val="21"/>
                    </w:rPr>
                    <w:t xml:space="preserve"> </w:t>
                  </w:r>
                  <w:r>
                    <w:rPr>
                      <w:rFonts w:ascii="Times New Roman" w:hAnsi="Times New Roman" w:eastAsia="宋体"/>
                      <w:color w:val="auto"/>
                      <w:spacing w:val="6"/>
                      <w:sz w:val="21"/>
                    </w:rPr>
                    <w:t>、</w:t>
                  </w:r>
                  <w:r>
                    <w:rPr>
                      <w:rFonts w:ascii="Times New Roman" w:hAnsi="Times New Roman" w:eastAsia="宋体" w:cs="Times New Roman"/>
                      <w:color w:val="auto"/>
                      <w:sz w:val="21"/>
                    </w:rPr>
                    <w:t>PM</w:t>
                  </w:r>
                  <w:r>
                    <w:rPr>
                      <w:rFonts w:ascii="Times New Roman" w:hAnsi="Times New Roman" w:eastAsia="宋体" w:cs="Times New Roman"/>
                      <w:color w:val="auto"/>
                      <w:spacing w:val="6"/>
                      <w:sz w:val="21"/>
                    </w:rPr>
                    <w:t xml:space="preserve">-S </w:t>
                  </w:r>
                  <w:r>
                    <w:rPr>
                      <w:rFonts w:ascii="Times New Roman" w:hAnsi="Times New Roman" w:eastAsia="宋体"/>
                      <w:color w:val="auto"/>
                      <w:spacing w:val="6"/>
                      <w:sz w:val="21"/>
                    </w:rPr>
                    <w:t>护坡☆</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15" w:type="pct"/>
                  <w:vMerge w:val="continue"/>
                  <w:tcBorders>
                    <w:tl2br w:val="nil"/>
                    <w:tr2bl w:val="nil"/>
                  </w:tcBorders>
                  <w:vAlign w:val="center"/>
                </w:tcPr>
                <w:p>
                  <w:pPr>
                    <w:ind w:left="0" w:leftChars="0" w:right="0" w:rightChars="0" w:firstLine="0" w:firstLineChars="0"/>
                    <w:jc w:val="center"/>
                    <w:rPr>
                      <w:rFonts w:ascii="Times New Roman" w:hAnsi="Times New Roman" w:eastAsia="宋体"/>
                      <w:color w:val="auto"/>
                      <w:sz w:val="21"/>
                    </w:rPr>
                  </w:pPr>
                </w:p>
              </w:tc>
              <w:tc>
                <w:tcPr>
                  <w:tcW w:w="789" w:type="pct"/>
                  <w:tcBorders>
                    <w:tl2br w:val="nil"/>
                    <w:tr2bl w:val="nil"/>
                  </w:tcBorders>
                  <w:vAlign w:val="center"/>
                </w:tcPr>
                <w:p>
                  <w:pPr>
                    <w:pStyle w:val="45"/>
                    <w:spacing w:before="78" w:line="226"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4"/>
                      <w:sz w:val="21"/>
                    </w:rPr>
                    <w:t>临时措施</w:t>
                  </w:r>
                </w:p>
              </w:tc>
              <w:tc>
                <w:tcPr>
                  <w:tcW w:w="3195" w:type="pct"/>
                  <w:tcBorders>
                    <w:tl2br w:val="nil"/>
                    <w:tr2bl w:val="nil"/>
                  </w:tcBorders>
                  <w:vAlign w:val="center"/>
                </w:tcPr>
                <w:p>
                  <w:pPr>
                    <w:pStyle w:val="45"/>
                    <w:spacing w:before="78" w:line="225"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4"/>
                      <w:sz w:val="21"/>
                    </w:rPr>
                    <w:t>沉沙池★</w:t>
                  </w:r>
                  <w:r>
                    <w:rPr>
                      <w:rFonts w:ascii="Times New Roman" w:hAnsi="Times New Roman" w:eastAsia="宋体"/>
                      <w:color w:val="auto"/>
                      <w:spacing w:val="-64"/>
                      <w:sz w:val="21"/>
                    </w:rPr>
                    <w:t xml:space="preserve"> </w:t>
                  </w:r>
                  <w:r>
                    <w:rPr>
                      <w:rFonts w:ascii="Times New Roman" w:hAnsi="Times New Roman" w:eastAsia="宋体"/>
                      <w:color w:val="auto"/>
                      <w:spacing w:val="4"/>
                      <w:sz w:val="21"/>
                    </w:rPr>
                    <w:t>、临时苫盖★</w:t>
                  </w:r>
                  <w:r>
                    <w:rPr>
                      <w:rFonts w:ascii="Times New Roman" w:hAnsi="Times New Roman" w:eastAsia="宋体"/>
                      <w:color w:val="auto"/>
                      <w:spacing w:val="-72"/>
                      <w:sz w:val="21"/>
                    </w:rPr>
                    <w:t xml:space="preserve"> </w:t>
                  </w:r>
                  <w:r>
                    <w:rPr>
                      <w:rFonts w:ascii="Times New Roman" w:hAnsi="Times New Roman" w:eastAsia="宋体"/>
                      <w:color w:val="auto"/>
                      <w:spacing w:val="4"/>
                      <w:sz w:val="21"/>
                    </w:rPr>
                    <w:t>、</w:t>
                  </w:r>
                  <w:r>
                    <w:rPr>
                      <w:rFonts w:ascii="Times New Roman" w:hAnsi="Times New Roman" w:eastAsia="宋体"/>
                      <w:color w:val="auto"/>
                      <w:spacing w:val="-55"/>
                      <w:sz w:val="21"/>
                    </w:rPr>
                    <w:t xml:space="preserve"> </w:t>
                  </w:r>
                  <w:r>
                    <w:rPr>
                      <w:rFonts w:ascii="Times New Roman" w:hAnsi="Times New Roman" w:eastAsia="宋体"/>
                      <w:color w:val="auto"/>
                      <w:spacing w:val="4"/>
                      <w:sz w:val="21"/>
                    </w:rPr>
                    <w:t>“永临结合”排水沟★</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15" w:type="pct"/>
                  <w:vMerge w:val="restart"/>
                  <w:tcBorders>
                    <w:tl2br w:val="nil"/>
                    <w:tr2bl w:val="nil"/>
                  </w:tcBorders>
                  <w:vAlign w:val="center"/>
                </w:tcPr>
                <w:p>
                  <w:pPr>
                    <w:pStyle w:val="45"/>
                    <w:spacing w:before="65" w:line="225"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8"/>
                      <w:sz w:val="21"/>
                    </w:rPr>
                    <w:t>场内道路区</w:t>
                  </w:r>
                </w:p>
              </w:tc>
              <w:tc>
                <w:tcPr>
                  <w:tcW w:w="789" w:type="pct"/>
                  <w:tcBorders>
                    <w:tl2br w:val="nil"/>
                    <w:tr2bl w:val="nil"/>
                  </w:tcBorders>
                  <w:vAlign w:val="center"/>
                </w:tcPr>
                <w:p>
                  <w:pPr>
                    <w:pStyle w:val="45"/>
                    <w:spacing w:before="79" w:line="226"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6"/>
                      <w:sz w:val="21"/>
                    </w:rPr>
                    <w:t>工程措施</w:t>
                  </w:r>
                </w:p>
              </w:tc>
              <w:tc>
                <w:tcPr>
                  <w:tcW w:w="3195" w:type="pct"/>
                  <w:tcBorders>
                    <w:tl2br w:val="nil"/>
                    <w:tr2bl w:val="nil"/>
                  </w:tcBorders>
                  <w:vAlign w:val="center"/>
                </w:tcPr>
                <w:p>
                  <w:pPr>
                    <w:pStyle w:val="45"/>
                    <w:spacing w:before="80" w:line="225"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6"/>
                      <w:sz w:val="21"/>
                    </w:rPr>
                    <w:t>表土剥离★</w:t>
                  </w:r>
                  <w:r>
                    <w:rPr>
                      <w:rFonts w:ascii="Times New Roman" w:hAnsi="Times New Roman" w:eastAsia="宋体"/>
                      <w:color w:val="auto"/>
                      <w:spacing w:val="-70"/>
                      <w:sz w:val="21"/>
                    </w:rPr>
                    <w:t xml:space="preserve"> </w:t>
                  </w:r>
                  <w:r>
                    <w:rPr>
                      <w:rFonts w:ascii="Times New Roman" w:hAnsi="Times New Roman" w:eastAsia="宋体"/>
                      <w:color w:val="auto"/>
                      <w:spacing w:val="6"/>
                      <w:sz w:val="21"/>
                    </w:rPr>
                    <w:t>、沉砂池★</w:t>
                  </w:r>
                  <w:r>
                    <w:rPr>
                      <w:rFonts w:ascii="Times New Roman" w:hAnsi="Times New Roman" w:eastAsia="宋体"/>
                      <w:color w:val="auto"/>
                      <w:spacing w:val="-74"/>
                      <w:sz w:val="21"/>
                    </w:rPr>
                    <w:t xml:space="preserve"> </w:t>
                  </w:r>
                  <w:r>
                    <w:rPr>
                      <w:rFonts w:ascii="Times New Roman" w:hAnsi="Times New Roman" w:eastAsia="宋体"/>
                      <w:color w:val="auto"/>
                      <w:spacing w:val="6"/>
                      <w:sz w:val="21"/>
                    </w:rPr>
                    <w:t>、道路排水沟☆</w:t>
                  </w:r>
                  <w:r>
                    <w:rPr>
                      <w:rFonts w:ascii="Times New Roman" w:hAnsi="Times New Roman" w:eastAsia="宋体"/>
                      <w:color w:val="auto"/>
                      <w:spacing w:val="-73"/>
                      <w:sz w:val="21"/>
                    </w:rPr>
                    <w:t xml:space="preserve"> </w:t>
                  </w:r>
                  <w:r>
                    <w:rPr>
                      <w:rFonts w:ascii="Times New Roman" w:hAnsi="Times New Roman" w:eastAsia="宋体"/>
                      <w:color w:val="auto"/>
                      <w:spacing w:val="6"/>
                      <w:sz w:val="21"/>
                    </w:rPr>
                    <w:t>、排水涵管☆</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15" w:type="pct"/>
                  <w:vMerge w:val="continue"/>
                  <w:tcBorders>
                    <w:tl2br w:val="nil"/>
                    <w:tr2bl w:val="nil"/>
                  </w:tcBorders>
                  <w:vAlign w:val="center"/>
                </w:tcPr>
                <w:p>
                  <w:pPr>
                    <w:ind w:left="0" w:leftChars="0" w:right="0" w:rightChars="0" w:firstLine="0" w:firstLineChars="0"/>
                    <w:jc w:val="center"/>
                    <w:rPr>
                      <w:rFonts w:ascii="Times New Roman" w:hAnsi="Times New Roman" w:eastAsia="宋体"/>
                      <w:color w:val="auto"/>
                      <w:sz w:val="21"/>
                    </w:rPr>
                  </w:pPr>
                </w:p>
              </w:tc>
              <w:tc>
                <w:tcPr>
                  <w:tcW w:w="789" w:type="pct"/>
                  <w:tcBorders>
                    <w:tl2br w:val="nil"/>
                    <w:tr2bl w:val="nil"/>
                  </w:tcBorders>
                  <w:vAlign w:val="center"/>
                </w:tcPr>
                <w:p>
                  <w:pPr>
                    <w:pStyle w:val="45"/>
                    <w:spacing w:before="81" w:line="224"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8"/>
                      <w:sz w:val="21"/>
                    </w:rPr>
                    <w:t>植物措施</w:t>
                  </w:r>
                </w:p>
              </w:tc>
              <w:tc>
                <w:tcPr>
                  <w:tcW w:w="3195" w:type="pct"/>
                  <w:tcBorders>
                    <w:tl2br w:val="nil"/>
                    <w:tr2bl w:val="nil"/>
                  </w:tcBorders>
                  <w:vAlign w:val="center"/>
                </w:tcPr>
                <w:p>
                  <w:pPr>
                    <w:pStyle w:val="45"/>
                    <w:spacing w:before="81" w:line="225"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8"/>
                      <w:sz w:val="21"/>
                    </w:rPr>
                    <w:t>边坡绿化☆</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15" w:type="pct"/>
                  <w:vMerge w:val="continue"/>
                  <w:tcBorders>
                    <w:tl2br w:val="nil"/>
                    <w:tr2bl w:val="nil"/>
                  </w:tcBorders>
                  <w:vAlign w:val="center"/>
                </w:tcPr>
                <w:p>
                  <w:pPr>
                    <w:ind w:left="0" w:leftChars="0" w:right="0" w:rightChars="0" w:firstLine="0" w:firstLineChars="0"/>
                    <w:jc w:val="center"/>
                    <w:rPr>
                      <w:rFonts w:ascii="Times New Roman" w:hAnsi="Times New Roman" w:eastAsia="宋体"/>
                      <w:color w:val="auto"/>
                      <w:sz w:val="21"/>
                    </w:rPr>
                  </w:pPr>
                </w:p>
              </w:tc>
              <w:tc>
                <w:tcPr>
                  <w:tcW w:w="789" w:type="pct"/>
                  <w:tcBorders>
                    <w:tl2br w:val="nil"/>
                    <w:tr2bl w:val="nil"/>
                  </w:tcBorders>
                  <w:vAlign w:val="center"/>
                </w:tcPr>
                <w:p>
                  <w:pPr>
                    <w:pStyle w:val="45"/>
                    <w:spacing w:before="80" w:line="226"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4"/>
                      <w:sz w:val="21"/>
                    </w:rPr>
                    <w:t>临时措施</w:t>
                  </w:r>
                </w:p>
              </w:tc>
              <w:tc>
                <w:tcPr>
                  <w:tcW w:w="3195" w:type="pct"/>
                  <w:tcBorders>
                    <w:tl2br w:val="nil"/>
                    <w:tr2bl w:val="nil"/>
                  </w:tcBorders>
                  <w:vAlign w:val="center"/>
                </w:tcPr>
                <w:p>
                  <w:pPr>
                    <w:pStyle w:val="45"/>
                    <w:spacing w:before="80" w:line="223"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8"/>
                      <w:sz w:val="21"/>
                    </w:rPr>
                    <w:t>边坡无纺布临时苫盖★</w:t>
                  </w:r>
                  <w:r>
                    <w:rPr>
                      <w:rFonts w:ascii="Times New Roman" w:hAnsi="Times New Roman" w:eastAsia="宋体"/>
                      <w:color w:val="auto"/>
                      <w:spacing w:val="-65"/>
                      <w:sz w:val="21"/>
                    </w:rPr>
                    <w:t xml:space="preserve"> </w:t>
                  </w:r>
                  <w:r>
                    <w:rPr>
                      <w:rFonts w:ascii="Times New Roman" w:hAnsi="Times New Roman" w:eastAsia="宋体"/>
                      <w:color w:val="auto"/>
                      <w:spacing w:val="8"/>
                      <w:sz w:val="21"/>
                    </w:rPr>
                    <w:t>、堆土场彩条布临时苫盖★</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15" w:type="pct"/>
                  <w:vMerge w:val="restart"/>
                  <w:tcBorders>
                    <w:tl2br w:val="nil"/>
                    <w:tr2bl w:val="nil"/>
                  </w:tcBorders>
                  <w:vAlign w:val="center"/>
                </w:tcPr>
                <w:p>
                  <w:pPr>
                    <w:pStyle w:val="45"/>
                    <w:spacing w:before="65" w:line="227"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8"/>
                      <w:sz w:val="21"/>
                    </w:rPr>
                    <w:t>施工生产生活区</w:t>
                  </w:r>
                </w:p>
              </w:tc>
              <w:tc>
                <w:tcPr>
                  <w:tcW w:w="789" w:type="pct"/>
                  <w:tcBorders>
                    <w:tl2br w:val="nil"/>
                    <w:tr2bl w:val="nil"/>
                  </w:tcBorders>
                  <w:vAlign w:val="center"/>
                </w:tcPr>
                <w:p>
                  <w:pPr>
                    <w:pStyle w:val="45"/>
                    <w:spacing w:before="81" w:line="226"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6"/>
                      <w:sz w:val="21"/>
                    </w:rPr>
                    <w:t>工程措施</w:t>
                  </w:r>
                </w:p>
              </w:tc>
              <w:tc>
                <w:tcPr>
                  <w:tcW w:w="3195" w:type="pct"/>
                  <w:tcBorders>
                    <w:tl2br w:val="nil"/>
                    <w:tr2bl w:val="nil"/>
                  </w:tcBorders>
                  <w:vAlign w:val="center"/>
                </w:tcPr>
                <w:p>
                  <w:pPr>
                    <w:spacing w:before="115" w:line="199" w:lineRule="auto"/>
                    <w:ind w:left="0" w:leftChars="0" w:right="0" w:rightChars="0" w:firstLine="0" w:firstLineChars="0"/>
                    <w:jc w:val="center"/>
                    <w:rPr>
                      <w:rFonts w:ascii="Times New Roman" w:hAnsi="Times New Roman" w:eastAsia="宋体" w:cs="Times New Roman"/>
                      <w:color w:val="auto"/>
                      <w:sz w:val="21"/>
                      <w:szCs w:val="20"/>
                    </w:rPr>
                  </w:pPr>
                  <w:r>
                    <w:rPr>
                      <w:rFonts w:ascii="Times New Roman" w:hAnsi="Times New Roman" w:eastAsia="宋体" w:cs="Times New Roman"/>
                      <w:color w:val="auto"/>
                      <w:spacing w:val="2"/>
                      <w:sz w:val="21"/>
                      <w:szCs w:val="20"/>
                    </w:rPr>
                    <w:t>/</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015" w:type="pct"/>
                  <w:vMerge w:val="continue"/>
                  <w:tcBorders>
                    <w:tl2br w:val="nil"/>
                    <w:tr2bl w:val="nil"/>
                  </w:tcBorders>
                  <w:vAlign w:val="center"/>
                </w:tcPr>
                <w:p>
                  <w:pPr>
                    <w:ind w:left="0" w:leftChars="0" w:right="0" w:rightChars="0" w:firstLine="0" w:firstLineChars="0"/>
                    <w:jc w:val="center"/>
                    <w:rPr>
                      <w:rFonts w:ascii="Times New Roman" w:hAnsi="Times New Roman" w:eastAsia="宋体"/>
                      <w:color w:val="auto"/>
                      <w:sz w:val="21"/>
                    </w:rPr>
                  </w:pPr>
                </w:p>
              </w:tc>
              <w:tc>
                <w:tcPr>
                  <w:tcW w:w="789" w:type="pct"/>
                  <w:tcBorders>
                    <w:tl2br w:val="nil"/>
                    <w:tr2bl w:val="nil"/>
                  </w:tcBorders>
                  <w:vAlign w:val="center"/>
                </w:tcPr>
                <w:p>
                  <w:pPr>
                    <w:pStyle w:val="45"/>
                    <w:spacing w:before="82" w:line="224"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8"/>
                      <w:sz w:val="21"/>
                    </w:rPr>
                    <w:t>植物措施</w:t>
                  </w:r>
                </w:p>
              </w:tc>
              <w:tc>
                <w:tcPr>
                  <w:tcW w:w="3195" w:type="pct"/>
                  <w:tcBorders>
                    <w:tl2br w:val="nil"/>
                    <w:tr2bl w:val="nil"/>
                  </w:tcBorders>
                  <w:vAlign w:val="center"/>
                </w:tcPr>
                <w:p>
                  <w:pPr>
                    <w:pStyle w:val="45"/>
                    <w:spacing w:before="80" w:line="228"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7"/>
                      <w:sz w:val="21"/>
                    </w:rPr>
                    <w:t>穴播灌草绿化★</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15" w:type="pct"/>
                  <w:vMerge w:val="continue"/>
                  <w:tcBorders>
                    <w:tl2br w:val="nil"/>
                    <w:tr2bl w:val="nil"/>
                  </w:tcBorders>
                  <w:vAlign w:val="center"/>
                </w:tcPr>
                <w:p>
                  <w:pPr>
                    <w:ind w:left="0" w:leftChars="0" w:right="0" w:rightChars="0" w:firstLine="0" w:firstLineChars="0"/>
                    <w:jc w:val="center"/>
                    <w:rPr>
                      <w:rFonts w:ascii="Times New Roman" w:hAnsi="Times New Roman" w:eastAsia="宋体"/>
                      <w:color w:val="auto"/>
                      <w:sz w:val="21"/>
                    </w:rPr>
                  </w:pPr>
                </w:p>
              </w:tc>
              <w:tc>
                <w:tcPr>
                  <w:tcW w:w="789" w:type="pct"/>
                  <w:tcBorders>
                    <w:tl2br w:val="nil"/>
                    <w:tr2bl w:val="nil"/>
                  </w:tcBorders>
                  <w:vAlign w:val="center"/>
                </w:tcPr>
                <w:p>
                  <w:pPr>
                    <w:pStyle w:val="45"/>
                    <w:spacing w:before="85" w:line="226"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4"/>
                      <w:sz w:val="21"/>
                    </w:rPr>
                    <w:t>临时措施</w:t>
                  </w:r>
                </w:p>
              </w:tc>
              <w:tc>
                <w:tcPr>
                  <w:tcW w:w="3195" w:type="pct"/>
                  <w:tcBorders>
                    <w:tl2br w:val="nil"/>
                    <w:tr2bl w:val="nil"/>
                  </w:tcBorders>
                  <w:vAlign w:val="center"/>
                </w:tcPr>
                <w:p>
                  <w:pPr>
                    <w:pStyle w:val="45"/>
                    <w:spacing w:before="85" w:line="225"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6"/>
                      <w:sz w:val="21"/>
                    </w:rPr>
                    <w:t>临时排水沟★</w:t>
                  </w:r>
                  <w:r>
                    <w:rPr>
                      <w:rFonts w:ascii="Times New Roman" w:hAnsi="Times New Roman" w:eastAsia="宋体"/>
                      <w:color w:val="auto"/>
                      <w:spacing w:val="-71"/>
                      <w:sz w:val="21"/>
                    </w:rPr>
                    <w:t xml:space="preserve"> </w:t>
                  </w:r>
                  <w:r>
                    <w:rPr>
                      <w:rFonts w:ascii="Times New Roman" w:hAnsi="Times New Roman" w:eastAsia="宋体"/>
                      <w:color w:val="auto"/>
                      <w:spacing w:val="6"/>
                      <w:sz w:val="21"/>
                    </w:rPr>
                    <w:t>、临时沉沙池★</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15" w:type="pct"/>
                  <w:vMerge w:val="restart"/>
                  <w:tcBorders>
                    <w:tl2br w:val="nil"/>
                    <w:tr2bl w:val="nil"/>
                  </w:tcBorders>
                  <w:vAlign w:val="center"/>
                </w:tcPr>
                <w:p>
                  <w:pPr>
                    <w:pStyle w:val="45"/>
                    <w:spacing w:before="65" w:line="226"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3"/>
                      <w:sz w:val="21"/>
                    </w:rPr>
                    <w:t>弃渣场</w:t>
                  </w:r>
                </w:p>
              </w:tc>
              <w:tc>
                <w:tcPr>
                  <w:tcW w:w="789" w:type="pct"/>
                  <w:tcBorders>
                    <w:tl2br w:val="nil"/>
                    <w:tr2bl w:val="nil"/>
                  </w:tcBorders>
                  <w:vAlign w:val="center"/>
                </w:tcPr>
                <w:p>
                  <w:pPr>
                    <w:pStyle w:val="45"/>
                    <w:spacing w:before="86" w:line="226"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6"/>
                      <w:sz w:val="21"/>
                    </w:rPr>
                    <w:t>工程措施</w:t>
                  </w:r>
                </w:p>
              </w:tc>
              <w:tc>
                <w:tcPr>
                  <w:tcW w:w="3195" w:type="pct"/>
                  <w:tcBorders>
                    <w:tl2br w:val="nil"/>
                    <w:tr2bl w:val="nil"/>
                  </w:tcBorders>
                  <w:vAlign w:val="center"/>
                </w:tcPr>
                <w:p>
                  <w:pPr>
                    <w:pStyle w:val="45"/>
                    <w:spacing w:before="94" w:line="209" w:lineRule="auto"/>
                    <w:ind w:left="0" w:leftChars="0" w:right="0" w:rightChars="0" w:firstLine="0" w:firstLineChars="0"/>
                    <w:jc w:val="center"/>
                    <w:rPr>
                      <w:rFonts w:ascii="Times New Roman" w:hAnsi="Times New Roman" w:eastAsia="宋体" w:cs="Segoe UI Symbol"/>
                      <w:color w:val="auto"/>
                      <w:sz w:val="21"/>
                    </w:rPr>
                  </w:pPr>
                  <w:r>
                    <w:rPr>
                      <w:rFonts w:ascii="Times New Roman" w:hAnsi="Times New Roman" w:eastAsia="宋体"/>
                      <w:color w:val="auto"/>
                      <w:spacing w:val="6"/>
                      <w:sz w:val="21"/>
                    </w:rPr>
                    <w:t>截水沟</w:t>
                  </w:r>
                  <w:r>
                    <w:rPr>
                      <w:rFonts w:ascii="Times New Roman" w:hAnsi="Times New Roman" w:eastAsia="宋体" w:cs="Segoe UI Symbol"/>
                      <w:color w:val="auto"/>
                      <w:spacing w:val="6"/>
                      <w:sz w:val="21"/>
                    </w:rPr>
                    <w:t>★</w:t>
                  </w:r>
                  <w:r>
                    <w:rPr>
                      <w:rFonts w:ascii="Times New Roman" w:hAnsi="Times New Roman" w:eastAsia="宋体" w:cs="Segoe UI Symbol"/>
                      <w:color w:val="auto"/>
                      <w:spacing w:val="-29"/>
                      <w:sz w:val="21"/>
                    </w:rPr>
                    <w:t xml:space="preserve"> </w:t>
                  </w:r>
                  <w:r>
                    <w:rPr>
                      <w:rFonts w:ascii="Times New Roman" w:hAnsi="Times New Roman" w:eastAsia="宋体"/>
                      <w:color w:val="auto"/>
                      <w:spacing w:val="6"/>
                      <w:sz w:val="21"/>
                    </w:rPr>
                    <w:t>、马道排水沟</w:t>
                  </w:r>
                  <w:r>
                    <w:rPr>
                      <w:rFonts w:ascii="Times New Roman" w:hAnsi="Times New Roman" w:eastAsia="宋体" w:cs="Segoe UI Symbol"/>
                      <w:color w:val="auto"/>
                      <w:spacing w:val="6"/>
                      <w:sz w:val="21"/>
                    </w:rPr>
                    <w:t>★</w:t>
                  </w:r>
                  <w:r>
                    <w:rPr>
                      <w:rFonts w:ascii="Times New Roman" w:hAnsi="Times New Roman" w:eastAsia="宋体" w:cs="Segoe UI Symbol"/>
                      <w:color w:val="auto"/>
                      <w:spacing w:val="-28"/>
                      <w:sz w:val="21"/>
                    </w:rPr>
                    <w:t xml:space="preserve"> </w:t>
                  </w:r>
                  <w:r>
                    <w:rPr>
                      <w:rFonts w:ascii="Times New Roman" w:hAnsi="Times New Roman" w:eastAsia="宋体"/>
                      <w:color w:val="auto"/>
                      <w:spacing w:val="6"/>
                      <w:sz w:val="21"/>
                    </w:rPr>
                    <w:t>、浆砌石挡墙</w:t>
                  </w:r>
                  <w:r>
                    <w:rPr>
                      <w:rFonts w:ascii="Times New Roman" w:hAnsi="Times New Roman" w:eastAsia="宋体" w:cs="Segoe UI Symbol"/>
                      <w:color w:val="auto"/>
                      <w:spacing w:val="6"/>
                      <w:sz w:val="21"/>
                    </w:rPr>
                    <w:t>★</w:t>
                  </w:r>
                  <w:r>
                    <w:rPr>
                      <w:rFonts w:ascii="Times New Roman" w:hAnsi="Times New Roman" w:eastAsia="宋体" w:cs="Segoe UI Symbol"/>
                      <w:color w:val="auto"/>
                      <w:spacing w:val="-28"/>
                      <w:sz w:val="21"/>
                    </w:rPr>
                    <w:t xml:space="preserve"> </w:t>
                  </w:r>
                  <w:r>
                    <w:rPr>
                      <w:rFonts w:ascii="Times New Roman" w:hAnsi="Times New Roman" w:eastAsia="宋体"/>
                      <w:color w:val="auto"/>
                      <w:spacing w:val="6"/>
                      <w:sz w:val="21"/>
                    </w:rPr>
                    <w:t>、</w:t>
                  </w:r>
                  <w:r>
                    <w:rPr>
                      <w:rFonts w:ascii="Times New Roman" w:hAnsi="Times New Roman" w:eastAsia="宋体"/>
                      <w:color w:val="auto"/>
                      <w:spacing w:val="5"/>
                      <w:sz w:val="21"/>
                    </w:rPr>
                    <w:t>顺接设施</w:t>
                  </w:r>
                  <w:r>
                    <w:rPr>
                      <w:rFonts w:ascii="Times New Roman" w:hAnsi="Times New Roman" w:eastAsia="宋体" w:cs="Segoe UI Symbol"/>
                      <w:color w:val="auto"/>
                      <w:spacing w:val="5"/>
                      <w:sz w:val="21"/>
                    </w:rPr>
                    <w:t>★</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15" w:type="pct"/>
                  <w:vMerge w:val="continue"/>
                  <w:tcBorders>
                    <w:tl2br w:val="nil"/>
                    <w:tr2bl w:val="nil"/>
                  </w:tcBorders>
                  <w:vAlign w:val="center"/>
                </w:tcPr>
                <w:p>
                  <w:pPr>
                    <w:ind w:left="0" w:leftChars="0" w:right="0" w:rightChars="0" w:firstLine="0" w:firstLineChars="0"/>
                    <w:jc w:val="center"/>
                    <w:rPr>
                      <w:rFonts w:ascii="Times New Roman" w:hAnsi="Times New Roman" w:eastAsia="宋体"/>
                      <w:color w:val="auto"/>
                      <w:sz w:val="21"/>
                    </w:rPr>
                  </w:pPr>
                </w:p>
              </w:tc>
              <w:tc>
                <w:tcPr>
                  <w:tcW w:w="789" w:type="pct"/>
                  <w:tcBorders>
                    <w:tl2br w:val="nil"/>
                    <w:tr2bl w:val="nil"/>
                  </w:tcBorders>
                  <w:vAlign w:val="center"/>
                </w:tcPr>
                <w:p>
                  <w:pPr>
                    <w:pStyle w:val="45"/>
                    <w:spacing w:before="88" w:line="224"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8"/>
                      <w:sz w:val="21"/>
                    </w:rPr>
                    <w:t>植物措施</w:t>
                  </w:r>
                </w:p>
              </w:tc>
              <w:tc>
                <w:tcPr>
                  <w:tcW w:w="3195" w:type="pct"/>
                  <w:tcBorders>
                    <w:tl2br w:val="nil"/>
                    <w:tr2bl w:val="nil"/>
                  </w:tcBorders>
                  <w:vAlign w:val="center"/>
                </w:tcPr>
                <w:p>
                  <w:pPr>
                    <w:pStyle w:val="45"/>
                    <w:spacing w:before="95" w:line="208" w:lineRule="auto"/>
                    <w:ind w:left="0" w:leftChars="0" w:right="0" w:rightChars="0" w:firstLine="0" w:firstLineChars="0"/>
                    <w:jc w:val="center"/>
                    <w:rPr>
                      <w:rFonts w:ascii="Times New Roman" w:hAnsi="Times New Roman" w:eastAsia="宋体" w:cs="Segoe UI Symbol"/>
                      <w:color w:val="auto"/>
                      <w:sz w:val="21"/>
                    </w:rPr>
                  </w:pPr>
                  <w:r>
                    <w:rPr>
                      <w:rFonts w:ascii="Times New Roman" w:hAnsi="Times New Roman" w:eastAsia="宋体"/>
                      <w:color w:val="auto"/>
                      <w:spacing w:val="8"/>
                      <w:sz w:val="21"/>
                    </w:rPr>
                    <w:t>植被恢复</w:t>
                  </w:r>
                  <w:r>
                    <w:rPr>
                      <w:rFonts w:ascii="Times New Roman" w:hAnsi="Times New Roman" w:eastAsia="宋体" w:cs="Segoe UI Symbol"/>
                      <w:color w:val="auto"/>
                      <w:spacing w:val="8"/>
                      <w:sz w:val="21"/>
                    </w:rPr>
                    <w:t>★</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015" w:type="pct"/>
                  <w:vMerge w:val="continue"/>
                  <w:tcBorders>
                    <w:tl2br w:val="nil"/>
                    <w:tr2bl w:val="nil"/>
                  </w:tcBorders>
                  <w:vAlign w:val="center"/>
                </w:tcPr>
                <w:p>
                  <w:pPr>
                    <w:ind w:left="0" w:leftChars="0" w:right="0" w:rightChars="0" w:firstLine="0" w:firstLineChars="0"/>
                    <w:jc w:val="center"/>
                    <w:rPr>
                      <w:rFonts w:ascii="Times New Roman" w:hAnsi="Times New Roman" w:eastAsia="宋体"/>
                      <w:color w:val="auto"/>
                      <w:sz w:val="21"/>
                    </w:rPr>
                  </w:pPr>
                </w:p>
              </w:tc>
              <w:tc>
                <w:tcPr>
                  <w:tcW w:w="789" w:type="pct"/>
                  <w:tcBorders>
                    <w:tl2br w:val="nil"/>
                    <w:tr2bl w:val="nil"/>
                  </w:tcBorders>
                  <w:vAlign w:val="center"/>
                </w:tcPr>
                <w:p>
                  <w:pPr>
                    <w:pStyle w:val="45"/>
                    <w:spacing w:before="87" w:line="226" w:lineRule="auto"/>
                    <w:ind w:left="0" w:leftChars="0" w:right="0" w:rightChars="0" w:firstLine="0" w:firstLineChars="0"/>
                    <w:jc w:val="center"/>
                    <w:rPr>
                      <w:rFonts w:ascii="Times New Roman" w:hAnsi="Times New Roman" w:eastAsia="宋体"/>
                      <w:color w:val="auto"/>
                      <w:sz w:val="21"/>
                    </w:rPr>
                  </w:pPr>
                  <w:r>
                    <w:rPr>
                      <w:rFonts w:ascii="Times New Roman" w:hAnsi="Times New Roman" w:eastAsia="宋体"/>
                      <w:color w:val="auto"/>
                      <w:spacing w:val="4"/>
                      <w:sz w:val="21"/>
                    </w:rPr>
                    <w:t>临时措施</w:t>
                  </w:r>
                </w:p>
              </w:tc>
              <w:tc>
                <w:tcPr>
                  <w:tcW w:w="3195" w:type="pct"/>
                  <w:tcBorders>
                    <w:tl2br w:val="nil"/>
                    <w:tr2bl w:val="nil"/>
                  </w:tcBorders>
                  <w:vAlign w:val="center"/>
                </w:tcPr>
                <w:p>
                  <w:pPr>
                    <w:spacing w:before="120" w:line="199" w:lineRule="auto"/>
                    <w:ind w:left="0" w:leftChars="0" w:right="0" w:rightChars="0" w:firstLine="0" w:firstLineChars="0"/>
                    <w:jc w:val="center"/>
                    <w:rPr>
                      <w:rFonts w:ascii="Times New Roman" w:hAnsi="Times New Roman" w:eastAsia="宋体" w:cs="Times New Roman"/>
                      <w:color w:val="auto"/>
                      <w:sz w:val="21"/>
                      <w:szCs w:val="20"/>
                    </w:rPr>
                  </w:pPr>
                  <w:r>
                    <w:rPr>
                      <w:rFonts w:ascii="Times New Roman" w:hAnsi="Times New Roman" w:eastAsia="宋体" w:cs="Times New Roman"/>
                      <w:color w:val="auto"/>
                      <w:spacing w:val="2"/>
                      <w:sz w:val="21"/>
                      <w:szCs w:val="20"/>
                    </w:rPr>
                    <w:t>/</w:t>
                  </w:r>
                </w:p>
              </w:tc>
            </w:tr>
          </w:tbl>
          <w:p>
            <w:pPr>
              <w:widowControl/>
              <w:kinsoku w:val="0"/>
              <w:autoSpaceDE w:val="0"/>
              <w:autoSpaceDN w:val="0"/>
              <w:adjustRightInd w:val="0"/>
              <w:snapToGrid w:val="0"/>
              <w:spacing w:before="32" w:line="226" w:lineRule="auto"/>
              <w:ind w:left="555"/>
              <w:jc w:val="left"/>
              <w:textAlignment w:val="baseline"/>
              <w:rPr>
                <w:rFonts w:hint="eastAsia" w:ascii="宋体" w:hAnsi="宋体" w:eastAsia="宋体" w:cs="宋体"/>
                <w:b/>
                <w:bCs/>
                <w:snapToGrid w:val="0"/>
                <w:color w:val="auto"/>
                <w:kern w:val="0"/>
                <w:sz w:val="21"/>
                <w:szCs w:val="21"/>
                <w:lang w:eastAsia="en-US"/>
              </w:rPr>
            </w:pPr>
            <w:r>
              <w:rPr>
                <w:rFonts w:hint="eastAsia" w:ascii="宋体" w:hAnsi="宋体" w:eastAsia="宋体" w:cs="宋体"/>
                <w:b/>
                <w:bCs/>
                <w:snapToGrid w:val="0"/>
                <w:color w:val="auto"/>
                <w:spacing w:val="7"/>
                <w:kern w:val="0"/>
                <w:sz w:val="21"/>
                <w:szCs w:val="21"/>
                <w:lang w:eastAsia="en-US"/>
              </w:rPr>
              <w:t>注：</w:t>
            </w:r>
            <w:r>
              <w:rPr>
                <w:rFonts w:hint="eastAsia" w:ascii="宋体" w:hAnsi="宋体" w:eastAsia="宋体" w:cs="宋体"/>
                <w:b/>
                <w:bCs/>
                <w:snapToGrid w:val="0"/>
                <w:color w:val="auto"/>
                <w:spacing w:val="-53"/>
                <w:kern w:val="0"/>
                <w:sz w:val="21"/>
                <w:szCs w:val="21"/>
                <w:lang w:eastAsia="en-US"/>
              </w:rPr>
              <w:t xml:space="preserve"> </w:t>
            </w:r>
            <w:r>
              <w:rPr>
                <w:rFonts w:hint="eastAsia" w:ascii="宋体" w:hAnsi="宋体" w:eastAsia="宋体" w:cs="宋体"/>
                <w:b/>
                <w:bCs/>
                <w:snapToGrid w:val="0"/>
                <w:color w:val="auto"/>
                <w:spacing w:val="7"/>
                <w:kern w:val="0"/>
                <w:sz w:val="21"/>
                <w:szCs w:val="21"/>
                <w:lang w:eastAsia="en-US"/>
              </w:rPr>
              <w:t>☆为主体设计已有措施，★为方案新增措施</w:t>
            </w:r>
          </w:p>
          <w:p>
            <w:pPr>
              <w:widowControl w:val="0"/>
              <w:spacing w:beforeLines="0" w:afterLines="0" w:line="360" w:lineRule="auto"/>
              <w:ind w:firstLine="480" w:firstLineChars="200"/>
              <w:jc w:val="both"/>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项目具体保护措施如下：</w:t>
            </w:r>
          </w:p>
          <w:p>
            <w:pPr>
              <w:widowControl w:val="0"/>
              <w:spacing w:beforeLines="0" w:afterLines="0" w:line="360" w:lineRule="auto"/>
              <w:ind w:firstLine="480" w:firstLineChars="200"/>
              <w:jc w:val="both"/>
              <w:rPr>
                <w:rFonts w:hint="eastAsia" w:ascii="Times New Roman" w:hAnsi="Times New Roman" w:eastAsia="宋体" w:cs="Times New Roman"/>
                <w:color w:val="auto"/>
                <w:sz w:val="24"/>
                <w:lang w:val="en-US" w:eastAsia="en-US"/>
              </w:rPr>
            </w:pPr>
            <w:r>
              <w:rPr>
                <w:rFonts w:hint="eastAsia" w:ascii="Times New Roman" w:hAnsi="Times New Roman" w:eastAsia="宋体" w:cs="Times New Roman"/>
                <w:color w:val="auto"/>
                <w:sz w:val="24"/>
                <w:lang w:val="en-US" w:eastAsia="en-US"/>
              </w:rPr>
              <w:t>（1）光伏发电区</w:t>
            </w:r>
          </w:p>
          <w:p>
            <w:pPr>
              <w:widowControl w:val="0"/>
              <w:spacing w:beforeLines="0" w:afterLines="0" w:line="360" w:lineRule="auto"/>
              <w:ind w:firstLine="480" w:firstLineChars="200"/>
              <w:jc w:val="both"/>
              <w:rPr>
                <w:rFonts w:hint="eastAsia" w:ascii="Times New Roman" w:hAnsi="Times New Roman" w:eastAsia="宋体" w:cs="Times New Roman"/>
                <w:color w:val="auto"/>
                <w:sz w:val="24"/>
                <w:lang w:val="en-US" w:eastAsia="en-US"/>
              </w:rPr>
            </w:pPr>
            <w:r>
              <w:rPr>
                <w:rFonts w:hint="eastAsia" w:ascii="Times New Roman" w:hAnsi="Times New Roman" w:eastAsia="宋体" w:cs="Times New Roman"/>
                <w:color w:val="auto"/>
                <w:sz w:val="24"/>
                <w:lang w:val="en-US" w:eastAsia="en-US"/>
              </w:rPr>
              <w:t>太阳能光伏方阵区基础采用混凝土灌注桩，施工扰动较小。基本不存在大面积 挖填，光伏板均布置在坡顶及坡中。考虑到项目存在弃渣，为避免弃渣造成下游水 土流失，本方案补充结合弃渣场选址布置谷坊，工程量计入光伏发电区。根据现场 踏勘，光伏发电区表土资源分布条件较佳，本方案补充光伏发电区永久占地区域补充表土剥离，并针对光伏发电区提出水土保持管理要求。</w:t>
            </w:r>
          </w:p>
          <w:p>
            <w:pPr>
              <w:widowControl w:val="0"/>
              <w:spacing w:beforeLines="0" w:afterLines="0" w:line="360" w:lineRule="auto"/>
              <w:ind w:firstLine="480" w:firstLineChars="200"/>
              <w:jc w:val="both"/>
              <w:rPr>
                <w:rFonts w:hint="eastAsia" w:ascii="Times New Roman" w:hAnsi="Times New Roman" w:eastAsia="宋体" w:cs="Times New Roman"/>
                <w:color w:val="auto"/>
                <w:sz w:val="24"/>
                <w:lang w:val="en-US" w:eastAsia="en-US"/>
              </w:rPr>
            </w:pPr>
            <w:r>
              <w:rPr>
                <w:rFonts w:hint="eastAsia" w:ascii="Times New Roman" w:hAnsi="Times New Roman" w:eastAsia="宋体" w:cs="Times New Roman"/>
                <w:color w:val="auto"/>
                <w:sz w:val="24"/>
                <w:lang w:val="en-US" w:eastAsia="en-US"/>
              </w:rPr>
              <w:t>（2）集电线路区</w:t>
            </w:r>
          </w:p>
          <w:p>
            <w:pPr>
              <w:widowControl w:val="0"/>
              <w:spacing w:beforeLines="0" w:afterLines="0" w:line="360" w:lineRule="auto"/>
              <w:ind w:firstLine="480" w:firstLineChars="200"/>
              <w:jc w:val="both"/>
              <w:rPr>
                <w:rFonts w:hint="eastAsia" w:ascii="Times New Roman" w:hAnsi="Times New Roman" w:eastAsia="宋体" w:cs="Times New Roman"/>
                <w:color w:val="auto"/>
                <w:sz w:val="24"/>
                <w:lang w:val="en-US" w:eastAsia="en-US"/>
              </w:rPr>
            </w:pPr>
            <w:r>
              <w:rPr>
                <w:rFonts w:hint="eastAsia" w:ascii="Times New Roman" w:hAnsi="Times New Roman" w:eastAsia="宋体" w:cs="Times New Roman"/>
                <w:color w:val="auto"/>
                <w:sz w:val="24"/>
                <w:lang w:val="en-US" w:eastAsia="en-US"/>
              </w:rPr>
              <w:t>集电线路区架空线路剥离的表土堆放在塔基一侧，地埋电缆堆放在沟槽一侧，本方案设计补充表土剥离及对表土堆场的临时苫盖措施，在施工结束后进行撒草绿化，并提出水土保持管护要求。</w:t>
            </w:r>
          </w:p>
          <w:p>
            <w:pPr>
              <w:widowControl w:val="0"/>
              <w:spacing w:beforeLines="0" w:afterLines="0" w:line="360" w:lineRule="auto"/>
              <w:ind w:firstLine="480" w:firstLineChars="200"/>
              <w:jc w:val="both"/>
              <w:rPr>
                <w:rFonts w:hint="eastAsia" w:ascii="Times New Roman" w:hAnsi="Times New Roman" w:eastAsia="宋体" w:cs="Times New Roman"/>
                <w:color w:val="auto"/>
                <w:sz w:val="24"/>
                <w:lang w:val="en-US" w:eastAsia="en-US"/>
              </w:rPr>
            </w:pPr>
            <w:r>
              <w:rPr>
                <w:rFonts w:hint="eastAsia" w:ascii="Times New Roman" w:hAnsi="Times New Roman" w:eastAsia="宋体" w:cs="Times New Roman"/>
                <w:color w:val="auto"/>
                <w:sz w:val="24"/>
                <w:lang w:val="en-US" w:eastAsia="en-US"/>
              </w:rPr>
              <w:t>（3）箱变及分支箱</w:t>
            </w:r>
          </w:p>
          <w:p>
            <w:pPr>
              <w:widowControl w:val="0"/>
              <w:spacing w:beforeLines="0" w:afterLines="0" w:line="360" w:lineRule="auto"/>
              <w:ind w:firstLine="480" w:firstLineChars="200"/>
              <w:jc w:val="both"/>
              <w:rPr>
                <w:rFonts w:hint="eastAsia" w:ascii="Times New Roman" w:hAnsi="Times New Roman" w:eastAsia="宋体" w:cs="Times New Roman"/>
                <w:color w:val="auto"/>
                <w:sz w:val="24"/>
                <w:lang w:val="en-US" w:eastAsia="en-US"/>
              </w:rPr>
            </w:pPr>
            <w:r>
              <w:rPr>
                <w:rFonts w:hint="eastAsia" w:ascii="Times New Roman" w:hAnsi="Times New Roman" w:eastAsia="宋体" w:cs="Times New Roman"/>
                <w:color w:val="auto"/>
                <w:sz w:val="24"/>
                <w:lang w:val="en-US" w:eastAsia="en-US"/>
              </w:rPr>
              <w:t>该区域扰动仅存在于基础开挖阶段，施工时段短，本方案提出水土保持管护要求。</w:t>
            </w:r>
          </w:p>
          <w:p>
            <w:pPr>
              <w:widowControl w:val="0"/>
              <w:spacing w:beforeLines="0" w:afterLines="0" w:line="360" w:lineRule="auto"/>
              <w:ind w:firstLine="480" w:firstLineChars="200"/>
              <w:jc w:val="both"/>
              <w:rPr>
                <w:rFonts w:hint="eastAsia" w:ascii="Times New Roman" w:hAnsi="Times New Roman" w:eastAsia="宋体" w:cs="Times New Roman"/>
                <w:color w:val="auto"/>
                <w:sz w:val="24"/>
                <w:lang w:val="en-US" w:eastAsia="en-US"/>
              </w:rPr>
            </w:pPr>
            <w:r>
              <w:rPr>
                <w:rFonts w:hint="eastAsia" w:ascii="Times New Roman" w:hAnsi="Times New Roman" w:eastAsia="宋体" w:cs="Times New Roman"/>
                <w:color w:val="auto"/>
                <w:sz w:val="24"/>
                <w:lang w:val="en-US" w:eastAsia="en-US"/>
              </w:rPr>
              <w:t>（4）升压站</w:t>
            </w:r>
          </w:p>
          <w:p>
            <w:pPr>
              <w:widowControl w:val="0"/>
              <w:spacing w:beforeLines="0" w:afterLines="0" w:line="360" w:lineRule="auto"/>
              <w:ind w:firstLine="480" w:firstLineChars="200"/>
              <w:jc w:val="both"/>
              <w:rPr>
                <w:rFonts w:hint="eastAsia" w:ascii="Times New Roman" w:hAnsi="Times New Roman" w:eastAsia="宋体" w:cs="Times New Roman"/>
                <w:color w:val="auto"/>
                <w:sz w:val="24"/>
                <w:lang w:val="en-US" w:eastAsia="en-US"/>
              </w:rPr>
            </w:pPr>
            <w:r>
              <w:rPr>
                <w:rFonts w:hint="eastAsia" w:ascii="Times New Roman" w:hAnsi="Times New Roman" w:eastAsia="宋体" w:cs="Times New Roman"/>
                <w:color w:val="auto"/>
                <w:sz w:val="24"/>
                <w:lang w:val="en-US" w:eastAsia="en-US"/>
              </w:rPr>
              <w:t>除主体工程已考虑的雨水管网、浆砌石截排水沟、跌水井、绿化、护坡外，本 方案在主体工程已有措施的基础上，补充表土剥离、临时沉沙池、临时苫盖、“永临结合”排水沟，并提出水土保持管护要求。</w:t>
            </w:r>
          </w:p>
          <w:p>
            <w:pPr>
              <w:widowControl w:val="0"/>
              <w:spacing w:beforeLines="0" w:afterLines="0" w:line="360" w:lineRule="auto"/>
              <w:ind w:firstLine="480" w:firstLineChars="200"/>
              <w:jc w:val="both"/>
              <w:rPr>
                <w:rFonts w:hint="eastAsia" w:ascii="Times New Roman" w:hAnsi="Times New Roman" w:eastAsia="宋体" w:cs="Times New Roman"/>
                <w:color w:val="auto"/>
                <w:sz w:val="24"/>
                <w:lang w:val="en-US" w:eastAsia="en-US"/>
              </w:rPr>
            </w:pPr>
            <w:r>
              <w:rPr>
                <w:rFonts w:hint="eastAsia" w:ascii="Times New Roman" w:hAnsi="Times New Roman" w:eastAsia="宋体" w:cs="Times New Roman"/>
                <w:color w:val="auto"/>
                <w:sz w:val="24"/>
                <w:lang w:val="en-US" w:eastAsia="en-US"/>
              </w:rPr>
              <w:t>（5）场内道路区</w:t>
            </w:r>
          </w:p>
          <w:p>
            <w:pPr>
              <w:widowControl w:val="0"/>
              <w:spacing w:beforeLines="0" w:afterLines="0" w:line="360" w:lineRule="auto"/>
              <w:ind w:firstLine="480" w:firstLineChars="200"/>
              <w:jc w:val="both"/>
              <w:rPr>
                <w:rFonts w:hint="eastAsia" w:ascii="Times New Roman" w:hAnsi="Times New Roman" w:eastAsia="宋体" w:cs="Times New Roman"/>
                <w:color w:val="auto"/>
                <w:sz w:val="24"/>
                <w:lang w:val="en-US" w:eastAsia="en-US"/>
              </w:rPr>
            </w:pPr>
            <w:r>
              <w:rPr>
                <w:rFonts w:hint="eastAsia" w:ascii="Times New Roman" w:hAnsi="Times New Roman" w:eastAsia="宋体" w:cs="Times New Roman"/>
                <w:color w:val="auto"/>
                <w:sz w:val="24"/>
                <w:lang w:val="en-US" w:eastAsia="en-US"/>
              </w:rPr>
              <w:t>主体设计新建、改扩建检修道路区域实施土质排水边沟，进场道路部分实施砖 砌边沟，并结合排水涵管排导雨水，本方案在主体设计基础上，对道路区域可剥离 表土进行表土剥离，表土分散堆放在道路回车场内，补充道路边坡穴播灌草绿化、排水沟出水口沉沙池措施，表土堆放区布置彩条布临时苫盖措施；对边坡裸露区增加无纺布临时覆盖措施。同时提出水土保持管护要求。</w:t>
            </w:r>
          </w:p>
          <w:p>
            <w:pPr>
              <w:widowControl w:val="0"/>
              <w:spacing w:beforeLines="0" w:afterLines="0" w:line="360" w:lineRule="auto"/>
              <w:ind w:firstLine="480" w:firstLineChars="200"/>
              <w:jc w:val="both"/>
              <w:rPr>
                <w:rFonts w:hint="eastAsia" w:ascii="Times New Roman" w:hAnsi="Times New Roman" w:eastAsia="宋体" w:cs="Times New Roman"/>
                <w:color w:val="auto"/>
                <w:sz w:val="24"/>
                <w:lang w:val="en-US" w:eastAsia="en-US"/>
              </w:rPr>
            </w:pPr>
            <w:r>
              <w:rPr>
                <w:rFonts w:hint="eastAsia" w:ascii="Times New Roman" w:hAnsi="Times New Roman" w:eastAsia="宋体" w:cs="Times New Roman"/>
                <w:color w:val="auto"/>
                <w:sz w:val="24"/>
                <w:lang w:val="en-US" w:eastAsia="en-US"/>
              </w:rPr>
              <w:t>（6）施工生产生活区</w:t>
            </w:r>
          </w:p>
          <w:p>
            <w:pPr>
              <w:widowControl w:val="0"/>
              <w:spacing w:beforeLines="0" w:afterLines="0" w:line="360" w:lineRule="auto"/>
              <w:ind w:firstLine="480" w:firstLineChars="200"/>
              <w:jc w:val="both"/>
              <w:rPr>
                <w:rFonts w:hint="eastAsia" w:ascii="Times New Roman" w:hAnsi="Times New Roman" w:eastAsia="宋体" w:cs="Times New Roman"/>
                <w:color w:val="auto"/>
                <w:sz w:val="24"/>
                <w:lang w:val="en-US" w:eastAsia="en-US"/>
              </w:rPr>
            </w:pPr>
            <w:r>
              <w:rPr>
                <w:rFonts w:hint="eastAsia" w:ascii="Times New Roman" w:hAnsi="Times New Roman" w:eastAsia="宋体" w:cs="Times New Roman"/>
                <w:color w:val="auto"/>
                <w:sz w:val="24"/>
                <w:lang w:val="en-US" w:eastAsia="en-US"/>
              </w:rPr>
              <w:t>为排出施工期场地内汇水，本方案在场地内新增临时排水沟，排水出口布设沉沙池，在施工结束后清理场地并穴播灌草绿化，并提出水土保持管护要求。</w:t>
            </w:r>
          </w:p>
          <w:p>
            <w:pPr>
              <w:widowControl w:val="0"/>
              <w:spacing w:beforeLines="0" w:afterLines="0" w:line="360" w:lineRule="auto"/>
              <w:ind w:firstLine="480" w:firstLineChars="200"/>
              <w:jc w:val="both"/>
              <w:rPr>
                <w:rFonts w:hint="eastAsia" w:ascii="Times New Roman" w:hAnsi="Times New Roman" w:eastAsia="宋体" w:cs="Times New Roman"/>
                <w:color w:val="auto"/>
                <w:sz w:val="24"/>
                <w:lang w:val="en-US" w:eastAsia="en-US"/>
              </w:rPr>
            </w:pPr>
            <w:r>
              <w:rPr>
                <w:rFonts w:hint="eastAsia" w:ascii="Times New Roman" w:hAnsi="Times New Roman" w:eastAsia="宋体" w:cs="Times New Roman"/>
                <w:color w:val="auto"/>
                <w:sz w:val="24"/>
                <w:lang w:val="en-US" w:eastAsia="en-US"/>
              </w:rPr>
              <w:t>（7）弃渣场</w:t>
            </w:r>
          </w:p>
          <w:p>
            <w:pPr>
              <w:widowControl w:val="0"/>
              <w:spacing w:beforeLines="0" w:afterLines="0" w:line="360" w:lineRule="auto"/>
              <w:ind w:firstLine="480" w:firstLineChars="200"/>
              <w:jc w:val="both"/>
              <w:rPr>
                <w:rFonts w:hint="eastAsia" w:ascii="Times New Roman" w:hAnsi="Times New Roman" w:eastAsia="宋体" w:cs="Times New Roman"/>
                <w:color w:val="auto"/>
                <w:sz w:val="24"/>
                <w:lang w:val="en-US" w:eastAsia="en-US"/>
              </w:rPr>
            </w:pPr>
            <w:r>
              <w:rPr>
                <w:rFonts w:hint="eastAsia" w:ascii="Times New Roman" w:hAnsi="Times New Roman" w:eastAsia="宋体" w:cs="Times New Roman"/>
                <w:color w:val="auto"/>
                <w:sz w:val="24"/>
                <w:lang w:val="en-US" w:eastAsia="en-US"/>
              </w:rPr>
              <w:t>本方案新增弃渣场设置浆砌石挡墙、截水沟、马道排水沟、顺接设施，在施工结束后进行植被恢复，并提出水土保持管护要求。</w:t>
            </w:r>
          </w:p>
          <w:p>
            <w:pPr>
              <w:widowControl w:val="0"/>
              <w:spacing w:beforeLines="0" w:afterLines="0" w:line="360" w:lineRule="auto"/>
              <w:ind w:firstLine="482" w:firstLineChars="200"/>
              <w:jc w:val="both"/>
              <w:rPr>
                <w:rFonts w:hint="eastAsia" w:ascii="Times New Roman" w:hAnsi="Times New Roman" w:eastAsia="宋体" w:cs="Times New Roman"/>
                <w:b/>
                <w:color w:val="auto"/>
                <w:sz w:val="24"/>
                <w:lang w:val="en-US" w:eastAsia="zh-CN"/>
              </w:rPr>
            </w:pPr>
            <w:r>
              <w:rPr>
                <w:rFonts w:hint="eastAsia" w:cs="Times New Roman"/>
                <w:b/>
                <w:color w:val="auto"/>
                <w:sz w:val="24"/>
                <w:lang w:val="en-US" w:eastAsia="zh-CN"/>
              </w:rPr>
              <w:t>5.2.2</w:t>
            </w:r>
            <w:r>
              <w:rPr>
                <w:rFonts w:hint="eastAsia" w:ascii="Times New Roman" w:hAnsi="Times New Roman" w:eastAsia="宋体" w:cs="Times New Roman"/>
                <w:b/>
                <w:color w:val="auto"/>
                <w:sz w:val="24"/>
                <w:lang w:val="en-US" w:eastAsia="zh-CN"/>
              </w:rPr>
              <w:t>施工期污染防治措施</w:t>
            </w:r>
          </w:p>
          <w:p>
            <w:pPr>
              <w:widowControl w:val="0"/>
              <w:spacing w:beforeLines="0" w:afterLines="0" w:line="360" w:lineRule="auto"/>
              <w:ind w:firstLine="482" w:firstLineChars="200"/>
              <w:jc w:val="both"/>
              <w:rPr>
                <w:rFonts w:hint="default" w:ascii="Times New Roman" w:hAnsi="Times New Roman" w:eastAsia="宋体" w:cs="Times New Roman"/>
                <w:b/>
                <w:color w:val="auto"/>
                <w:sz w:val="24"/>
                <w:lang w:val="en-US" w:eastAsia="zh-CN"/>
              </w:rPr>
            </w:pPr>
            <w:r>
              <w:rPr>
                <w:rFonts w:hint="eastAsia" w:cs="Times New Roman"/>
                <w:b/>
                <w:color w:val="auto"/>
                <w:sz w:val="24"/>
                <w:lang w:val="en-US" w:eastAsia="zh-CN"/>
              </w:rPr>
              <w:t>（一）</w:t>
            </w:r>
            <w:r>
              <w:rPr>
                <w:rFonts w:hint="eastAsia" w:ascii="Times New Roman" w:hAnsi="Times New Roman" w:eastAsia="宋体" w:cs="Times New Roman"/>
                <w:b/>
                <w:color w:val="auto"/>
                <w:sz w:val="24"/>
                <w:lang w:val="en-US" w:eastAsia="zh-CN"/>
              </w:rPr>
              <w:t>施工期环境空气保护措施</w:t>
            </w: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 xml:space="preserve">）利用已配置的1辆洒水车，加强对各片区进行间断性洒水降尘，在施工场地安排施工人员定期对施工场地洒水以减少扬尘量，洒水次数根据天气状况而定，施工土方开挖、搬运，应避免在大风天气时进行。 </w:t>
            </w: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 xml:space="preserve">）在施工中合理组织施工，缩短施工时间，尽量减少施工污染。 </w:t>
            </w: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）粉细散装材料，应尽量采取库内存放，如露天存放应采用防尘网遮盖。</w:t>
            </w: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4</w:t>
            </w:r>
            <w:r>
              <w:rPr>
                <w:rFonts w:hint="eastAsia" w:ascii="Times New Roman" w:hAnsi="Times New Roman" w:eastAsia="宋体" w:cs="Times New Roman"/>
                <w:color w:val="auto"/>
                <w:kern w:val="2"/>
                <w:sz w:val="24"/>
                <w:szCs w:val="24"/>
                <w:lang w:val="en-US" w:eastAsia="zh-CN" w:bidi="ar-SA"/>
              </w:rPr>
              <w:t xml:space="preserve">）加强监督管理，运输车辆采取篷布遮盖等封闭措施，以避免运输途中砂石、水泥等散体材料洒落；运输车辆不得超量运载；运输车辆经过村庄路段应减速行驶，并安排专人定期对运输道路进行维护清扫、洒水降尘。 </w:t>
            </w: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（5）出现五级以上大风天气时，禁止进行土方等易产生扬尘污染的施工作业；</w:t>
            </w: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6）加强对施工车辆的检修和维护，严禁使用超期服役和尾气超标的车辆。对施工期间进出施工现场车流量进行合理安排，防止施工现场车流量过大。尽可能使用耗油低，排气小的施工车辆，选用优质燃油，减少机械和车辆的有害废气排放</w:t>
            </w:r>
            <w:r>
              <w:rPr>
                <w:rFonts w:hint="default" w:ascii="Times New Roman" w:hAnsi="Times New Roman" w:eastAsia="宋体" w:cs="Times New Roman"/>
                <w:color w:val="auto"/>
                <w:kern w:val="2"/>
                <w:sz w:val="24"/>
                <w:szCs w:val="24"/>
                <w:lang w:val="en-US" w:eastAsia="zh-CN" w:bidi="ar-SA"/>
              </w:rPr>
              <w:t>。</w:t>
            </w:r>
          </w:p>
          <w:p>
            <w:pPr>
              <w:widowControl w:val="0"/>
              <w:spacing w:beforeLines="0" w:afterLines="0" w:line="360" w:lineRule="auto"/>
              <w:ind w:firstLine="482" w:firstLineChars="200"/>
              <w:jc w:val="both"/>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w:t>
            </w:r>
            <w:r>
              <w:rPr>
                <w:rFonts w:hint="eastAsia" w:cs="Times New Roman"/>
                <w:b/>
                <w:color w:val="auto"/>
                <w:kern w:val="2"/>
                <w:sz w:val="24"/>
                <w:szCs w:val="24"/>
                <w:lang w:val="en-US" w:eastAsia="zh-CN" w:bidi="ar-SA"/>
              </w:rPr>
              <w:t>二</w:t>
            </w:r>
            <w:r>
              <w:rPr>
                <w:rFonts w:hint="default" w:ascii="Times New Roman" w:hAnsi="Times New Roman" w:eastAsia="宋体" w:cs="Times New Roman"/>
                <w:b/>
                <w:color w:val="auto"/>
                <w:kern w:val="2"/>
                <w:sz w:val="24"/>
                <w:szCs w:val="24"/>
                <w:lang w:val="en-US" w:eastAsia="zh-CN" w:bidi="ar-SA"/>
              </w:rPr>
              <w:t>）施工期水环境污染防治措施</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bidi="zh-CN"/>
              </w:rPr>
            </w:pPr>
            <w:r>
              <w:rPr>
                <w:rFonts w:hint="eastAsia" w:ascii="Times New Roman" w:hAnsi="Times New Roman" w:eastAsia="宋体" w:cs="Times New Roman"/>
                <w:color w:val="auto"/>
                <w:sz w:val="24"/>
                <w:szCs w:val="24"/>
                <w:lang w:val="en-US" w:eastAsia="zh-CN" w:bidi="zh-CN"/>
              </w:rPr>
              <w:t>（1）升压站、光伏厂区施工区利用已经设置的</w:t>
            </w:r>
            <w:r>
              <w:rPr>
                <w:rFonts w:hint="eastAsia" w:ascii="Times New Roman" w:hAnsi="Times New Roman" w:eastAsia="宋体" w:cs="Times New Roman"/>
                <w:bCs/>
                <w:color w:val="auto"/>
                <w:spacing w:val="10"/>
                <w:sz w:val="24"/>
                <w:szCs w:val="24"/>
                <w:highlight w:val="none"/>
                <w:lang w:val="en-US" w:eastAsia="zh-CN"/>
              </w:rPr>
              <w:t>3个2m</w:t>
            </w:r>
            <w:r>
              <w:rPr>
                <w:rFonts w:hint="eastAsia" w:ascii="Times New Roman" w:hAnsi="Times New Roman" w:eastAsia="宋体" w:cs="Times New Roman"/>
                <w:bCs/>
                <w:color w:val="auto"/>
                <w:spacing w:val="10"/>
                <w:sz w:val="24"/>
                <w:szCs w:val="24"/>
                <w:highlight w:val="none"/>
                <w:vertAlign w:val="superscript"/>
                <w:lang w:val="en-US" w:eastAsia="zh-CN"/>
              </w:rPr>
              <w:t>3</w:t>
            </w:r>
            <w:r>
              <w:rPr>
                <w:rFonts w:hint="eastAsia" w:ascii="Times New Roman" w:hAnsi="Times New Roman" w:eastAsia="宋体" w:cs="Times New Roman"/>
                <w:bCs/>
                <w:color w:val="auto"/>
                <w:spacing w:val="10"/>
                <w:sz w:val="24"/>
                <w:szCs w:val="24"/>
                <w:highlight w:val="none"/>
                <w:lang w:val="en-US" w:eastAsia="zh-CN"/>
              </w:rPr>
              <w:t>的移动式收集桶</w:t>
            </w:r>
            <w:r>
              <w:rPr>
                <w:rFonts w:hint="eastAsia" w:ascii="Times New Roman" w:hAnsi="Times New Roman" w:eastAsia="宋体" w:cs="Times New Roman"/>
                <w:color w:val="auto"/>
                <w:sz w:val="24"/>
                <w:szCs w:val="24"/>
                <w:lang w:val="en-US" w:eastAsia="zh-CN" w:bidi="zh-CN"/>
              </w:rPr>
              <w:t>、</w:t>
            </w:r>
            <w:r>
              <w:rPr>
                <w:rFonts w:hint="default" w:ascii="Times New Roman" w:hAnsi="Times New Roman" w:eastAsia="宋体" w:cs="Times New Roman"/>
                <w:color w:val="auto"/>
                <w:sz w:val="24"/>
                <w:szCs w:val="24"/>
                <w:lang w:val="en-US" w:eastAsia="zh-CN" w:bidi="zh-CN"/>
              </w:rPr>
              <w:t>1</w:t>
            </w:r>
            <w:r>
              <w:rPr>
                <w:rFonts w:hint="eastAsia" w:ascii="Times New Roman" w:hAnsi="Times New Roman" w:eastAsia="宋体" w:cs="Times New Roman"/>
                <w:color w:val="auto"/>
                <w:sz w:val="24"/>
                <w:szCs w:val="24"/>
                <w:lang w:val="en-US" w:eastAsia="zh-CN" w:bidi="zh-CN"/>
              </w:rPr>
              <w:t>座6</w:t>
            </w:r>
            <w:r>
              <w:rPr>
                <w:rFonts w:hint="default" w:ascii="Times New Roman" w:hAnsi="Times New Roman" w:eastAsia="宋体" w:cs="Times New Roman"/>
                <w:color w:val="auto"/>
                <w:sz w:val="24"/>
                <w:szCs w:val="24"/>
                <w:lang w:val="en-US" w:eastAsia="zh-CN" w:bidi="zh-CN"/>
              </w:rPr>
              <w:t>m</w:t>
            </w:r>
            <w:r>
              <w:rPr>
                <w:rFonts w:hint="default" w:ascii="Times New Roman" w:hAnsi="Times New Roman" w:eastAsia="宋体" w:cs="Times New Roman"/>
                <w:color w:val="auto"/>
                <w:sz w:val="24"/>
                <w:szCs w:val="24"/>
                <w:vertAlign w:val="superscript"/>
                <w:lang w:val="en-US" w:eastAsia="zh-CN" w:bidi="zh-CN"/>
              </w:rPr>
              <w:t>3</w:t>
            </w:r>
            <w:r>
              <w:rPr>
                <w:rFonts w:hint="eastAsia" w:ascii="Times New Roman" w:hAnsi="Times New Roman" w:eastAsia="宋体" w:cs="Times New Roman"/>
                <w:color w:val="auto"/>
                <w:sz w:val="24"/>
                <w:szCs w:val="24"/>
                <w:lang w:val="en-US" w:eastAsia="zh-CN" w:bidi="zh-CN"/>
              </w:rPr>
              <w:t>的沉淀池，用于施工处理废水，产生的废水经沉淀处理后，全部回用于施工用水及场地洒水降尘，不外排。</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bidi="zh-CN"/>
              </w:rPr>
            </w:pPr>
            <w:r>
              <w:rPr>
                <w:rFonts w:hint="eastAsia" w:ascii="Times New Roman" w:hAnsi="Times New Roman" w:eastAsia="宋体" w:cs="Times New Roman"/>
                <w:color w:val="auto"/>
                <w:sz w:val="24"/>
                <w:szCs w:val="24"/>
                <w:lang w:val="en-US" w:eastAsia="zh-CN" w:bidi="zh-CN"/>
              </w:rPr>
              <w:t>（2）在混凝土拌和系统利用已经设置的</w:t>
            </w:r>
            <w:r>
              <w:rPr>
                <w:rFonts w:hint="eastAsia" w:ascii="Times New Roman" w:hAnsi="Times New Roman" w:eastAsia="宋体" w:cs="Times New Roman"/>
                <w:bCs/>
                <w:color w:val="auto"/>
                <w:spacing w:val="10"/>
                <w:sz w:val="24"/>
                <w:szCs w:val="24"/>
                <w:highlight w:val="none"/>
                <w:lang w:val="en-US" w:eastAsia="zh-CN"/>
              </w:rPr>
              <w:t>3个2m</w:t>
            </w:r>
            <w:r>
              <w:rPr>
                <w:rFonts w:hint="eastAsia" w:ascii="Times New Roman" w:hAnsi="Times New Roman" w:eastAsia="宋体" w:cs="Times New Roman"/>
                <w:bCs/>
                <w:color w:val="auto"/>
                <w:spacing w:val="10"/>
                <w:sz w:val="24"/>
                <w:szCs w:val="24"/>
                <w:highlight w:val="none"/>
                <w:vertAlign w:val="superscript"/>
                <w:lang w:val="en-US" w:eastAsia="zh-CN"/>
              </w:rPr>
              <w:t>3</w:t>
            </w:r>
            <w:r>
              <w:rPr>
                <w:rFonts w:hint="eastAsia" w:ascii="Times New Roman" w:hAnsi="Times New Roman" w:eastAsia="宋体" w:cs="Times New Roman"/>
                <w:bCs/>
                <w:color w:val="auto"/>
                <w:spacing w:val="10"/>
                <w:sz w:val="24"/>
                <w:szCs w:val="24"/>
                <w:highlight w:val="none"/>
                <w:lang w:val="en-US" w:eastAsia="zh-CN"/>
              </w:rPr>
              <w:t>的移动式收集桶</w:t>
            </w:r>
            <w:r>
              <w:rPr>
                <w:rFonts w:hint="eastAsia" w:ascii="Times New Roman" w:hAnsi="Times New Roman" w:eastAsia="宋体" w:cs="Times New Roman"/>
                <w:color w:val="auto"/>
                <w:sz w:val="24"/>
                <w:szCs w:val="24"/>
                <w:lang w:val="en-US" w:eastAsia="zh-CN" w:bidi="zh-CN"/>
              </w:rPr>
              <w:t>、</w:t>
            </w:r>
            <w:r>
              <w:rPr>
                <w:rFonts w:hint="default" w:ascii="Times New Roman" w:hAnsi="Times New Roman" w:eastAsia="宋体" w:cs="Times New Roman"/>
                <w:color w:val="auto"/>
                <w:sz w:val="24"/>
                <w:szCs w:val="24"/>
                <w:lang w:val="en-US" w:eastAsia="zh-CN" w:bidi="zh-CN"/>
              </w:rPr>
              <w:t>1</w:t>
            </w:r>
            <w:r>
              <w:rPr>
                <w:rFonts w:hint="eastAsia" w:ascii="Times New Roman" w:hAnsi="Times New Roman" w:eastAsia="宋体" w:cs="Times New Roman"/>
                <w:color w:val="auto"/>
                <w:sz w:val="24"/>
                <w:szCs w:val="24"/>
                <w:lang w:val="en-US" w:eastAsia="zh-CN" w:bidi="zh-CN"/>
              </w:rPr>
              <w:t>座6</w:t>
            </w:r>
            <w:r>
              <w:rPr>
                <w:rFonts w:hint="default" w:ascii="Times New Roman" w:hAnsi="Times New Roman" w:eastAsia="宋体" w:cs="Times New Roman"/>
                <w:color w:val="auto"/>
                <w:sz w:val="24"/>
                <w:szCs w:val="24"/>
                <w:lang w:val="en-US" w:eastAsia="zh-CN" w:bidi="zh-CN"/>
              </w:rPr>
              <w:t>m</w:t>
            </w:r>
            <w:r>
              <w:rPr>
                <w:rFonts w:hint="default" w:ascii="Times New Roman" w:hAnsi="Times New Roman" w:eastAsia="宋体" w:cs="Times New Roman"/>
                <w:color w:val="auto"/>
                <w:sz w:val="24"/>
                <w:szCs w:val="24"/>
                <w:vertAlign w:val="superscript"/>
                <w:lang w:val="en-US" w:eastAsia="zh-CN" w:bidi="zh-CN"/>
              </w:rPr>
              <w:t>3</w:t>
            </w:r>
            <w:r>
              <w:rPr>
                <w:rFonts w:hint="eastAsia" w:ascii="Times New Roman" w:hAnsi="Times New Roman" w:eastAsia="宋体" w:cs="Times New Roman"/>
                <w:color w:val="auto"/>
                <w:sz w:val="24"/>
                <w:szCs w:val="24"/>
                <w:lang w:val="en-US" w:eastAsia="zh-CN" w:bidi="zh-CN"/>
              </w:rPr>
              <w:t>的沉淀池，拌和站转筒和料罐冲洗废水经中和沉淀处理后，循环回用到拌和工序不外排。</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bidi="zh-CN"/>
              </w:rPr>
            </w:pPr>
            <w:r>
              <w:rPr>
                <w:rFonts w:hint="eastAsia" w:ascii="Times New Roman" w:hAnsi="Times New Roman" w:eastAsia="宋体" w:cs="Times New Roman"/>
                <w:color w:val="auto"/>
                <w:sz w:val="24"/>
                <w:szCs w:val="24"/>
                <w:lang w:val="en-US" w:eastAsia="zh-CN" w:bidi="zh-CN"/>
              </w:rPr>
              <w:t>（3）施工期间应按照水保要求优先完成区内排水沟和沉砂池，场区雨水经沉砂池沉淀处理后，接入周围箐沟。</w:t>
            </w:r>
          </w:p>
          <w:p>
            <w:pPr>
              <w:keepNext w:val="0"/>
              <w:keepLines w:val="0"/>
              <w:pageBreakBefore w:val="0"/>
              <w:widowControl w:val="0"/>
              <w:kinsoku/>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zh-CN"/>
              </w:rPr>
              <w:t>（4）项目临近河流一侧施工区应设置临时拦挡，场地施工形成的裸露面应采用彩布条等进行临时覆盖，防止施工材料、土石等进入河流水体</w:t>
            </w:r>
            <w:r>
              <w:rPr>
                <w:rFonts w:hint="default" w:ascii="Times New Roman" w:hAnsi="Times New Roman" w:eastAsia="宋体" w:cs="Times New Roman"/>
                <w:color w:val="auto"/>
                <w:kern w:val="2"/>
                <w:sz w:val="24"/>
                <w:szCs w:val="24"/>
                <w:lang w:val="en-US" w:eastAsia="zh-CN" w:bidi="ar-SA"/>
              </w:rPr>
              <w:t>。</w:t>
            </w:r>
          </w:p>
          <w:p>
            <w:pPr>
              <w:widowControl w:val="0"/>
              <w:spacing w:beforeLines="0" w:afterLines="0" w:line="360" w:lineRule="auto"/>
              <w:ind w:firstLine="482"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w:t>
            </w:r>
            <w:r>
              <w:rPr>
                <w:rFonts w:hint="eastAsia" w:cs="Times New Roman"/>
                <w:b/>
                <w:color w:val="auto"/>
                <w:kern w:val="2"/>
                <w:sz w:val="24"/>
                <w:szCs w:val="24"/>
                <w:lang w:val="en-US" w:eastAsia="zh-CN" w:bidi="ar-SA"/>
              </w:rPr>
              <w:t>三</w:t>
            </w:r>
            <w:r>
              <w:rPr>
                <w:rFonts w:hint="default" w:ascii="Times New Roman" w:hAnsi="Times New Roman" w:eastAsia="宋体" w:cs="Times New Roman"/>
                <w:b/>
                <w:color w:val="auto"/>
                <w:kern w:val="2"/>
                <w:sz w:val="24"/>
                <w:szCs w:val="24"/>
                <w:lang w:val="en-US" w:eastAsia="zh-CN" w:bidi="ar-SA"/>
              </w:rPr>
              <w:t>）施工期声环境污染防治措施</w:t>
            </w:r>
          </w:p>
          <w:p>
            <w:pPr>
              <w:widowControl w:val="0"/>
              <w:spacing w:beforeLines="0" w:afterLines="0"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（1）运输材料过程中应合理安排时间，避免夜间通过周围村庄，减少对沿线村庄的影响。</w:t>
            </w:r>
          </w:p>
          <w:p>
            <w:pPr>
              <w:widowControl w:val="0"/>
              <w:spacing w:beforeLines="0" w:afterLines="0"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（2）选用性能良好的低噪声施工机械设备，加强施工机械的维修、管理，保证施工机械处于低噪声、高效率的良好工作状态。</w:t>
            </w:r>
          </w:p>
          <w:p>
            <w:pPr>
              <w:widowControl w:val="0"/>
              <w:spacing w:beforeLines="0" w:afterLines="0"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（3）施工期运输车辆应尽量保持良好车况，合理调度，尽可能匀速慢行。 </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（4）合理安排施工时间，合理布局施工现场；避免在同一时间集中使用大量的动力机械设备，禁止夜间施工。</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both"/>
              <w:textAlignment w:val="auto"/>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w:t>
            </w:r>
            <w:r>
              <w:rPr>
                <w:rFonts w:hint="eastAsia" w:cs="Times New Roman"/>
                <w:b/>
                <w:color w:val="auto"/>
                <w:kern w:val="2"/>
                <w:sz w:val="24"/>
                <w:szCs w:val="24"/>
                <w:lang w:val="en-US" w:eastAsia="zh-CN" w:bidi="ar-SA"/>
              </w:rPr>
              <w:t>四</w:t>
            </w:r>
            <w:r>
              <w:rPr>
                <w:rFonts w:hint="default" w:ascii="Times New Roman" w:hAnsi="Times New Roman" w:eastAsia="宋体" w:cs="Times New Roman"/>
                <w:b/>
                <w:color w:val="auto"/>
                <w:kern w:val="2"/>
                <w:sz w:val="24"/>
                <w:szCs w:val="24"/>
                <w:lang w:val="en-US" w:eastAsia="zh-CN" w:bidi="ar-SA"/>
              </w:rPr>
              <w:t>）施工期固体废物污染防治措施</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（1）</w:t>
            </w:r>
            <w:r>
              <w:rPr>
                <w:rFonts w:ascii="Times New Roman" w:hAnsi="Times New Roman" w:eastAsia="宋体" w:cs="Times New Roman"/>
                <w:color w:val="auto"/>
                <w:sz w:val="24"/>
              </w:rPr>
              <w:t>废弃土石方</w:t>
            </w:r>
            <w:r>
              <w:rPr>
                <w:rFonts w:hint="eastAsia" w:ascii="Times New Roman" w:hAnsi="Times New Roman" w:eastAsia="宋体" w:cs="Times New Roman"/>
                <w:color w:val="auto"/>
                <w:sz w:val="24"/>
              </w:rPr>
              <w:t>：开挖土石方尽量场内回填利用，回填不完的部分全部送入项目弃渣场堆存。规范设置弃渣场，做好弃渣场的水保措施，做好档护及绿化恢复工作。</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（2）</w:t>
            </w:r>
            <w:r>
              <w:rPr>
                <w:rFonts w:ascii="Times New Roman" w:hAnsi="Times New Roman" w:eastAsia="宋体" w:cs="Times New Roman"/>
                <w:color w:val="auto"/>
                <w:sz w:val="24"/>
              </w:rPr>
              <w:t>建筑垃圾</w:t>
            </w:r>
            <w:r>
              <w:rPr>
                <w:rFonts w:hint="eastAsia" w:ascii="Times New Roman" w:hAnsi="Times New Roman" w:eastAsia="宋体" w:cs="Times New Roman"/>
                <w:color w:val="auto"/>
                <w:sz w:val="24"/>
              </w:rPr>
              <w:t>：建筑垃圾应</w:t>
            </w:r>
            <w:r>
              <w:rPr>
                <w:rFonts w:ascii="Times New Roman" w:hAnsi="Times New Roman" w:eastAsia="宋体" w:cs="Times New Roman"/>
                <w:color w:val="auto"/>
                <w:sz w:val="24"/>
              </w:rPr>
              <w:t>分类收集，能利用部分</w:t>
            </w:r>
            <w:r>
              <w:rPr>
                <w:rFonts w:hint="eastAsia" w:ascii="Times New Roman" w:hAnsi="Times New Roman" w:eastAsia="宋体" w:cs="Times New Roman"/>
                <w:color w:val="auto"/>
                <w:sz w:val="24"/>
              </w:rPr>
              <w:t>回收利用或</w:t>
            </w:r>
            <w:r>
              <w:rPr>
                <w:rFonts w:ascii="Times New Roman" w:hAnsi="Times New Roman" w:eastAsia="宋体" w:cs="Times New Roman"/>
                <w:color w:val="auto"/>
                <w:sz w:val="24"/>
              </w:rPr>
              <w:t>外售收购商进行回收，不可回收部分</w:t>
            </w:r>
            <w:r>
              <w:rPr>
                <w:rFonts w:hint="eastAsia" w:ascii="Times New Roman" w:hAnsi="Times New Roman" w:eastAsia="宋体" w:cs="Times New Roman"/>
                <w:color w:val="auto"/>
                <w:sz w:val="24"/>
              </w:rPr>
              <w:t>送弃渣场统一堆存填埋</w:t>
            </w:r>
            <w:r>
              <w:rPr>
                <w:rFonts w:ascii="Times New Roman" w:hAnsi="Times New Roman" w:eastAsia="宋体" w:cs="Times New Roman"/>
                <w:color w:val="auto"/>
                <w:sz w:val="24"/>
              </w:rPr>
              <w:t>。禁止乱</w:t>
            </w:r>
            <w:r>
              <w:rPr>
                <w:rFonts w:hint="eastAsia" w:ascii="Times New Roman" w:hAnsi="Times New Roman" w:eastAsia="宋体" w:cs="Times New Roman"/>
                <w:color w:val="auto"/>
                <w:sz w:val="24"/>
              </w:rPr>
              <w:t>堆乱</w:t>
            </w:r>
            <w:r>
              <w:rPr>
                <w:rFonts w:ascii="Times New Roman" w:hAnsi="Times New Roman" w:eastAsia="宋体" w:cs="Times New Roman"/>
                <w:color w:val="auto"/>
                <w:sz w:val="24"/>
              </w:rPr>
              <w:t>倒。</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（3）</w:t>
            </w:r>
            <w:r>
              <w:rPr>
                <w:rFonts w:ascii="Times New Roman" w:hAnsi="Times New Roman" w:eastAsia="宋体" w:cs="Times New Roman"/>
                <w:color w:val="auto"/>
                <w:sz w:val="24"/>
              </w:rPr>
              <w:t>生活垃圾</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在施工场地设置临时生活垃圾收集容器，施工人员的生活垃圾</w:t>
            </w:r>
            <w:r>
              <w:rPr>
                <w:rFonts w:hint="eastAsia" w:ascii="Times New Roman" w:hAnsi="Times New Roman" w:eastAsia="宋体" w:cs="Times New Roman"/>
                <w:color w:val="auto"/>
                <w:sz w:val="24"/>
              </w:rPr>
              <w:t>集中</w:t>
            </w:r>
            <w:r>
              <w:rPr>
                <w:rFonts w:ascii="Times New Roman" w:hAnsi="Times New Roman" w:eastAsia="宋体" w:cs="Times New Roman"/>
                <w:color w:val="auto"/>
                <w:sz w:val="24"/>
              </w:rPr>
              <w:t>收集，实行</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日产日清</w:t>
            </w:r>
            <w:r>
              <w:rPr>
                <w:rFonts w:hint="eastAsia" w:ascii="Times New Roman" w:hAnsi="Times New Roman" w:eastAsia="宋体" w:cs="Times New Roman"/>
                <w:color w:val="auto"/>
                <w:sz w:val="24"/>
              </w:rPr>
              <w:t>”送至周边村镇</w:t>
            </w:r>
            <w:r>
              <w:rPr>
                <w:rFonts w:hint="eastAsia" w:ascii="Times New Roman" w:hAnsi="宋体" w:eastAsia="宋体" w:cs="Times New Roman"/>
                <w:color w:val="auto"/>
                <w:sz w:val="24"/>
              </w:rPr>
              <w:t>垃圾收集点</w:t>
            </w:r>
            <w:r>
              <w:rPr>
                <w:rFonts w:ascii="Times New Roman" w:hAnsi="宋体" w:eastAsia="宋体" w:cs="Times New Roman"/>
                <w:color w:val="auto"/>
                <w:sz w:val="24"/>
              </w:rPr>
              <w:t>处理</w:t>
            </w:r>
            <w:r>
              <w:rPr>
                <w:rFonts w:hint="eastAsia" w:ascii="Times New Roman" w:hAnsi="Times New Roman" w:eastAsia="宋体" w:cs="Times New Roman"/>
                <w:color w:val="auto"/>
                <w:sz w:val="24"/>
              </w:rPr>
              <w:t>。不得随意抛弃。生活垃圾不得并入弃渣场填埋。</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（4）粪便：施工临时旱厕定期委托周边居民清掏后用于周围农田施肥，施工结束后旱厕应予以拆除并无害化处理。</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（5）</w:t>
            </w:r>
            <w:r>
              <w:rPr>
                <w:rFonts w:ascii="Times New Roman" w:hAnsi="Times New Roman" w:eastAsia="宋体" w:cs="Times New Roman"/>
                <w:color w:val="auto"/>
                <w:sz w:val="24"/>
              </w:rPr>
              <w:t>临时</w:t>
            </w:r>
            <w:r>
              <w:rPr>
                <w:rFonts w:hint="eastAsia" w:ascii="Times New Roman" w:hAnsi="Times New Roman" w:eastAsia="宋体" w:cs="Times New Roman"/>
                <w:color w:val="auto"/>
                <w:sz w:val="24"/>
              </w:rPr>
              <w:t>堆土：项目临时表土堆场设置在施工生产生活区及升压站永久占地范围内，应</w:t>
            </w:r>
            <w:r>
              <w:rPr>
                <w:rFonts w:ascii="Times New Roman" w:hAnsi="Times New Roman" w:eastAsia="宋体" w:cs="Times New Roman"/>
                <w:color w:val="auto"/>
                <w:sz w:val="24"/>
              </w:rPr>
              <w:t>远离</w:t>
            </w:r>
            <w:r>
              <w:rPr>
                <w:rFonts w:hint="eastAsia" w:ascii="Times New Roman" w:hAnsi="Times New Roman" w:eastAsia="宋体" w:cs="Times New Roman"/>
                <w:color w:val="auto"/>
                <w:sz w:val="24"/>
              </w:rPr>
              <w:t>河道</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做好拦挡和截排水措施，堆存时应进行适当压实处理，大风天气时进行</w:t>
            </w:r>
            <w:r>
              <w:rPr>
                <w:rFonts w:ascii="Times New Roman" w:hAnsi="Times New Roman" w:eastAsia="宋体" w:cs="Times New Roman"/>
                <w:color w:val="auto"/>
                <w:sz w:val="24"/>
              </w:rPr>
              <w:t>覆盖</w:t>
            </w:r>
            <w:r>
              <w:rPr>
                <w:rFonts w:hint="eastAsia" w:ascii="Times New Roman" w:hAnsi="Times New Roman" w:eastAsia="宋体" w:cs="Times New Roman"/>
                <w:color w:val="auto"/>
                <w:sz w:val="24"/>
              </w:rPr>
              <w:t>遮挡。</w:t>
            </w:r>
            <w:r>
              <w:rPr>
                <w:rFonts w:ascii="Times New Roman" w:hAnsi="Times New Roman" w:eastAsia="宋体" w:cs="Times New Roman"/>
                <w:color w:val="auto"/>
                <w:sz w:val="24"/>
              </w:rPr>
              <w:t>堆存时间较长</w:t>
            </w:r>
            <w:r>
              <w:rPr>
                <w:rFonts w:hint="eastAsia" w:ascii="Times New Roman" w:hAnsi="Times New Roman" w:eastAsia="宋体" w:cs="Times New Roman"/>
                <w:color w:val="auto"/>
                <w:sz w:val="24"/>
              </w:rPr>
              <w:t>时</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应在</w:t>
            </w:r>
            <w:r>
              <w:rPr>
                <w:rFonts w:ascii="Times New Roman" w:hAnsi="Times New Roman" w:eastAsia="宋体" w:cs="Times New Roman"/>
                <w:color w:val="auto"/>
                <w:sz w:val="24"/>
              </w:rPr>
              <w:t>堆土期间新增临时撒草措施。临时</w:t>
            </w:r>
            <w:r>
              <w:rPr>
                <w:rFonts w:hint="eastAsia" w:ascii="Times New Roman" w:hAnsi="Times New Roman" w:eastAsia="宋体" w:cs="Times New Roman"/>
                <w:color w:val="auto"/>
                <w:sz w:val="24"/>
              </w:rPr>
              <w:t>堆</w:t>
            </w:r>
            <w:r>
              <w:rPr>
                <w:rFonts w:ascii="Times New Roman" w:hAnsi="Times New Roman" w:eastAsia="宋体" w:cs="Times New Roman"/>
                <w:color w:val="auto"/>
                <w:sz w:val="24"/>
              </w:rPr>
              <w:t>土</w:t>
            </w:r>
            <w:r>
              <w:rPr>
                <w:rFonts w:hint="eastAsia" w:ascii="Times New Roman" w:hAnsi="Times New Roman" w:eastAsia="宋体" w:cs="Times New Roman"/>
                <w:color w:val="auto"/>
                <w:sz w:val="24"/>
              </w:rPr>
              <w:t>清理</w:t>
            </w:r>
            <w:r>
              <w:rPr>
                <w:rFonts w:ascii="Times New Roman" w:hAnsi="Times New Roman" w:eastAsia="宋体" w:cs="Times New Roman"/>
                <w:color w:val="auto"/>
                <w:sz w:val="24"/>
              </w:rPr>
              <w:t>后应对临时堆场覆土</w:t>
            </w:r>
            <w:r>
              <w:rPr>
                <w:rFonts w:hint="eastAsia" w:ascii="Times New Roman" w:hAnsi="Times New Roman" w:eastAsia="宋体" w:cs="Times New Roman"/>
                <w:color w:val="auto"/>
                <w:sz w:val="24"/>
              </w:rPr>
              <w:t>绿化处理。</w:t>
            </w:r>
          </w:p>
          <w:p>
            <w:pPr>
              <w:adjustRightInd w:val="0"/>
              <w:snapToGrid w:val="0"/>
              <w:spacing w:line="360" w:lineRule="auto"/>
              <w:ind w:firstLine="480" w:firstLineChars="200"/>
              <w:rPr>
                <w:rFonts w:ascii="Times New Roman" w:hAnsi="Times New Roman" w:eastAsia="宋体" w:cs="Times New Roman"/>
                <w:bCs/>
                <w:color w:val="auto"/>
                <w:spacing w:val="10"/>
                <w:sz w:val="24"/>
              </w:rPr>
            </w:pPr>
            <w:r>
              <w:rPr>
                <w:rFonts w:hint="eastAsia" w:ascii="Times New Roman" w:hAnsi="Times New Roman" w:eastAsia="宋体" w:cs="Times New Roman"/>
                <w:color w:val="auto"/>
                <w:sz w:val="24"/>
              </w:rPr>
              <w:t>经采取以上措施后，施工期固体废物可以得到有效处理处置，对周围环境影响小，措施可行。</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377" w:type="pct"/>
            <w:noWrap w:val="0"/>
            <w:tcMar>
              <w:left w:w="28" w:type="dxa"/>
              <w:right w:w="28" w:type="dxa"/>
            </w:tcMar>
            <w:vAlign w:val="center"/>
          </w:tcPr>
          <w:p>
            <w:pPr>
              <w:adjustRightInd w:val="0"/>
              <w:snapToGrid w:val="0"/>
              <w:ind w:left="0" w:leftChars="0" w:right="0" w:rightChars="0" w:firstLine="0" w:firstLineChars="0"/>
              <w:jc w:val="center"/>
              <w:rPr>
                <w:rFonts w:hint="default" w:ascii="Times New Roman" w:hAnsi="Times New Roman" w:eastAsia="宋体" w:cs="Times New Roman"/>
                <w:bCs/>
                <w:color w:val="auto"/>
                <w:spacing w:val="10"/>
                <w:sz w:val="24"/>
                <w:szCs w:val="21"/>
              </w:rPr>
            </w:pPr>
            <w:r>
              <w:rPr>
                <w:rFonts w:hint="default" w:ascii="Times New Roman" w:hAnsi="Times New Roman" w:eastAsia="宋体" w:cs="Times New Roman"/>
                <w:bCs/>
                <w:color w:val="auto"/>
                <w:spacing w:val="10"/>
                <w:sz w:val="24"/>
                <w:szCs w:val="21"/>
              </w:rPr>
              <w:t>运营期生态环境保护措施</w:t>
            </w:r>
          </w:p>
        </w:tc>
        <w:tc>
          <w:tcPr>
            <w:tcW w:w="4622" w:type="pct"/>
            <w:noWrap w:val="0"/>
            <w:vAlign w:val="top"/>
          </w:tcPr>
          <w:p>
            <w:pPr>
              <w:adjustRightInd w:val="0"/>
              <w:snapToGrid w:val="0"/>
              <w:spacing w:line="360" w:lineRule="auto"/>
              <w:jc w:val="both"/>
              <w:rPr>
                <w:rFonts w:hint="eastAsia" w:ascii="Times New Roman" w:hAnsi="Times New Roman" w:eastAsia="宋体" w:cs="Times New Roman"/>
                <w:b/>
                <w:color w:val="auto"/>
                <w:spacing w:val="10"/>
                <w:sz w:val="28"/>
                <w:szCs w:val="28"/>
              </w:rPr>
            </w:pPr>
            <w:r>
              <w:rPr>
                <w:rFonts w:hint="eastAsia" w:ascii="Times New Roman" w:hAnsi="Times New Roman" w:eastAsia="宋体" w:cs="Times New Roman"/>
                <w:b/>
                <w:color w:val="auto"/>
                <w:spacing w:val="10"/>
                <w:sz w:val="28"/>
                <w:szCs w:val="28"/>
              </w:rPr>
              <w:t>5.3运营期生态环境保护措施</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（1）严格执行《云南省能源局关于进一步支持光伏扶贫和规范光伏发电产业用地的通知》（云自然资</w:t>
            </w:r>
            <w:r>
              <w:rPr>
                <w:rFonts w:ascii="Times New Roman" w:hAnsi="Times New Roman" w:eastAsia="宋体" w:cs="Times New Roman"/>
                <w:color w:val="auto"/>
                <w:sz w:val="24"/>
              </w:rPr>
              <w:t>[2019]196</w:t>
            </w:r>
            <w:r>
              <w:rPr>
                <w:rFonts w:hint="eastAsia" w:ascii="Times New Roman" w:hAnsi="Times New Roman" w:eastAsia="宋体" w:cs="Times New Roman"/>
                <w:color w:val="auto"/>
                <w:sz w:val="24"/>
              </w:rPr>
              <w:t>号）、《云南省林业和草原局 云南省能源局关于进一步规范光伏复合项目使用林草地有关事项的通知》（云林规[2021]5号）的要求，确保光伏组件严格执行最低沿高于地面</w:t>
            </w:r>
            <w:r>
              <w:rPr>
                <w:rFonts w:ascii="Times New Roman" w:hAnsi="Times New Roman" w:eastAsia="宋体" w:cs="Times New Roman"/>
                <w:color w:val="auto"/>
                <w:sz w:val="24"/>
              </w:rPr>
              <w:t>2.5m</w:t>
            </w:r>
            <w:r>
              <w:rPr>
                <w:rFonts w:hint="eastAsia" w:ascii="Times New Roman" w:hAnsi="Times New Roman" w:eastAsia="宋体" w:cs="Times New Roman"/>
                <w:color w:val="auto"/>
                <w:sz w:val="24"/>
              </w:rPr>
              <w:t>、桩基间列间距大于</w:t>
            </w:r>
            <w:r>
              <w:rPr>
                <w:rFonts w:ascii="Times New Roman" w:hAnsi="Times New Roman" w:eastAsia="宋体" w:cs="Times New Roman"/>
                <w:color w:val="auto"/>
                <w:sz w:val="24"/>
              </w:rPr>
              <w:t>4m</w:t>
            </w:r>
            <w:r>
              <w:rPr>
                <w:rFonts w:hint="eastAsia" w:ascii="Times New Roman" w:hAnsi="Times New Roman" w:eastAsia="宋体" w:cs="Times New Roman"/>
                <w:color w:val="auto"/>
                <w:sz w:val="24"/>
              </w:rPr>
              <w:t>、行间距大于</w:t>
            </w:r>
            <w:r>
              <w:rPr>
                <w:rFonts w:ascii="Times New Roman" w:hAnsi="Times New Roman" w:eastAsia="宋体" w:cs="Times New Roman"/>
                <w:color w:val="auto"/>
                <w:sz w:val="24"/>
              </w:rPr>
              <w:t>6.5m</w:t>
            </w:r>
            <w:r>
              <w:rPr>
                <w:rFonts w:hint="eastAsia" w:ascii="Times New Roman" w:hAnsi="Times New Roman" w:eastAsia="宋体" w:cs="Times New Roman"/>
                <w:color w:val="auto"/>
                <w:sz w:val="24"/>
              </w:rPr>
              <w:t>的架设要求，除桩基用地外，严禁硬化地面、破坏耕作层，严禁抛荒、撂荒。</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（2）光伏场地生态治理修复、弃渣场等临时用地复垦后初期、中期应做好植被抚育工作，保障植被的存活率。</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3</w:t>
            </w:r>
            <w:r>
              <w:rPr>
                <w:rFonts w:hint="eastAsia" w:ascii="Times New Roman" w:hAnsi="Times New Roman" w:eastAsia="宋体" w:cs="Times New Roman"/>
                <w:color w:val="auto"/>
                <w:sz w:val="24"/>
              </w:rPr>
              <w:t>）拟实施农林光互补工程应尽量采取测土配方技术，减少化肥施用；</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（4）病虫害防治尽量采用生物防治技术（如：用灯光、声音驱虫），减少杀虫剂用量，避免高毒农药施用。</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5</w:t>
            </w:r>
            <w:r>
              <w:rPr>
                <w:rFonts w:hint="eastAsia" w:ascii="Times New Roman" w:hAnsi="Times New Roman" w:eastAsia="宋体" w:cs="Times New Roman"/>
                <w:color w:val="auto"/>
                <w:sz w:val="24"/>
              </w:rPr>
              <w:t>）加强运维管理人员的环保宣传教育和监督管理，保护当地的野生动物，禁止人为捕杀；禁止引入外来有害生物。</w:t>
            </w:r>
          </w:p>
          <w:p>
            <w:pPr>
              <w:adjustRightInd w:val="0"/>
              <w:snapToGrid w:val="0"/>
              <w:spacing w:line="360" w:lineRule="auto"/>
              <w:ind w:firstLine="480" w:firstLineChars="200"/>
              <w:jc w:val="both"/>
              <w:rPr>
                <w:rFonts w:hint="eastAsia" w:ascii="Times New Roman" w:hAnsi="Times New Roman" w:eastAsia="宋体" w:cs="Times New Roman"/>
                <w:b/>
                <w:bCs/>
                <w:color w:val="auto"/>
                <w:sz w:val="24"/>
              </w:rPr>
            </w:pP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6</w:t>
            </w:r>
            <w:r>
              <w:rPr>
                <w:rFonts w:hint="eastAsia" w:ascii="Times New Roman" w:hAnsi="Times New Roman" w:eastAsia="宋体" w:cs="Times New Roman"/>
                <w:color w:val="auto"/>
                <w:sz w:val="24"/>
              </w:rPr>
              <w:t>）巡检车辆只在检修道路内行驶，避免对植被造成损害；加强对各项生态保护措施的日常维护。</w:t>
            </w:r>
          </w:p>
          <w:p>
            <w:pPr>
              <w:adjustRightInd w:val="0"/>
              <w:snapToGrid w:val="0"/>
              <w:spacing w:line="360" w:lineRule="auto"/>
              <w:jc w:val="both"/>
              <w:rPr>
                <w:rFonts w:hint="eastAsia" w:ascii="Times New Roman" w:hAnsi="Times New Roman" w:eastAsia="宋体" w:cs="Times New Roman"/>
                <w:b/>
                <w:color w:val="auto"/>
                <w:spacing w:val="10"/>
                <w:sz w:val="28"/>
                <w:szCs w:val="28"/>
              </w:rPr>
            </w:pPr>
            <w:r>
              <w:rPr>
                <w:rFonts w:hint="eastAsia" w:ascii="Times New Roman" w:hAnsi="Times New Roman" w:eastAsia="宋体" w:cs="Times New Roman"/>
                <w:b/>
                <w:color w:val="auto"/>
                <w:spacing w:val="10"/>
                <w:sz w:val="28"/>
                <w:szCs w:val="28"/>
              </w:rPr>
              <w:t>5.4运营期污染控制措施</w:t>
            </w:r>
          </w:p>
          <w:p>
            <w:pPr>
              <w:spacing w:line="360" w:lineRule="auto"/>
              <w:jc w:val="both"/>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5.4.1</w:t>
            </w:r>
            <w:r>
              <w:rPr>
                <w:rFonts w:ascii="Times New Roman" w:hAnsi="Times New Roman" w:eastAsia="宋体" w:cs="Times New Roman"/>
                <w:b/>
                <w:bCs/>
                <w:color w:val="auto"/>
                <w:sz w:val="24"/>
              </w:rPr>
              <w:t>运营期</w:t>
            </w:r>
            <w:r>
              <w:rPr>
                <w:rFonts w:hint="eastAsia" w:ascii="Times New Roman" w:hAnsi="Times New Roman" w:eastAsia="宋体" w:cs="Times New Roman"/>
                <w:b/>
                <w:bCs/>
                <w:color w:val="auto"/>
                <w:sz w:val="24"/>
              </w:rPr>
              <w:t>环境空气保护措施</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（1）升压站内</w:t>
            </w:r>
            <w:r>
              <w:rPr>
                <w:rFonts w:ascii="Times New Roman" w:hAnsi="Times New Roman" w:eastAsia="宋体" w:cs="Times New Roman"/>
                <w:color w:val="auto"/>
                <w:sz w:val="24"/>
              </w:rPr>
              <w:t>使用清洁能源，</w:t>
            </w:r>
            <w:r>
              <w:rPr>
                <w:rFonts w:hint="eastAsia" w:ascii="Times New Roman" w:hAnsi="Times New Roman" w:eastAsia="宋体" w:cs="Times New Roman"/>
                <w:color w:val="auto"/>
                <w:sz w:val="24"/>
              </w:rPr>
              <w:t>厨房设置油烟抽排及净化系统，净化效率应不低于6</w:t>
            </w:r>
            <w:r>
              <w:rPr>
                <w:rFonts w:ascii="Times New Roman" w:hAnsi="Times New Roman" w:eastAsia="宋体" w:cs="Times New Roman"/>
                <w:color w:val="auto"/>
                <w:sz w:val="24"/>
              </w:rPr>
              <w:t>0%</w:t>
            </w:r>
            <w:r>
              <w:rPr>
                <w:rFonts w:hint="eastAsia" w:ascii="Times New Roman" w:hAnsi="Times New Roman" w:eastAsia="宋体" w:cs="Times New Roman"/>
                <w:color w:val="auto"/>
                <w:sz w:val="24"/>
              </w:rPr>
              <w:t>，处理后的油烟应达到《饮食业油烟排放标准（试行）》（GB18483-2001）中油烟最高允许排放浓度标准（2.0mg/m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）。通高于屋顶</w:t>
            </w:r>
            <w:r>
              <w:rPr>
                <w:rFonts w:ascii="Times New Roman" w:hAnsi="Times New Roman" w:eastAsia="宋体" w:cs="Times New Roman"/>
                <w:color w:val="auto"/>
                <w:sz w:val="24"/>
              </w:rPr>
              <w:t>3</w:t>
            </w:r>
            <w:r>
              <w:rPr>
                <w:rFonts w:hint="eastAsia" w:ascii="Times New Roman" w:hAnsi="Times New Roman" w:eastAsia="宋体" w:cs="Times New Roman"/>
                <w:color w:val="auto"/>
                <w:sz w:val="24"/>
              </w:rPr>
              <w:t>m的排气装置排放。</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（2）</w:t>
            </w:r>
            <w:r>
              <w:rPr>
                <w:rFonts w:ascii="Times New Roman" w:hAnsi="Times New Roman" w:eastAsia="宋体" w:cs="Times New Roman"/>
                <w:color w:val="auto"/>
                <w:sz w:val="24"/>
              </w:rPr>
              <w:t>保持</w:t>
            </w:r>
            <w:r>
              <w:rPr>
                <w:rFonts w:hint="eastAsia" w:ascii="Times New Roman" w:hAnsi="Times New Roman" w:eastAsia="宋体" w:cs="Times New Roman"/>
                <w:color w:val="auto"/>
                <w:sz w:val="24"/>
              </w:rPr>
              <w:t>项目</w:t>
            </w:r>
            <w:r>
              <w:rPr>
                <w:rFonts w:ascii="Times New Roman" w:hAnsi="Times New Roman" w:eastAsia="宋体" w:cs="Times New Roman"/>
                <w:color w:val="auto"/>
                <w:sz w:val="24"/>
              </w:rPr>
              <w:t>区内环境卫生，减少运营期地面扬尘和飘散物对环境空气质量的影响</w:t>
            </w:r>
            <w:r>
              <w:rPr>
                <w:rFonts w:hint="eastAsia" w:ascii="Times New Roman" w:hAnsi="Times New Roman" w:eastAsia="宋体" w:cs="Times New Roman"/>
                <w:color w:val="auto"/>
                <w:sz w:val="24"/>
              </w:rPr>
              <w:t>；项目</w:t>
            </w:r>
            <w:r>
              <w:rPr>
                <w:rFonts w:ascii="Times New Roman" w:hAnsi="Times New Roman" w:eastAsia="宋体" w:cs="Times New Roman"/>
                <w:color w:val="auto"/>
                <w:sz w:val="24"/>
              </w:rPr>
              <w:t>区</w:t>
            </w:r>
            <w:r>
              <w:rPr>
                <w:rFonts w:hint="eastAsia" w:ascii="Times New Roman" w:hAnsi="Times New Roman" w:eastAsia="宋体" w:cs="Times New Roman"/>
                <w:color w:val="auto"/>
                <w:sz w:val="24"/>
              </w:rPr>
              <w:t>生活</w:t>
            </w:r>
            <w:r>
              <w:rPr>
                <w:rFonts w:ascii="Times New Roman" w:hAnsi="Times New Roman" w:eastAsia="宋体" w:cs="Times New Roman"/>
                <w:color w:val="auto"/>
                <w:sz w:val="24"/>
              </w:rPr>
              <w:t>垃圾及时清运并对垃圾</w:t>
            </w:r>
            <w:r>
              <w:rPr>
                <w:rFonts w:hint="eastAsia" w:ascii="Times New Roman" w:hAnsi="Times New Roman" w:eastAsia="宋体" w:cs="Times New Roman"/>
                <w:color w:val="auto"/>
                <w:sz w:val="24"/>
              </w:rPr>
              <w:t>收集点</w:t>
            </w:r>
            <w:r>
              <w:rPr>
                <w:rFonts w:ascii="Times New Roman" w:hAnsi="Times New Roman" w:eastAsia="宋体" w:cs="Times New Roman"/>
                <w:color w:val="auto"/>
                <w:sz w:val="24"/>
              </w:rPr>
              <w:t>经常进行清扫。</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（3）加强污水处理系统周边绿化，尽量采用乔、灌、草结合的绿化方式。</w:t>
            </w:r>
          </w:p>
          <w:p>
            <w:pPr>
              <w:spacing w:line="360" w:lineRule="auto"/>
              <w:jc w:val="both"/>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5.4.2</w:t>
            </w:r>
            <w:r>
              <w:rPr>
                <w:rFonts w:ascii="Times New Roman" w:hAnsi="Times New Roman" w:eastAsia="宋体" w:cs="Times New Roman"/>
                <w:b/>
                <w:bCs/>
                <w:color w:val="auto"/>
                <w:sz w:val="24"/>
              </w:rPr>
              <w:t>运营期</w:t>
            </w:r>
            <w:r>
              <w:rPr>
                <w:rFonts w:hint="eastAsia" w:ascii="Times New Roman" w:hAnsi="Times New Roman" w:eastAsia="宋体" w:cs="Times New Roman"/>
                <w:b/>
                <w:bCs/>
                <w:color w:val="auto"/>
                <w:sz w:val="24"/>
              </w:rPr>
              <w:t>水环境保护措施</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（1）升压站内实行雨污分流。在综合楼食堂排水口设置1个有效容积1</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的不锈钢成品隔油池、在生活区设置1个有效容积</w:t>
            </w:r>
            <w:r>
              <w:rPr>
                <w:rFonts w:hint="eastAsia" w:ascii="Times New Roman" w:hAnsi="Times New Roman" w:eastAsia="宋体" w:cs="Times New Roman"/>
                <w:color w:val="auto"/>
                <w:sz w:val="24"/>
              </w:rPr>
              <w:t>6</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的玻璃钢成品化粪池，配套一套处理能力</w:t>
            </w:r>
            <w:r>
              <w:rPr>
                <w:rFonts w:hint="eastAsia" w:ascii="Times New Roman" w:hAnsi="Times New Roman" w:eastAsia="宋体" w:cs="Times New Roman"/>
                <w:color w:val="auto"/>
                <w:sz w:val="24"/>
              </w:rPr>
              <w:t>5</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/d的“接触氧化</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MBR膜工艺”一体化污水处理系统</w:t>
            </w:r>
            <w:r>
              <w:rPr>
                <w:rFonts w:hint="eastAsia" w:ascii="Times New Roman" w:hAnsi="Times New Roman" w:eastAsia="宋体" w:cs="Times New Roman"/>
                <w:color w:val="auto"/>
                <w:sz w:val="24"/>
              </w:rPr>
              <w:t>，并设置一个容积不小于8</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的回用水池</w:t>
            </w:r>
            <w:r>
              <w:rPr>
                <w:rFonts w:ascii="Times New Roman" w:hAnsi="Times New Roman" w:eastAsia="宋体" w:cs="Times New Roman"/>
                <w:color w:val="auto"/>
                <w:sz w:val="24"/>
              </w:rPr>
              <w:t>。食堂废水经隔油池隔油、其他生活污水经化粪池预处理后，送入污水处理系统，处理达《城市污水再生利用 城市杂用水水质》</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GB/T18920-20</w:t>
            </w:r>
            <w:r>
              <w:rPr>
                <w:rFonts w:hint="eastAsia" w:ascii="Times New Roman" w:hAnsi="Times New Roman" w:eastAsia="宋体" w:cs="Times New Roman"/>
                <w:color w:val="auto"/>
                <w:sz w:val="24"/>
              </w:rPr>
              <w:t>20）</w:t>
            </w:r>
            <w:r>
              <w:rPr>
                <w:rFonts w:ascii="Times New Roman" w:hAnsi="Times New Roman" w:eastAsia="宋体" w:cs="Times New Roman"/>
                <w:color w:val="auto"/>
                <w:sz w:val="24"/>
              </w:rPr>
              <w:t>中绿化标准后</w:t>
            </w:r>
            <w:r>
              <w:rPr>
                <w:rFonts w:hint="eastAsia" w:ascii="Times New Roman" w:hAnsi="Times New Roman" w:eastAsia="宋体" w:cs="Times New Roman"/>
                <w:color w:val="auto"/>
                <w:sz w:val="24"/>
              </w:rPr>
              <w:t>，进入回用水池，非雨天全部回用于升压站内</w:t>
            </w:r>
            <w:r>
              <w:rPr>
                <w:rFonts w:ascii="Times New Roman" w:hAnsi="Times New Roman" w:eastAsia="宋体" w:cs="Times New Roman"/>
                <w:color w:val="auto"/>
                <w:sz w:val="24"/>
              </w:rPr>
              <w:t>绿化。</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（2）太阳能</w:t>
            </w:r>
            <w:r>
              <w:rPr>
                <w:rFonts w:ascii="Times New Roman" w:hAnsi="Times New Roman" w:eastAsia="宋体" w:cs="Times New Roman"/>
                <w:color w:val="auto"/>
                <w:sz w:val="24"/>
              </w:rPr>
              <w:t>电池板在旱季进行清洗，产生的清洗废水全部回用于</w:t>
            </w:r>
            <w:r>
              <w:rPr>
                <w:rFonts w:hint="eastAsia" w:ascii="Times New Roman" w:hAnsi="Times New Roman" w:eastAsia="宋体" w:cs="Times New Roman"/>
                <w:color w:val="auto"/>
                <w:sz w:val="24"/>
              </w:rPr>
              <w:t>板下植物浇灌，</w:t>
            </w:r>
            <w:r>
              <w:rPr>
                <w:rFonts w:ascii="Times New Roman" w:hAnsi="Times New Roman" w:eastAsia="宋体" w:cs="Times New Roman"/>
                <w:color w:val="auto"/>
                <w:sz w:val="24"/>
              </w:rPr>
              <w:t>不外排。</w:t>
            </w:r>
          </w:p>
          <w:p>
            <w:pPr>
              <w:adjustRightInd w:val="0"/>
              <w:snapToGrid w:val="0"/>
              <w:spacing w:line="360" w:lineRule="auto"/>
              <w:ind w:firstLine="480" w:firstLineChars="200"/>
              <w:jc w:val="both"/>
              <w:rPr>
                <w:rFonts w:hint="eastAsia" w:ascii="Times New Roman" w:hAnsi="Times New Roman" w:eastAsia="宋体" w:cs="Times New Roman"/>
                <w:b/>
                <w:bCs/>
                <w:color w:val="auto"/>
                <w:sz w:val="24"/>
              </w:rPr>
            </w:pP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3</w:t>
            </w:r>
            <w:r>
              <w:rPr>
                <w:rFonts w:ascii="Times New Roman" w:hAnsi="Times New Roman" w:eastAsia="宋体" w:cs="Times New Roman"/>
                <w:color w:val="auto"/>
                <w:sz w:val="24"/>
              </w:rPr>
              <w:t>）应定期对化粪池</w:t>
            </w:r>
            <w:r>
              <w:rPr>
                <w:rFonts w:hint="eastAsia" w:ascii="Times New Roman" w:hAnsi="Times New Roman" w:eastAsia="宋体" w:cs="Times New Roman"/>
                <w:color w:val="auto"/>
                <w:sz w:val="24"/>
              </w:rPr>
              <w:t>、污水处理系统污泥</w:t>
            </w:r>
            <w:r>
              <w:rPr>
                <w:rFonts w:ascii="Times New Roman" w:hAnsi="Times New Roman" w:eastAsia="宋体" w:cs="Times New Roman"/>
                <w:color w:val="auto"/>
                <w:sz w:val="24"/>
              </w:rPr>
              <w:t>进行清掏；</w:t>
            </w:r>
            <w:r>
              <w:rPr>
                <w:rFonts w:hint="eastAsia" w:ascii="Times New Roman" w:hAnsi="Times New Roman" w:eastAsia="宋体" w:cs="Times New Roman"/>
                <w:color w:val="auto"/>
                <w:sz w:val="24"/>
              </w:rPr>
              <w:t>对隔油池废油进行清理收集。</w:t>
            </w:r>
            <w:r>
              <w:rPr>
                <w:rFonts w:ascii="Times New Roman" w:hAnsi="Times New Roman" w:eastAsia="宋体" w:cs="Times New Roman"/>
                <w:color w:val="auto"/>
                <w:sz w:val="24"/>
              </w:rPr>
              <w:t>定期检修</w:t>
            </w:r>
            <w:r>
              <w:rPr>
                <w:rFonts w:hint="eastAsia" w:ascii="Times New Roman" w:hAnsi="Times New Roman" w:eastAsia="宋体" w:cs="Times New Roman"/>
                <w:color w:val="auto"/>
                <w:sz w:val="24"/>
              </w:rPr>
              <w:t>污水</w:t>
            </w:r>
            <w:r>
              <w:rPr>
                <w:rFonts w:ascii="Times New Roman" w:hAnsi="Times New Roman" w:eastAsia="宋体" w:cs="Times New Roman"/>
                <w:color w:val="auto"/>
                <w:sz w:val="24"/>
              </w:rPr>
              <w:t>处理设施，建立污水处理设施管理制度，以保障污水处理设施的处理效果</w:t>
            </w:r>
            <w:r>
              <w:rPr>
                <w:rFonts w:hint="eastAsia" w:ascii="Times New Roman" w:hAnsi="Times New Roman" w:eastAsia="宋体" w:cs="Times New Roman"/>
                <w:color w:val="auto"/>
                <w:sz w:val="24"/>
              </w:rPr>
              <w:t>。</w:t>
            </w:r>
          </w:p>
          <w:p>
            <w:pPr>
              <w:adjustRightInd w:val="0"/>
              <w:snapToGrid w:val="0"/>
              <w:spacing w:line="360" w:lineRule="auto"/>
              <w:jc w:val="both"/>
              <w:rPr>
                <w:rFonts w:hint="eastAsia" w:ascii="Times New Roman" w:hAnsi="Times New Roman" w:eastAsia="宋体" w:cs="Times New Roman"/>
                <w:color w:val="auto"/>
                <w:sz w:val="24"/>
              </w:rPr>
            </w:pPr>
            <w:r>
              <w:rPr>
                <w:rFonts w:hint="eastAsia" w:ascii="Times New Roman" w:hAnsi="Times New Roman" w:eastAsia="宋体" w:cs="Times New Roman"/>
                <w:b/>
                <w:bCs/>
                <w:color w:val="auto"/>
                <w:sz w:val="24"/>
              </w:rPr>
              <w:t>5.4.3 运营期声环境影响防治措施</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（1）在设备选型上选用低噪声设备；</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（2）光伏发电区箱式变压器分散合理布置。箱式变压器应尽量设置变压器房进行隔声降噪；逆变器应严格按照说明书安装要求安装，通过采取加装阻尼弹簧减振器等措施减小振动；</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（3）升压站各电气设备应严格按标准安装，加强设备维护保养，确保设备平稳运行，避免因转动部分与外缘碰撞、摩擦而加大噪声，避免出现尖端放电等。</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（4）风扇、水泵等设备应采取减振措施，水泵采取隔声降噪。运行过程中保持水泵房、设备间等的门窗紧闭。</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5</w:t>
            </w:r>
            <w:r>
              <w:rPr>
                <w:rFonts w:hint="eastAsia" w:ascii="Times New Roman" w:hAnsi="Times New Roman" w:eastAsia="宋体" w:cs="Times New Roman"/>
                <w:color w:val="auto"/>
                <w:sz w:val="24"/>
              </w:rPr>
              <w:t>）加强项目内的绿化，在美化环境的同时还能起到一定的降噪作用。</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（6）配备必要的耳塞等个人防护措施，加强升压站内工作人员的</w:t>
            </w:r>
            <w:r>
              <w:rPr>
                <w:rFonts w:ascii="Times New Roman" w:hAnsi="Times New Roman" w:eastAsia="宋体" w:cs="Times New Roman"/>
                <w:color w:val="auto"/>
                <w:sz w:val="24"/>
              </w:rPr>
              <w:t>防护。</w:t>
            </w:r>
          </w:p>
          <w:p>
            <w:pPr>
              <w:adjustRightInd w:val="0"/>
              <w:snapToGrid w:val="0"/>
              <w:spacing w:line="360" w:lineRule="auto"/>
              <w:jc w:val="both"/>
              <w:rPr>
                <w:rFonts w:hint="eastAsia" w:ascii="Times New Roman" w:hAnsi="Times New Roman" w:eastAsia="宋体" w:cs="Times New Roman"/>
                <w:color w:val="auto"/>
                <w:sz w:val="24"/>
              </w:rPr>
            </w:pPr>
            <w:r>
              <w:rPr>
                <w:rFonts w:hint="eastAsia" w:ascii="Times New Roman" w:hAnsi="Times New Roman" w:eastAsia="宋体" w:cs="Times New Roman"/>
                <w:b/>
                <w:bCs/>
                <w:color w:val="auto"/>
                <w:sz w:val="24"/>
              </w:rPr>
              <w:t>5.4.4 固体废弃物影响防治措施</w:t>
            </w:r>
            <w:r>
              <w:rPr>
                <w:rFonts w:hint="eastAsia" w:ascii="Times New Roman" w:hAnsi="Times New Roman" w:eastAsia="宋体" w:cs="Times New Roman"/>
                <w:color w:val="auto"/>
                <w:sz w:val="24"/>
              </w:rPr>
              <w:t xml:space="preserve"> </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（1）生活垃圾：设垃圾桶进行分类收集，可回用的尽量回收利用，不能回用的</w:t>
            </w:r>
            <w:r>
              <w:rPr>
                <w:rFonts w:ascii="Times New Roman" w:hAnsi="Times New Roman" w:eastAsia="宋体" w:cs="Times New Roman"/>
                <w:color w:val="auto"/>
                <w:sz w:val="24"/>
              </w:rPr>
              <w:t>定期运至</w:t>
            </w:r>
            <w:r>
              <w:rPr>
                <w:rFonts w:hint="eastAsia" w:ascii="Times New Roman" w:hAnsi="Times New Roman" w:eastAsia="宋体" w:cs="Times New Roman"/>
                <w:color w:val="auto"/>
                <w:sz w:val="24"/>
              </w:rPr>
              <w:t>周边村庄</w:t>
            </w:r>
            <w:r>
              <w:rPr>
                <w:rFonts w:ascii="Times New Roman" w:hAnsi="Times New Roman" w:eastAsia="宋体" w:cs="Times New Roman"/>
                <w:color w:val="auto"/>
                <w:sz w:val="24"/>
              </w:rPr>
              <w:t>垃圾</w:t>
            </w:r>
            <w:r>
              <w:rPr>
                <w:rFonts w:hint="eastAsia" w:ascii="Times New Roman" w:hAnsi="Times New Roman" w:eastAsia="宋体" w:cs="Times New Roman"/>
                <w:color w:val="auto"/>
                <w:sz w:val="24"/>
              </w:rPr>
              <w:t>集中</w:t>
            </w:r>
            <w:r>
              <w:rPr>
                <w:rFonts w:ascii="Times New Roman" w:hAnsi="Times New Roman" w:eastAsia="宋体" w:cs="Times New Roman"/>
                <w:color w:val="auto"/>
                <w:sz w:val="24"/>
              </w:rPr>
              <w:t>收集点，由当地环卫部门</w:t>
            </w:r>
            <w:r>
              <w:rPr>
                <w:rFonts w:hint="eastAsia" w:ascii="Times New Roman" w:hAnsi="Times New Roman" w:eastAsia="宋体" w:cs="Times New Roman"/>
                <w:color w:val="auto"/>
                <w:sz w:val="24"/>
              </w:rPr>
              <w:t>统一</w:t>
            </w:r>
            <w:r>
              <w:rPr>
                <w:rFonts w:ascii="Times New Roman" w:hAnsi="Times New Roman" w:eastAsia="宋体" w:cs="Times New Roman"/>
                <w:color w:val="auto"/>
                <w:sz w:val="24"/>
              </w:rPr>
              <w:t>处置</w:t>
            </w:r>
            <w:r>
              <w:rPr>
                <w:rFonts w:hint="eastAsia" w:ascii="Times New Roman" w:hAnsi="Times New Roman" w:eastAsia="宋体" w:cs="Times New Roman"/>
                <w:color w:val="auto"/>
                <w:sz w:val="24"/>
              </w:rPr>
              <w:t>。做到日产日清。</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（2）化粪池、污水处理系统污泥：委托周边农户</w:t>
            </w:r>
            <w:r>
              <w:rPr>
                <w:rFonts w:ascii="Times New Roman" w:hAnsi="Times New Roman" w:eastAsia="宋体" w:cs="Times New Roman"/>
                <w:color w:val="auto"/>
                <w:sz w:val="24"/>
              </w:rPr>
              <w:t>清掏</w:t>
            </w:r>
            <w:r>
              <w:rPr>
                <w:rFonts w:hint="eastAsia" w:ascii="Times New Roman" w:hAnsi="Times New Roman" w:eastAsia="宋体" w:cs="Times New Roman"/>
                <w:color w:val="auto"/>
                <w:sz w:val="24"/>
              </w:rPr>
              <w:t>后用于电站周围植物施肥</w:t>
            </w:r>
            <w:r>
              <w:rPr>
                <w:rFonts w:ascii="Times New Roman" w:hAnsi="Times New Roman" w:eastAsia="宋体" w:cs="Times New Roman"/>
                <w:color w:val="auto"/>
                <w:sz w:val="24"/>
              </w:rPr>
              <w:t>。</w:t>
            </w:r>
          </w:p>
          <w:p>
            <w:pPr>
              <w:spacing w:line="360" w:lineRule="auto"/>
              <w:ind w:firstLine="480" w:firstLineChars="200"/>
              <w:jc w:val="both"/>
              <w:rPr>
                <w:rFonts w:ascii="Times New Roman" w:hAnsi="Times New Roman" w:eastAsia="宋体" w:cs="Times New Roman"/>
                <w:color w:val="auto"/>
                <w:sz w:val="24"/>
              </w:rPr>
            </w:pP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3</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废</w:t>
            </w:r>
            <w:r>
              <w:rPr>
                <w:rFonts w:ascii="Times New Roman" w:hAnsi="Times New Roman" w:eastAsia="宋体" w:cs="Times New Roman"/>
                <w:color w:val="auto"/>
                <w:sz w:val="24"/>
              </w:rPr>
              <w:t>电池板</w:t>
            </w:r>
            <w:r>
              <w:rPr>
                <w:rFonts w:hint="eastAsia" w:ascii="Times New Roman" w:hAnsi="Times New Roman" w:eastAsia="宋体" w:cs="Times New Roman"/>
                <w:color w:val="auto"/>
                <w:sz w:val="24"/>
              </w:rPr>
              <w:t>：厂家定期上门进行电池板检测，更换的废弃电池板由厂家带回资源化处置。</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4</w:t>
            </w:r>
            <w:r>
              <w:rPr>
                <w:rFonts w:hint="eastAsia" w:ascii="Times New Roman" w:hAnsi="Times New Roman" w:eastAsia="宋体" w:cs="Times New Roman"/>
                <w:color w:val="auto"/>
                <w:sz w:val="24"/>
              </w:rPr>
              <w:t>）废变压器油、废润滑油：属于危险废物，收集于专用容器内，在危废暂存间分区暂存，定期交有资质单位处置，严格执行危废转移联单制度。</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5</w:t>
            </w:r>
            <w:r>
              <w:rPr>
                <w:rFonts w:hint="eastAsia" w:ascii="Times New Roman" w:hAnsi="Times New Roman" w:eastAsia="宋体" w:cs="Times New Roman"/>
                <w:color w:val="auto"/>
                <w:sz w:val="24"/>
              </w:rPr>
              <w:t>）废铅蓄电池：分区暂存于危废暂存间，委托有危险废物回收资质的单位妥善处理，严格执行危废转移联单制度。</w:t>
            </w:r>
            <w:r>
              <w:rPr>
                <w:rFonts w:ascii="Times New Roman" w:hAnsi="Times New Roman" w:eastAsia="宋体" w:cs="Times New Roman"/>
                <w:color w:val="auto"/>
                <w:sz w:val="24"/>
              </w:rPr>
              <w:t xml:space="preserve"> </w:t>
            </w:r>
          </w:p>
          <w:p>
            <w:pPr>
              <w:adjustRightInd w:val="0"/>
              <w:snapToGrid w:val="0"/>
              <w:spacing w:line="360" w:lineRule="auto"/>
              <w:ind w:firstLine="480" w:firstLineChars="200"/>
              <w:jc w:val="both"/>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（5）危险废物环境管理要求：在仓库内设置1间面积为</w:t>
            </w:r>
            <w:r>
              <w:rPr>
                <w:rFonts w:ascii="Times New Roman" w:hAnsi="Times New Roman" w:eastAsia="宋体" w:cs="Times New Roman"/>
                <w:color w:val="auto"/>
                <w:sz w:val="24"/>
              </w:rPr>
              <w:t>20</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2</w:t>
            </w:r>
            <w:r>
              <w:rPr>
                <w:rFonts w:hint="eastAsia" w:ascii="Times New Roman" w:hAnsi="Times New Roman" w:eastAsia="宋体" w:cs="Times New Roman"/>
                <w:color w:val="auto"/>
                <w:sz w:val="24"/>
              </w:rPr>
              <w:t>的危险废物暂存间，危废暂存间采用全封闭式，严格按照《危险废物贮存污染控制标准》（GB18597-2001）及其2</w:t>
            </w:r>
            <w:r>
              <w:rPr>
                <w:rFonts w:ascii="Times New Roman" w:hAnsi="Times New Roman" w:eastAsia="宋体" w:cs="Times New Roman"/>
                <w:color w:val="auto"/>
                <w:sz w:val="24"/>
              </w:rPr>
              <w:t>013</w:t>
            </w:r>
            <w:r>
              <w:rPr>
                <w:rFonts w:hint="eastAsia" w:ascii="Times New Roman" w:hAnsi="Times New Roman" w:eastAsia="宋体" w:cs="Times New Roman"/>
                <w:color w:val="auto"/>
                <w:sz w:val="24"/>
              </w:rPr>
              <w:t>年修改单有关要求进行设计，基础必须进行防渗，能防风、防雨、防流失，并配设醒目的警示标识。危险废物定期委托具备相应危废处置资质的单位进行处置，其转移严格按照《危险废物转移联单管理办法》要求执行。配置人员对危险废物进行收集、暂存和保管。建立危险废物产生记录台账，定期检查自行贮存和处置的危险废物记录及相关证明材料，妥善保存危废转移联单及危废处置协议等相关资料。</w:t>
            </w:r>
          </w:p>
          <w:p>
            <w:pPr>
              <w:adjustRightInd w:val="0"/>
              <w:snapToGrid w:val="0"/>
              <w:spacing w:line="360" w:lineRule="auto"/>
              <w:jc w:val="both"/>
              <w:rPr>
                <w:rFonts w:hint="eastAsia"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rPr>
              <w:t>5.5 运营期环境风险控制措施</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（1）升压站内主变压器处设置1个集油池和1个容积</w:t>
            </w:r>
            <w:r>
              <w:rPr>
                <w:rFonts w:hint="eastAsia" w:cs="Times New Roman"/>
                <w:color w:val="auto"/>
                <w:sz w:val="24"/>
                <w:lang w:val="en-US" w:eastAsia="zh-CN"/>
              </w:rPr>
              <w:t>30</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的事故油池，通过排油管道连接。主变压器在维修和事故情况下，产生的废油由集油坑收集后，经管道排至事故油池存放。光伏场区各箱变基础配套建设事故油池，容积应不小于箱变1</w:t>
            </w:r>
            <w:r>
              <w:rPr>
                <w:rFonts w:ascii="Times New Roman" w:hAnsi="Times New Roman" w:eastAsia="宋体" w:cs="Times New Roman"/>
                <w:color w:val="auto"/>
                <w:sz w:val="24"/>
              </w:rPr>
              <w:t>00%</w:t>
            </w:r>
            <w:r>
              <w:rPr>
                <w:rFonts w:hint="eastAsia" w:ascii="Times New Roman" w:hAnsi="Times New Roman" w:eastAsia="宋体" w:cs="Times New Roman"/>
                <w:color w:val="auto"/>
                <w:sz w:val="24"/>
              </w:rPr>
              <w:t>油量，箱变维修和事故情况下排放的废油进入配套事故油池收集。事故结束后，应及时委托有危废处置资质的单位对废油进行清运处置，保持事故池内空置状态。</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（2）</w:t>
            </w:r>
            <w:r>
              <w:rPr>
                <w:rFonts w:ascii="Times New Roman" w:hAnsi="Times New Roman" w:eastAsia="宋体" w:cs="Times New Roman"/>
                <w:color w:val="auto"/>
                <w:sz w:val="24"/>
              </w:rPr>
              <w:t>严格做好分区防渗工程，施工期加强工程监理和环境监理，提高防渗工程质量，做好照片、录像以及相关文字说明等存档资料。</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升压站集油池、</w:t>
            </w:r>
            <w:r>
              <w:rPr>
                <w:rFonts w:ascii="Times New Roman" w:hAnsi="Times New Roman" w:eastAsia="宋体" w:cs="Times New Roman"/>
                <w:color w:val="auto"/>
                <w:sz w:val="24"/>
              </w:rPr>
              <w:t>事故油池、</w:t>
            </w:r>
            <w:r>
              <w:rPr>
                <w:rFonts w:hint="eastAsia" w:ascii="Times New Roman" w:hAnsi="Times New Roman" w:eastAsia="宋体" w:cs="Times New Roman"/>
                <w:color w:val="auto"/>
                <w:sz w:val="24"/>
              </w:rPr>
              <w:t>润滑油品库、</w:t>
            </w:r>
            <w:r>
              <w:rPr>
                <w:rFonts w:ascii="Times New Roman" w:hAnsi="Times New Roman" w:eastAsia="宋体" w:cs="Times New Roman"/>
                <w:color w:val="auto"/>
                <w:sz w:val="24"/>
              </w:rPr>
              <w:t>危废暂存间</w:t>
            </w:r>
            <w:r>
              <w:rPr>
                <w:rFonts w:hint="eastAsia" w:ascii="Times New Roman" w:hAnsi="Times New Roman" w:eastAsia="宋体" w:cs="Times New Roman"/>
                <w:color w:val="auto"/>
                <w:sz w:val="24"/>
              </w:rPr>
              <w:t>以及光伏场区箱变事故油池应</w:t>
            </w:r>
            <w:r>
              <w:rPr>
                <w:rFonts w:ascii="Times New Roman" w:hAnsi="Times New Roman" w:eastAsia="宋体" w:cs="Times New Roman"/>
                <w:color w:val="auto"/>
                <w:sz w:val="24"/>
              </w:rPr>
              <w:t>进行重点防渗</w:t>
            </w:r>
            <w:r>
              <w:rPr>
                <w:rFonts w:hint="eastAsia" w:ascii="Times New Roman" w:hAnsi="Times New Roman" w:eastAsia="宋体" w:cs="Times New Roman"/>
                <w:color w:val="auto"/>
                <w:sz w:val="24"/>
              </w:rPr>
              <w:t>处理</w:t>
            </w:r>
            <w:r>
              <w:rPr>
                <w:rFonts w:ascii="Times New Roman" w:hAnsi="Times New Roman" w:eastAsia="宋体" w:cs="Times New Roman"/>
                <w:color w:val="auto"/>
                <w:sz w:val="24"/>
              </w:rPr>
              <w:t>，防渗技术要求为：等效黏土防渗层Mb≥6m，K≤1×10</w:t>
            </w:r>
            <w:r>
              <w:rPr>
                <w:rFonts w:ascii="Times New Roman" w:hAnsi="Times New Roman" w:eastAsia="宋体" w:cs="Times New Roman"/>
                <w:color w:val="auto"/>
                <w:sz w:val="24"/>
                <w:vertAlign w:val="superscript"/>
              </w:rPr>
              <w:t>-7</w:t>
            </w:r>
            <w:r>
              <w:rPr>
                <w:rFonts w:ascii="Times New Roman" w:hAnsi="Times New Roman" w:eastAsia="宋体" w:cs="Times New Roman"/>
                <w:color w:val="auto"/>
                <w:sz w:val="24"/>
              </w:rPr>
              <w:t>cm/s</w:t>
            </w:r>
            <w:r>
              <w:rPr>
                <w:rFonts w:hint="eastAsia" w:ascii="Times New Roman" w:hAnsi="Times New Roman" w:eastAsia="宋体" w:cs="Times New Roman"/>
                <w:color w:val="auto"/>
                <w:sz w:val="24"/>
              </w:rPr>
              <w:t>。</w:t>
            </w:r>
          </w:p>
          <w:p>
            <w:pPr>
              <w:spacing w:line="360" w:lineRule="auto"/>
              <w:ind w:firstLine="480" w:firstLineChars="200"/>
              <w:jc w:val="both"/>
              <w:rPr>
                <w:rFonts w:ascii="Times New Roman" w:hAnsi="Times New Roman" w:eastAsia="宋体" w:cs="Times New Roman"/>
                <w:color w:val="auto"/>
                <w:sz w:val="24"/>
              </w:rPr>
            </w:pPr>
            <w:r>
              <w:rPr>
                <w:rFonts w:ascii="Times New Roman" w:hAnsi="Times New Roman" w:eastAsia="宋体" w:cs="Times New Roman"/>
                <w:color w:val="auto"/>
                <w:sz w:val="24"/>
              </w:rPr>
              <w:t>化粪池</w:t>
            </w:r>
            <w:r>
              <w:rPr>
                <w:rFonts w:hint="eastAsia" w:ascii="Times New Roman" w:hAnsi="Times New Roman" w:eastAsia="宋体" w:cs="Times New Roman"/>
                <w:color w:val="auto"/>
                <w:sz w:val="24"/>
              </w:rPr>
              <w:t>、污水处理系统应</w:t>
            </w:r>
            <w:r>
              <w:rPr>
                <w:rFonts w:ascii="Times New Roman" w:hAnsi="Times New Roman" w:eastAsia="宋体" w:cs="Times New Roman"/>
                <w:color w:val="auto"/>
                <w:sz w:val="24"/>
              </w:rPr>
              <w:t>按一般防渗区</w:t>
            </w:r>
            <w:r>
              <w:rPr>
                <w:rFonts w:hint="eastAsia" w:ascii="Times New Roman" w:hAnsi="Times New Roman" w:eastAsia="宋体" w:cs="Times New Roman"/>
                <w:color w:val="auto"/>
                <w:sz w:val="24"/>
              </w:rPr>
              <w:t>要求采取防渗措施，</w:t>
            </w:r>
            <w:r>
              <w:rPr>
                <w:rFonts w:ascii="Times New Roman" w:hAnsi="Times New Roman" w:eastAsia="宋体" w:cs="Times New Roman"/>
                <w:color w:val="auto"/>
                <w:sz w:val="24"/>
              </w:rPr>
              <w:t>防渗技术要求为：等效黏土防渗层Mb≥1.5m，K≤1×10</w:t>
            </w:r>
            <w:r>
              <w:rPr>
                <w:rFonts w:ascii="Times New Roman" w:hAnsi="Times New Roman" w:eastAsia="宋体" w:cs="Times New Roman"/>
                <w:color w:val="auto"/>
                <w:sz w:val="24"/>
                <w:vertAlign w:val="superscript"/>
              </w:rPr>
              <w:t>-7</w:t>
            </w:r>
            <w:r>
              <w:rPr>
                <w:rFonts w:ascii="Times New Roman" w:hAnsi="Times New Roman" w:eastAsia="宋体" w:cs="Times New Roman"/>
                <w:color w:val="auto"/>
                <w:sz w:val="24"/>
              </w:rPr>
              <w:t>cm/s</w:t>
            </w:r>
            <w:r>
              <w:rPr>
                <w:rFonts w:hint="eastAsia" w:ascii="Times New Roman" w:hAnsi="Times New Roman" w:eastAsia="宋体" w:cs="Times New Roman"/>
                <w:color w:val="auto"/>
                <w:sz w:val="24"/>
              </w:rPr>
              <w:t>。</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（3）</w:t>
            </w:r>
            <w:r>
              <w:rPr>
                <w:rFonts w:ascii="Times New Roman" w:hAnsi="Times New Roman" w:eastAsia="宋体" w:cs="Times New Roman"/>
                <w:color w:val="auto"/>
                <w:sz w:val="24"/>
              </w:rPr>
              <w:t>运营</w:t>
            </w:r>
            <w:r>
              <w:rPr>
                <w:rFonts w:hint="eastAsia" w:ascii="Times New Roman" w:hAnsi="Times New Roman" w:eastAsia="宋体" w:cs="Times New Roman"/>
                <w:color w:val="auto"/>
                <w:sz w:val="24"/>
              </w:rPr>
              <w:t>期</w:t>
            </w:r>
            <w:r>
              <w:rPr>
                <w:rFonts w:ascii="Times New Roman" w:hAnsi="Times New Roman" w:eastAsia="宋体" w:cs="Times New Roman"/>
                <w:color w:val="auto"/>
                <w:sz w:val="24"/>
              </w:rPr>
              <w:t>定期检查</w:t>
            </w:r>
            <w:r>
              <w:rPr>
                <w:rFonts w:hint="eastAsia" w:ascii="Times New Roman" w:hAnsi="Times New Roman" w:eastAsia="宋体" w:cs="Times New Roman"/>
                <w:color w:val="auto"/>
                <w:sz w:val="24"/>
              </w:rPr>
              <w:t>各储存设施</w:t>
            </w:r>
            <w:r>
              <w:rPr>
                <w:rFonts w:ascii="Times New Roman" w:hAnsi="Times New Roman" w:eastAsia="宋体" w:cs="Times New Roman"/>
                <w:color w:val="auto"/>
                <w:sz w:val="24"/>
              </w:rPr>
              <w:t>，避免出现泄漏等不良情况</w:t>
            </w:r>
            <w:r>
              <w:rPr>
                <w:rFonts w:hint="eastAsia" w:ascii="Times New Roman" w:hAnsi="Times New Roman" w:eastAsia="宋体" w:cs="Times New Roman"/>
                <w:color w:val="auto"/>
                <w:sz w:val="24"/>
              </w:rPr>
              <w:t>。</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（4）危险废物的贮存严格按照《危险废物贮存污染控制标准》（GB18597-2001）及其2013修改单和《危险废物收集、贮存、运输技术规范》（HJ2025-2012）的相关要求执行。</w:t>
            </w:r>
          </w:p>
          <w:p>
            <w:pPr>
              <w:adjustRightInd w:val="0"/>
              <w:snapToGrid w:val="0"/>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（5）</w:t>
            </w:r>
            <w:r>
              <w:rPr>
                <w:rFonts w:ascii="Times New Roman" w:hAnsi="Times New Roman" w:eastAsia="宋体" w:cs="Times New Roman"/>
                <w:color w:val="auto"/>
                <w:sz w:val="24"/>
              </w:rPr>
              <w:t>加强对操作人员的岗位培训，建立健全的环保管理机制和各项环保规章制度，落实岗位环保责任制，加强环境风险防范工作，防止事故排放导致环境问题。</w:t>
            </w:r>
          </w:p>
          <w:p>
            <w:pPr>
              <w:adjustRightInd w:val="0"/>
              <w:snapToGrid w:val="0"/>
              <w:spacing w:line="360" w:lineRule="auto"/>
              <w:jc w:val="both"/>
              <w:rPr>
                <w:rFonts w:hint="eastAsia"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rPr>
              <w:t>5.6 服务期满后环境保护措施</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1）固废处置：光伏电站服务期满后（营运时间25年），按国家相关要求，将对电池组件及支架、变压器等进行拆除或者更换。拆除的光伏组件由生产商回收资源化处置，废弃逆变器、变压器及蓄电池等设备交由有资质单位处理，组件支架等钢材可外售给物资回收公司，所有建（构）物及其基础由拆迁公司拆除、清理。</w:t>
            </w:r>
          </w:p>
          <w:p>
            <w:pPr>
              <w:widowControl w:val="0"/>
              <w:spacing w:beforeLines="0" w:afterLines="0" w:line="360" w:lineRule="auto"/>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rPr>
              <w:t>（2）生态植被恢复：光伏组件及设备拆除过程中应尽量减小对土地的扰动，对于场区内原有绿化土地尽量保留；组件及设备拆除完毕后，应掘除硬化地面基础，对场地进行适当整理；设立专项资金，采取植被重建的方式对场区进行生态恢复，种植适宜的乔木、灌木以及草类植被，全面复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377" w:type="pct"/>
            <w:noWrap w:val="0"/>
            <w:vAlign w:val="center"/>
          </w:tcPr>
          <w:p>
            <w:pPr>
              <w:adjustRightInd w:val="0"/>
              <w:snapToGrid w:val="0"/>
              <w:ind w:left="0" w:leftChars="0" w:right="0" w:rightChars="0" w:firstLine="0" w:firstLineChars="0"/>
              <w:jc w:val="center"/>
              <w:rPr>
                <w:rFonts w:hint="default" w:ascii="Times New Roman" w:hAnsi="Times New Roman" w:eastAsia="宋体" w:cs="Times New Roman"/>
                <w:bCs/>
                <w:color w:val="auto"/>
                <w:spacing w:val="10"/>
                <w:sz w:val="24"/>
                <w:szCs w:val="21"/>
              </w:rPr>
            </w:pPr>
            <w:r>
              <w:rPr>
                <w:rFonts w:hint="default" w:ascii="Times New Roman" w:hAnsi="Times New Roman" w:eastAsia="宋体" w:cs="Times New Roman"/>
                <w:bCs/>
                <w:color w:val="auto"/>
                <w:sz w:val="24"/>
                <w:szCs w:val="21"/>
              </w:rPr>
              <w:t>其他</w:t>
            </w:r>
          </w:p>
        </w:tc>
        <w:tc>
          <w:tcPr>
            <w:tcW w:w="4622" w:type="pct"/>
            <w:noWrap w:val="0"/>
            <w:vAlign w:val="center"/>
          </w:tcPr>
          <w:p>
            <w:pPr>
              <w:spacing w:line="360" w:lineRule="auto"/>
              <w:jc w:val="both"/>
              <w:rPr>
                <w:rFonts w:ascii="Times New Roman" w:hAnsi="Times New Roman" w:eastAsia="宋体" w:cs="Times New Roman"/>
                <w:b/>
                <w:color w:val="auto"/>
                <w:kern w:val="0"/>
                <w:sz w:val="28"/>
              </w:rPr>
            </w:pPr>
            <w:r>
              <w:rPr>
                <w:rFonts w:hint="eastAsia" w:ascii="Times New Roman" w:hAnsi="Times New Roman" w:eastAsia="宋体" w:cs="Times New Roman"/>
                <w:b/>
                <w:color w:val="auto"/>
                <w:kern w:val="0"/>
                <w:sz w:val="28"/>
              </w:rPr>
              <w:t>5.7环境管理和环境监测</w:t>
            </w:r>
          </w:p>
          <w:p>
            <w:pPr>
              <w:spacing w:line="360" w:lineRule="auto"/>
              <w:ind w:firstLine="480" w:firstLineChars="200"/>
              <w:jc w:val="both"/>
              <w:rPr>
                <w:rFonts w:ascii="Times New Roman" w:hAnsi="Times New Roman" w:eastAsia="宋体" w:cs="Times New Roman"/>
                <w:color w:val="auto"/>
                <w:sz w:val="24"/>
              </w:rPr>
            </w:pPr>
            <w:r>
              <w:rPr>
                <w:rFonts w:ascii="Times New Roman" w:hAnsi="Times New Roman" w:eastAsia="宋体" w:cs="Times New Roman"/>
                <w:color w:val="auto"/>
                <w:sz w:val="24"/>
              </w:rPr>
              <w:t>工程建设单位应组建工程环境保护管理机构，</w:t>
            </w:r>
            <w:r>
              <w:rPr>
                <w:rFonts w:hint="eastAsia" w:ascii="Times New Roman" w:hAnsi="Times New Roman" w:eastAsia="宋体" w:cs="Times New Roman"/>
                <w:color w:val="auto"/>
                <w:sz w:val="24"/>
              </w:rPr>
              <w:t>建立环境管理制度，保障环保资金的投入，</w:t>
            </w:r>
            <w:r>
              <w:rPr>
                <w:rFonts w:ascii="Times New Roman" w:hAnsi="Times New Roman" w:eastAsia="宋体" w:cs="Times New Roman"/>
                <w:color w:val="auto"/>
                <w:sz w:val="24"/>
              </w:rPr>
              <w:t>全面领导整个工程施工过程的环境保护工作，认真落实本工程的各项环境保护措施、环境监测计划，保障工程建设和运营符合环保要求。</w:t>
            </w:r>
          </w:p>
          <w:p>
            <w:pPr>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建设单位应组织开展施工期的环境监理工作，将环境监理纳入工程监理一并实施，环境监理内容不限于环评报告和环评批复要求的内容，还包括可研和初设环保篇章等中的环保措施内容，以减少施工期对周围生态环境的影响。</w:t>
            </w:r>
          </w:p>
          <w:p>
            <w:pPr>
              <w:spacing w:line="360" w:lineRule="auto"/>
              <w:ind w:firstLine="482" w:firstLineChars="200"/>
              <w:jc w:val="both"/>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1、环境管理计划</w:t>
            </w:r>
          </w:p>
          <w:p>
            <w:pPr>
              <w:spacing w:line="360" w:lineRule="auto"/>
              <w:jc w:val="center"/>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为加强项目施工期及运营期对项目的环境监管，建设单位应设1名环保工作人员，负责做好环境管理工作，加强环保法规和技术培训，组织落实各项环境保护措施，规范各项环境管理制度。项目环境管理计划见下表。</w:t>
            </w:r>
          </w:p>
          <w:p>
            <w:pPr>
              <w:spacing w:line="360" w:lineRule="auto"/>
              <w:jc w:val="center"/>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表5.7</w:t>
            </w:r>
            <w:r>
              <w:rPr>
                <w:rFonts w:ascii="Times New Roman" w:hAnsi="Times New Roman" w:eastAsia="宋体" w:cs="Times New Roman"/>
                <w:b/>
                <w:bCs/>
                <w:color w:val="auto"/>
                <w:sz w:val="24"/>
              </w:rPr>
              <w:t xml:space="preserve">-1  </w:t>
            </w:r>
            <w:r>
              <w:rPr>
                <w:rFonts w:hint="eastAsia" w:ascii="Times New Roman" w:hAnsi="Times New Roman" w:eastAsia="宋体" w:cs="Times New Roman"/>
                <w:b/>
                <w:bCs/>
                <w:color w:val="auto"/>
                <w:sz w:val="24"/>
              </w:rPr>
              <w:t>环境管理计划表</w:t>
            </w:r>
          </w:p>
          <w:tbl>
            <w:tblPr>
              <w:tblStyle w:val="18"/>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5811"/>
              <w:gridCol w:w="709"/>
              <w:gridCol w:w="73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dxa"/>
                  <w:noWrap w:val="0"/>
                  <w:vAlign w:val="center"/>
                </w:tcPr>
                <w:p>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环境要素</w:t>
                  </w:r>
                </w:p>
              </w:tc>
              <w:tc>
                <w:tcPr>
                  <w:tcW w:w="5811" w:type="dxa"/>
                  <w:noWrap w:val="0"/>
                  <w:vAlign w:val="center"/>
                </w:tcPr>
                <w:p>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环境保护措施与对策</w:t>
                  </w:r>
                </w:p>
              </w:tc>
              <w:tc>
                <w:tcPr>
                  <w:tcW w:w="709" w:type="dxa"/>
                  <w:noWrap w:val="0"/>
                  <w:vAlign w:val="center"/>
                </w:tcPr>
                <w:p>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执行单位</w:t>
                  </w:r>
                </w:p>
              </w:tc>
              <w:tc>
                <w:tcPr>
                  <w:tcW w:w="734" w:type="dxa"/>
                  <w:noWrap w:val="0"/>
                  <w:vAlign w:val="center"/>
                </w:tcPr>
                <w:p>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监管部门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dxa"/>
                  <w:noWrap w:val="0"/>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大气环境</w:t>
                  </w:r>
                </w:p>
              </w:tc>
              <w:tc>
                <w:tcPr>
                  <w:tcW w:w="5811" w:type="dxa"/>
                  <w:noWrap w:val="0"/>
                  <w:vAlign w:val="center"/>
                </w:tcPr>
                <w:p>
                  <w:pPr>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施工期：施工区实施洒水抑尘、散体材料库内存放、露天存放应采用防尘网遮盖，表土堆场土工布遮盖，运输车辆封闭式运输。</w:t>
                  </w:r>
                </w:p>
                <w:p>
                  <w:pPr>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运行期：厨房油烟设抽排及净化系统（净化效率不低于6</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）处理后引至屋顶排放，加强场区绿化。</w:t>
                  </w:r>
                </w:p>
              </w:tc>
              <w:tc>
                <w:tcPr>
                  <w:tcW w:w="709" w:type="dxa"/>
                  <w:vMerge w:val="restart"/>
                  <w:noWrap w:val="0"/>
                  <w:vAlign w:val="center"/>
                </w:tcPr>
                <w:p>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建设单位</w:t>
                  </w:r>
                </w:p>
                <w:p>
                  <w:pPr>
                    <w:pStyle w:val="10"/>
                    <w:rPr>
                      <w:color w:val="auto"/>
                    </w:rPr>
                  </w:pPr>
                </w:p>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施工单位</w:t>
                  </w:r>
                </w:p>
              </w:tc>
              <w:tc>
                <w:tcPr>
                  <w:tcW w:w="734" w:type="dxa"/>
                  <w:vMerge w:val="restart"/>
                  <w:noWrap w:val="0"/>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楚雄州生态环境局元谋分局</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dxa"/>
                  <w:noWrap w:val="0"/>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水环境</w:t>
                  </w:r>
                </w:p>
              </w:tc>
              <w:tc>
                <w:tcPr>
                  <w:tcW w:w="5811" w:type="dxa"/>
                  <w:noWrap w:val="0"/>
                  <w:vAlign w:val="center"/>
                </w:tcPr>
                <w:p>
                  <w:pPr>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施工期：施工废水设沉淀池收集处理后，全部回用于施工用水及场地洒水降尘。施工人员生活排污进入旱厕，食堂废水设隔油池预处理后与其它洗漱废水等设沉淀池沉淀，全部回用于洒水降尘及灌草植被浇灌，不外排。</w:t>
                  </w:r>
                </w:p>
                <w:p>
                  <w:pPr>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运营期：光伏电池板清洗废水用于光伏组件下植物浇灌；办公生活区生活污水经隔油池、化粪池及一体化污水处理系统处理达绿化回用标准后，非雨天全部回用于项目区绿化。</w:t>
                  </w:r>
                </w:p>
              </w:tc>
              <w:tc>
                <w:tcPr>
                  <w:tcW w:w="709" w:type="dxa"/>
                  <w:vMerge w:val="continue"/>
                  <w:noWrap w:val="0"/>
                  <w:vAlign w:val="center"/>
                </w:tcPr>
                <w:p>
                  <w:pPr>
                    <w:jc w:val="center"/>
                    <w:rPr>
                      <w:rFonts w:ascii="Times New Roman" w:hAnsi="Times New Roman" w:eastAsia="宋体" w:cs="Times New Roman"/>
                      <w:color w:val="auto"/>
                      <w:szCs w:val="21"/>
                    </w:rPr>
                  </w:pPr>
                </w:p>
              </w:tc>
              <w:tc>
                <w:tcPr>
                  <w:tcW w:w="734" w:type="dxa"/>
                  <w:vMerge w:val="continue"/>
                  <w:noWrap w:val="0"/>
                  <w:vAlign w:val="center"/>
                </w:tcPr>
                <w:p>
                  <w:pPr>
                    <w:jc w:val="center"/>
                    <w:rPr>
                      <w:rFonts w:ascii="Times New Roman" w:hAnsi="Times New Roman" w:eastAsia="宋体" w:cs="Times New Roman"/>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dxa"/>
                  <w:noWrap w:val="0"/>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生态环境</w:t>
                  </w:r>
                </w:p>
              </w:tc>
              <w:tc>
                <w:tcPr>
                  <w:tcW w:w="5811" w:type="dxa"/>
                  <w:noWrap w:val="0"/>
                  <w:vAlign w:val="center"/>
                </w:tcPr>
                <w:p>
                  <w:pPr>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严格控制施工活动区域，不破坏征地范围外的植被；严禁盗猎、盗伐及乱砍滥伐行为，严格执行水土保持措施，施工结束后临建设施及时进行拆除、清理以及生态恢复。</w:t>
                  </w:r>
                </w:p>
              </w:tc>
              <w:tc>
                <w:tcPr>
                  <w:tcW w:w="709" w:type="dxa"/>
                  <w:vMerge w:val="continue"/>
                  <w:noWrap w:val="0"/>
                  <w:vAlign w:val="center"/>
                </w:tcPr>
                <w:p>
                  <w:pPr>
                    <w:jc w:val="center"/>
                    <w:rPr>
                      <w:rFonts w:ascii="Times New Roman" w:hAnsi="Times New Roman" w:eastAsia="宋体" w:cs="Times New Roman"/>
                      <w:color w:val="auto"/>
                      <w:szCs w:val="21"/>
                    </w:rPr>
                  </w:pPr>
                </w:p>
              </w:tc>
              <w:tc>
                <w:tcPr>
                  <w:tcW w:w="734" w:type="dxa"/>
                  <w:vMerge w:val="continue"/>
                  <w:noWrap w:val="0"/>
                  <w:vAlign w:val="center"/>
                </w:tcPr>
                <w:p>
                  <w:pPr>
                    <w:jc w:val="center"/>
                    <w:rPr>
                      <w:rFonts w:ascii="Times New Roman" w:hAnsi="Times New Roman" w:eastAsia="宋体" w:cs="Times New Roman"/>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dxa"/>
                  <w:noWrap w:val="0"/>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噪声</w:t>
                  </w:r>
                </w:p>
              </w:tc>
              <w:tc>
                <w:tcPr>
                  <w:tcW w:w="5811" w:type="dxa"/>
                  <w:noWrap w:val="0"/>
                  <w:vAlign w:val="center"/>
                </w:tcPr>
                <w:p>
                  <w:pPr>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施工期：合理安排施工时间，严禁夜间施工，加强施工机械设备的管理和维护。</w:t>
                  </w:r>
                </w:p>
                <w:p>
                  <w:pPr>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运营期：选用低噪声设备，采取隔声、减震降噪。</w:t>
                  </w:r>
                </w:p>
              </w:tc>
              <w:tc>
                <w:tcPr>
                  <w:tcW w:w="709" w:type="dxa"/>
                  <w:vMerge w:val="continue"/>
                  <w:noWrap w:val="0"/>
                  <w:vAlign w:val="center"/>
                </w:tcPr>
                <w:p>
                  <w:pPr>
                    <w:jc w:val="center"/>
                    <w:rPr>
                      <w:rFonts w:ascii="Times New Roman" w:hAnsi="Times New Roman" w:eastAsia="宋体" w:cs="Times New Roman"/>
                      <w:color w:val="auto"/>
                      <w:szCs w:val="21"/>
                    </w:rPr>
                  </w:pPr>
                </w:p>
              </w:tc>
              <w:tc>
                <w:tcPr>
                  <w:tcW w:w="734" w:type="dxa"/>
                  <w:vMerge w:val="continue"/>
                  <w:noWrap w:val="0"/>
                  <w:vAlign w:val="center"/>
                </w:tcPr>
                <w:p>
                  <w:pPr>
                    <w:jc w:val="center"/>
                    <w:rPr>
                      <w:rFonts w:ascii="Times New Roman" w:hAnsi="Times New Roman" w:eastAsia="宋体" w:cs="Times New Roman"/>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dxa"/>
                  <w:noWrap w:val="0"/>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固体废弃物</w:t>
                  </w:r>
                </w:p>
              </w:tc>
              <w:tc>
                <w:tcPr>
                  <w:tcW w:w="5811" w:type="dxa"/>
                  <w:noWrap w:val="0"/>
                  <w:vAlign w:val="center"/>
                </w:tcPr>
                <w:p>
                  <w:pPr>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施工期：土石方尽量回填利用，弃渣全部送入设置的弃渣场堆存；剥离表土堆存于表土堆场内，用于后期绿化覆土；生活垃圾集中收集后送附近村庄垃圾集中收集点统一处理。</w:t>
                  </w:r>
                </w:p>
                <w:p>
                  <w:pPr>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运营期：生活垃圾统一集中收集后送附近村庄垃圾集中收集点处置。损坏更换的电池组件由厂家回收处理。站内标准化设置一间危废暂存间，废矿物油、废铅蓄电池分区收集暂存后，委托有资质的单位清运处置，执行危废转移联单制度。</w:t>
                  </w:r>
                </w:p>
              </w:tc>
              <w:tc>
                <w:tcPr>
                  <w:tcW w:w="709" w:type="dxa"/>
                  <w:vMerge w:val="continue"/>
                  <w:noWrap w:val="0"/>
                  <w:vAlign w:val="center"/>
                </w:tcPr>
                <w:p>
                  <w:pPr>
                    <w:jc w:val="center"/>
                    <w:rPr>
                      <w:rFonts w:ascii="Times New Roman" w:hAnsi="Times New Roman" w:eastAsia="宋体" w:cs="Times New Roman"/>
                      <w:color w:val="auto"/>
                      <w:szCs w:val="21"/>
                    </w:rPr>
                  </w:pPr>
                </w:p>
              </w:tc>
              <w:tc>
                <w:tcPr>
                  <w:tcW w:w="734" w:type="dxa"/>
                  <w:vMerge w:val="continue"/>
                  <w:noWrap w:val="0"/>
                  <w:vAlign w:val="center"/>
                </w:tcPr>
                <w:p>
                  <w:pPr>
                    <w:jc w:val="center"/>
                    <w:rPr>
                      <w:rFonts w:ascii="Times New Roman" w:hAnsi="Times New Roman" w:eastAsia="宋体" w:cs="Times New Roman"/>
                      <w:color w:val="auto"/>
                      <w:szCs w:val="21"/>
                    </w:rPr>
                  </w:pPr>
                </w:p>
              </w:tc>
            </w:tr>
          </w:tbl>
          <w:p>
            <w:pPr>
              <w:spacing w:before="120" w:beforeLines="50" w:line="360" w:lineRule="auto"/>
              <w:ind w:firstLine="482" w:firstLineChars="200"/>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2、环境监测计划</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根据工程特点，对项目运行期主要环境影响要素及因子制定环境监测计划如下，为项目的环境管理提供依据。</w:t>
            </w:r>
          </w:p>
          <w:p>
            <w:pPr>
              <w:spacing w:line="360" w:lineRule="auto"/>
              <w:jc w:val="center"/>
              <w:rPr>
                <w:rFonts w:ascii="Times New Roman" w:hAnsi="Times New Roman" w:eastAsia="宋体" w:cs="Times New Roman"/>
                <w:b/>
                <w:bCs/>
                <w:color w:val="auto"/>
                <w:sz w:val="24"/>
                <w:szCs w:val="21"/>
              </w:rPr>
            </w:pPr>
            <w:r>
              <w:rPr>
                <w:rFonts w:ascii="Times New Roman" w:hAnsi="Times New Roman" w:eastAsia="宋体" w:cs="Times New Roman"/>
                <w:b/>
                <w:bCs/>
                <w:color w:val="auto"/>
                <w:sz w:val="24"/>
                <w:szCs w:val="21"/>
              </w:rPr>
              <w:t>表</w:t>
            </w:r>
            <w:r>
              <w:rPr>
                <w:rFonts w:hint="eastAsia" w:ascii="Times New Roman" w:hAnsi="Times New Roman" w:eastAsia="宋体" w:cs="Times New Roman"/>
                <w:b/>
                <w:bCs/>
                <w:color w:val="auto"/>
                <w:sz w:val="24"/>
                <w:szCs w:val="21"/>
              </w:rPr>
              <w:t>5.7</w:t>
            </w:r>
            <w:r>
              <w:rPr>
                <w:rFonts w:ascii="Times New Roman" w:hAnsi="Times New Roman" w:eastAsia="宋体" w:cs="Times New Roman"/>
                <w:b/>
                <w:bCs/>
                <w:color w:val="auto"/>
                <w:sz w:val="24"/>
                <w:szCs w:val="21"/>
              </w:rPr>
              <w:t>-2  环境监测计划表</w:t>
            </w:r>
          </w:p>
          <w:tbl>
            <w:tblPr>
              <w:tblStyle w:val="18"/>
              <w:tblW w:w="5000" w:type="pct"/>
              <w:jc w:val="center"/>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Layout w:type="autofit"/>
              <w:tblCellMar>
                <w:top w:w="0" w:type="dxa"/>
                <w:left w:w="28" w:type="dxa"/>
                <w:bottom w:w="0" w:type="dxa"/>
                <w:right w:w="28" w:type="dxa"/>
              </w:tblCellMar>
            </w:tblPr>
            <w:tblGrid>
              <w:gridCol w:w="727"/>
              <w:gridCol w:w="1002"/>
              <w:gridCol w:w="1290"/>
              <w:gridCol w:w="2147"/>
              <w:gridCol w:w="1870"/>
              <w:gridCol w:w="1019"/>
            </w:tblGrid>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451" w:type="pct"/>
                  <w:noWrap w:val="0"/>
                  <w:vAlign w:val="center"/>
                </w:tcPr>
                <w:p>
                  <w:pPr>
                    <w:jc w:val="center"/>
                    <w:rPr>
                      <w:rFonts w:ascii="Times New Roman" w:hAnsi="Times New Roman" w:eastAsia="宋体" w:cs="Times New Roman"/>
                      <w:b/>
                      <w:bCs/>
                      <w:color w:val="auto"/>
                    </w:rPr>
                  </w:pPr>
                  <w:r>
                    <w:rPr>
                      <w:rFonts w:ascii="Times New Roman" w:hAnsi="Times New Roman" w:eastAsia="宋体" w:cs="Times New Roman"/>
                      <w:b/>
                      <w:bCs/>
                      <w:color w:val="auto"/>
                    </w:rPr>
                    <w:t>时期</w:t>
                  </w:r>
                </w:p>
              </w:tc>
              <w:tc>
                <w:tcPr>
                  <w:tcW w:w="622" w:type="pct"/>
                  <w:noWrap w:val="0"/>
                  <w:vAlign w:val="center"/>
                </w:tcPr>
                <w:p>
                  <w:pPr>
                    <w:jc w:val="center"/>
                    <w:rPr>
                      <w:rFonts w:ascii="Times New Roman" w:hAnsi="Times New Roman" w:eastAsia="宋体" w:cs="Times New Roman"/>
                      <w:b/>
                      <w:bCs/>
                      <w:color w:val="auto"/>
                    </w:rPr>
                  </w:pPr>
                  <w:r>
                    <w:rPr>
                      <w:rFonts w:ascii="Times New Roman" w:hAnsi="Times New Roman" w:eastAsia="宋体" w:cs="Times New Roman"/>
                      <w:b/>
                      <w:bCs/>
                      <w:color w:val="auto"/>
                    </w:rPr>
                    <w:t>监测要素</w:t>
                  </w:r>
                </w:p>
              </w:tc>
              <w:tc>
                <w:tcPr>
                  <w:tcW w:w="801" w:type="pct"/>
                  <w:noWrap w:val="0"/>
                  <w:vAlign w:val="center"/>
                </w:tcPr>
                <w:p>
                  <w:pPr>
                    <w:jc w:val="center"/>
                    <w:rPr>
                      <w:rFonts w:ascii="Times New Roman" w:hAnsi="Times New Roman" w:eastAsia="宋体" w:cs="Times New Roman"/>
                      <w:b/>
                      <w:bCs/>
                      <w:color w:val="auto"/>
                    </w:rPr>
                  </w:pPr>
                  <w:r>
                    <w:rPr>
                      <w:rFonts w:ascii="Times New Roman" w:hAnsi="Times New Roman" w:eastAsia="宋体" w:cs="Times New Roman"/>
                      <w:b/>
                      <w:bCs/>
                      <w:color w:val="auto"/>
                    </w:rPr>
                    <w:t>监测地点</w:t>
                  </w:r>
                </w:p>
              </w:tc>
              <w:tc>
                <w:tcPr>
                  <w:tcW w:w="1333" w:type="pct"/>
                  <w:noWrap w:val="0"/>
                  <w:vAlign w:val="center"/>
                </w:tcPr>
                <w:p>
                  <w:pPr>
                    <w:jc w:val="center"/>
                    <w:rPr>
                      <w:rFonts w:ascii="Times New Roman" w:hAnsi="Times New Roman" w:eastAsia="宋体" w:cs="Times New Roman"/>
                      <w:b/>
                      <w:bCs/>
                      <w:color w:val="auto"/>
                    </w:rPr>
                  </w:pPr>
                  <w:r>
                    <w:rPr>
                      <w:rFonts w:ascii="Times New Roman" w:hAnsi="Times New Roman" w:eastAsia="宋体" w:cs="Times New Roman"/>
                      <w:b/>
                      <w:bCs/>
                      <w:color w:val="auto"/>
                    </w:rPr>
                    <w:t>监测</w:t>
                  </w:r>
                  <w:r>
                    <w:rPr>
                      <w:rFonts w:hint="eastAsia" w:ascii="Times New Roman" w:hAnsi="Times New Roman" w:eastAsia="宋体" w:cs="Times New Roman"/>
                      <w:b/>
                      <w:bCs/>
                      <w:color w:val="auto"/>
                    </w:rPr>
                    <w:t>因子</w:t>
                  </w:r>
                </w:p>
              </w:tc>
              <w:tc>
                <w:tcPr>
                  <w:tcW w:w="1161" w:type="pct"/>
                  <w:noWrap w:val="0"/>
                  <w:vAlign w:val="center"/>
                </w:tcPr>
                <w:p>
                  <w:pPr>
                    <w:jc w:val="center"/>
                    <w:rPr>
                      <w:rFonts w:ascii="Times New Roman" w:hAnsi="Times New Roman" w:eastAsia="宋体" w:cs="Times New Roman"/>
                      <w:b/>
                      <w:bCs/>
                      <w:color w:val="auto"/>
                    </w:rPr>
                  </w:pPr>
                  <w:r>
                    <w:rPr>
                      <w:rFonts w:ascii="Times New Roman" w:hAnsi="Times New Roman" w:eastAsia="宋体" w:cs="Times New Roman"/>
                      <w:b/>
                      <w:bCs/>
                      <w:color w:val="auto"/>
                    </w:rPr>
                    <w:t>监测频率</w:t>
                  </w:r>
                </w:p>
              </w:tc>
              <w:tc>
                <w:tcPr>
                  <w:tcW w:w="632" w:type="pct"/>
                  <w:noWrap w:val="0"/>
                  <w:vAlign w:val="center"/>
                </w:tcPr>
                <w:p>
                  <w:pPr>
                    <w:jc w:val="center"/>
                    <w:rPr>
                      <w:rFonts w:ascii="Times New Roman" w:hAnsi="Times New Roman" w:eastAsia="宋体" w:cs="Times New Roman"/>
                      <w:b/>
                      <w:bCs/>
                      <w:color w:val="auto"/>
                    </w:rPr>
                  </w:pPr>
                  <w:r>
                    <w:rPr>
                      <w:rFonts w:ascii="Times New Roman" w:hAnsi="Times New Roman" w:eastAsia="宋体" w:cs="Times New Roman"/>
                      <w:b/>
                      <w:bCs/>
                      <w:color w:val="auto"/>
                    </w:rPr>
                    <w:t>监测方法</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451" w:type="pct"/>
                  <w:vMerge w:val="restart"/>
                  <w:noWrap w:val="0"/>
                  <w:vAlign w:val="center"/>
                </w:tcPr>
                <w:p>
                  <w:pPr>
                    <w:jc w:val="center"/>
                    <w:rPr>
                      <w:rFonts w:ascii="Times New Roman" w:hAnsi="Times New Roman" w:eastAsia="宋体" w:cs="Times New Roman"/>
                      <w:color w:val="auto"/>
                    </w:rPr>
                  </w:pPr>
                  <w:r>
                    <w:rPr>
                      <w:rFonts w:ascii="Times New Roman" w:hAnsi="Times New Roman" w:eastAsia="宋体" w:cs="Times New Roman"/>
                      <w:color w:val="auto"/>
                    </w:rPr>
                    <w:t>营运期</w:t>
                  </w:r>
                </w:p>
              </w:tc>
              <w:tc>
                <w:tcPr>
                  <w:tcW w:w="622" w:type="pct"/>
                  <w:noWrap w:val="0"/>
                  <w:vAlign w:val="center"/>
                </w:tcPr>
                <w:p>
                  <w:pPr>
                    <w:jc w:val="center"/>
                    <w:rPr>
                      <w:rFonts w:ascii="Times New Roman" w:hAnsi="Times New Roman" w:eastAsia="宋体" w:cs="Times New Roman"/>
                      <w:color w:val="auto"/>
                    </w:rPr>
                  </w:pPr>
                  <w:r>
                    <w:rPr>
                      <w:rFonts w:ascii="Times New Roman" w:hAnsi="Times New Roman" w:eastAsia="宋体" w:cs="Times New Roman"/>
                      <w:color w:val="auto"/>
                    </w:rPr>
                    <w:t>噪声</w:t>
                  </w:r>
                </w:p>
              </w:tc>
              <w:tc>
                <w:tcPr>
                  <w:tcW w:w="801"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升压站</w:t>
                  </w:r>
                  <w:r>
                    <w:rPr>
                      <w:rFonts w:ascii="Times New Roman" w:hAnsi="Times New Roman" w:eastAsia="宋体" w:cs="Times New Roman"/>
                      <w:color w:val="auto"/>
                    </w:rPr>
                    <w:t>东、南、西、北</w:t>
                  </w:r>
                  <w:r>
                    <w:rPr>
                      <w:rFonts w:hint="eastAsia" w:ascii="Times New Roman" w:hAnsi="Times New Roman" w:eastAsia="宋体" w:cs="Times New Roman"/>
                      <w:color w:val="auto"/>
                    </w:rPr>
                    <w:t>厂</w:t>
                  </w:r>
                  <w:r>
                    <w:rPr>
                      <w:rFonts w:ascii="Times New Roman" w:hAnsi="Times New Roman" w:eastAsia="宋体" w:cs="Times New Roman"/>
                      <w:color w:val="auto"/>
                    </w:rPr>
                    <w:t>界</w:t>
                  </w:r>
                  <w:r>
                    <w:rPr>
                      <w:rFonts w:hint="eastAsia" w:cs="Times New Roman"/>
                      <w:color w:val="auto"/>
                      <w:lang w:eastAsia="zh-CN"/>
                    </w:rPr>
                    <w:t>；</w:t>
                  </w:r>
                  <w:r>
                    <w:rPr>
                      <w:rFonts w:hint="eastAsia" w:cs="Times New Roman"/>
                      <w:color w:val="auto"/>
                      <w:lang w:val="en-US" w:eastAsia="zh-CN"/>
                    </w:rPr>
                    <w:t>丙令哨</w:t>
                  </w:r>
                  <w:r>
                    <w:rPr>
                      <w:rFonts w:ascii="Times New Roman" w:hAnsi="Times New Roman" w:eastAsia="宋体" w:cs="Times New Roman"/>
                      <w:color w:val="auto"/>
                    </w:rPr>
                    <w:t>村</w:t>
                  </w:r>
                  <w:r>
                    <w:rPr>
                      <w:rFonts w:hint="eastAsia" w:ascii="Times New Roman" w:hAnsi="Times New Roman" w:eastAsia="宋体" w:cs="Times New Roman"/>
                      <w:color w:val="auto"/>
                    </w:rPr>
                    <w:t>、</w:t>
                  </w:r>
                  <w:r>
                    <w:rPr>
                      <w:rFonts w:hint="eastAsia" w:cs="Times New Roman"/>
                      <w:color w:val="auto"/>
                      <w:lang w:val="en-US" w:eastAsia="zh-CN"/>
                    </w:rPr>
                    <w:t>路古么</w:t>
                  </w:r>
                  <w:r>
                    <w:rPr>
                      <w:rFonts w:ascii="Times New Roman" w:hAnsi="Times New Roman" w:eastAsia="宋体" w:cs="Times New Roman"/>
                      <w:color w:val="auto"/>
                    </w:rPr>
                    <w:t>村</w:t>
                  </w:r>
                  <w:r>
                    <w:rPr>
                      <w:rFonts w:hint="eastAsia" w:cs="Times New Roman"/>
                      <w:color w:val="auto"/>
                      <w:lang w:eastAsia="zh-CN"/>
                    </w:rPr>
                    <w:t>、</w:t>
                  </w:r>
                  <w:r>
                    <w:rPr>
                      <w:rFonts w:hint="eastAsia" w:cs="Times New Roman"/>
                      <w:color w:val="auto"/>
                      <w:lang w:val="en-US" w:eastAsia="zh-CN"/>
                    </w:rPr>
                    <w:t>山后村、小月旧村</w:t>
                  </w:r>
                </w:p>
              </w:tc>
              <w:tc>
                <w:tcPr>
                  <w:tcW w:w="1333" w:type="pct"/>
                  <w:noWrap w:val="0"/>
                  <w:vAlign w:val="center"/>
                </w:tcPr>
                <w:p>
                  <w:pPr>
                    <w:jc w:val="center"/>
                    <w:rPr>
                      <w:rFonts w:ascii="Times New Roman" w:hAnsi="Times New Roman" w:eastAsia="宋体" w:cs="Times New Roman"/>
                      <w:color w:val="auto"/>
                    </w:rPr>
                  </w:pPr>
                  <w:r>
                    <w:rPr>
                      <w:rFonts w:hint="eastAsia" w:ascii="Times New Roman" w:hAnsi="Times New Roman" w:eastAsia="宋体" w:cs="Times New Roman"/>
                      <w:color w:val="auto"/>
                      <w:szCs w:val="21"/>
                    </w:rPr>
                    <w:t>L</w:t>
                  </w:r>
                  <w:r>
                    <w:rPr>
                      <w:rFonts w:ascii="Times New Roman" w:hAnsi="Times New Roman" w:eastAsia="宋体" w:cs="Times New Roman"/>
                      <w:color w:val="auto"/>
                      <w:szCs w:val="21"/>
                    </w:rPr>
                    <w:t>eq</w:t>
                  </w:r>
                </w:p>
              </w:tc>
              <w:tc>
                <w:tcPr>
                  <w:tcW w:w="1161" w:type="pct"/>
                  <w:noWrap w:val="0"/>
                  <w:vAlign w:val="center"/>
                </w:tcPr>
                <w:p>
                  <w:pPr>
                    <w:jc w:val="center"/>
                    <w:rPr>
                      <w:rFonts w:ascii="Times New Roman" w:hAnsi="Times New Roman" w:eastAsia="宋体" w:cs="Times New Roman"/>
                      <w:color w:val="auto"/>
                    </w:rPr>
                  </w:pPr>
                  <w:r>
                    <w:rPr>
                      <w:rFonts w:hint="eastAsia" w:ascii="宋体" w:hAnsi="宋体" w:eastAsia="宋体" w:cs="宋体"/>
                      <w:color w:val="auto"/>
                      <w:spacing w:val="-2"/>
                      <w:sz w:val="21"/>
                      <w:szCs w:val="21"/>
                      <w:highlight w:val="none"/>
                      <w:lang w:val="en-US" w:eastAsia="zh-CN"/>
                    </w:rPr>
                    <w:t>验收时</w:t>
                  </w:r>
                  <w:r>
                    <w:rPr>
                      <w:rFonts w:hint="eastAsia" w:ascii="宋体" w:hAnsi="宋体" w:eastAsia="宋体" w:cs="宋体"/>
                      <w:color w:val="auto"/>
                      <w:sz w:val="21"/>
                      <w:szCs w:val="21"/>
                      <w:highlight w:val="none"/>
                    </w:rPr>
                    <w:t>监测1次，</w:t>
                  </w:r>
                  <w:r>
                    <w:rPr>
                      <w:rFonts w:hint="eastAsia" w:ascii="宋体" w:hAnsi="宋体" w:eastAsia="宋体" w:cs="宋体"/>
                      <w:color w:val="auto"/>
                      <w:sz w:val="21"/>
                      <w:szCs w:val="21"/>
                      <w:highlight w:val="none"/>
                      <w:lang w:val="en-US" w:eastAsia="zh-CN"/>
                    </w:rPr>
                    <w:t>投诉或纠纷时、主要声源设备大修前后监测一次，</w:t>
                  </w:r>
                  <w:r>
                    <w:rPr>
                      <w:rFonts w:hint="eastAsia" w:ascii="宋体" w:hAnsi="宋体" w:eastAsia="宋体" w:cs="宋体"/>
                      <w:color w:val="auto"/>
                      <w:spacing w:val="1"/>
                      <w:sz w:val="21"/>
                      <w:szCs w:val="21"/>
                      <w:highlight w:val="none"/>
                      <w:lang w:val="en-US" w:eastAsia="zh-CN"/>
                    </w:rPr>
                    <w:t>每次监测1</w:t>
                  </w:r>
                  <w:r>
                    <w:rPr>
                      <w:rFonts w:hint="eastAsia" w:ascii="宋体" w:hAnsi="宋体" w:eastAsia="宋体" w:cs="宋体"/>
                      <w:color w:val="auto"/>
                      <w:spacing w:val="1"/>
                      <w:sz w:val="21"/>
                      <w:szCs w:val="21"/>
                      <w:highlight w:val="none"/>
                    </w:rPr>
                    <w:t>天</w:t>
                  </w:r>
                  <w:r>
                    <w:rPr>
                      <w:rFonts w:hint="eastAsia" w:ascii="宋体" w:hAnsi="宋体" w:eastAsia="宋体" w:cs="宋体"/>
                      <w:color w:val="auto"/>
                      <w:spacing w:val="1"/>
                      <w:sz w:val="21"/>
                      <w:szCs w:val="21"/>
                      <w:highlight w:val="none"/>
                      <w:lang w:eastAsia="zh-CN"/>
                    </w:rPr>
                    <w:t>，</w:t>
                  </w:r>
                  <w:r>
                    <w:rPr>
                      <w:rFonts w:hint="eastAsia" w:ascii="宋体" w:hAnsi="宋体" w:eastAsia="宋体" w:cs="宋体"/>
                      <w:color w:val="auto"/>
                      <w:sz w:val="21"/>
                      <w:szCs w:val="21"/>
                      <w:highlight w:val="none"/>
                    </w:rPr>
                    <w:t>每次昼、夜间各一次</w:t>
                  </w:r>
                </w:p>
              </w:tc>
              <w:tc>
                <w:tcPr>
                  <w:tcW w:w="632" w:type="pct"/>
                  <w:vMerge w:val="restart"/>
                  <w:noWrap w:val="0"/>
                  <w:vAlign w:val="center"/>
                </w:tcPr>
                <w:p>
                  <w:pPr>
                    <w:jc w:val="center"/>
                    <w:rPr>
                      <w:rFonts w:ascii="Times New Roman" w:hAnsi="Times New Roman" w:eastAsia="宋体" w:cs="Times New Roman"/>
                      <w:color w:val="auto"/>
                    </w:rPr>
                  </w:pPr>
                  <w:r>
                    <w:rPr>
                      <w:rFonts w:hint="eastAsia" w:ascii="Times New Roman" w:hAnsi="Times New Roman" w:eastAsia="宋体" w:cs="Times New Roman"/>
                      <w:color w:val="auto"/>
                    </w:rPr>
                    <w:t>按国家标准进行监测</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451" w:type="pct"/>
                  <w:vMerge w:val="continue"/>
                  <w:noWrap w:val="0"/>
                  <w:vAlign w:val="center"/>
                </w:tcPr>
                <w:p>
                  <w:pPr>
                    <w:jc w:val="center"/>
                    <w:rPr>
                      <w:rFonts w:ascii="Times New Roman" w:hAnsi="Times New Roman" w:eastAsia="宋体" w:cs="Times New Roman"/>
                      <w:color w:val="auto"/>
                    </w:rPr>
                  </w:pPr>
                </w:p>
              </w:tc>
              <w:tc>
                <w:tcPr>
                  <w:tcW w:w="622" w:type="pct"/>
                  <w:noWrap w:val="0"/>
                  <w:vAlign w:val="center"/>
                </w:tcPr>
                <w:p>
                  <w:pPr>
                    <w:jc w:val="center"/>
                    <w:rPr>
                      <w:rFonts w:ascii="Times New Roman" w:hAnsi="Times New Roman" w:eastAsia="宋体" w:cs="Times New Roman"/>
                      <w:color w:val="auto"/>
                    </w:rPr>
                  </w:pPr>
                  <w:r>
                    <w:rPr>
                      <w:rFonts w:hint="eastAsia" w:ascii="Times New Roman" w:hAnsi="Times New Roman" w:eastAsia="宋体" w:cs="Times New Roman"/>
                      <w:color w:val="auto"/>
                    </w:rPr>
                    <w:t>电磁辐射</w:t>
                  </w:r>
                </w:p>
              </w:tc>
              <w:tc>
                <w:tcPr>
                  <w:tcW w:w="801" w:type="pct"/>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升压站四周厂界外5m</w:t>
                  </w:r>
                  <w:r>
                    <w:rPr>
                      <w:rFonts w:hint="eastAsia" w:cs="Times New Roman"/>
                      <w:color w:val="auto"/>
                      <w:lang w:eastAsia="zh-CN"/>
                    </w:rPr>
                    <w:t>、</w:t>
                  </w:r>
                  <w:r>
                    <w:rPr>
                      <w:rFonts w:hint="eastAsia" w:cs="Times New Roman"/>
                      <w:color w:val="auto"/>
                      <w:lang w:val="en-US" w:eastAsia="zh-CN"/>
                    </w:rPr>
                    <w:t>围墙外筛检断面</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详见电磁专题报告监测计划</w:t>
                  </w:r>
                  <w:r>
                    <w:rPr>
                      <w:rFonts w:hint="eastAsia" w:ascii="宋体" w:hAnsi="宋体" w:cs="宋体"/>
                      <w:color w:val="auto"/>
                      <w:sz w:val="21"/>
                      <w:szCs w:val="21"/>
                      <w:lang w:eastAsia="zh-CN"/>
                    </w:rPr>
                    <w:t>）</w:t>
                  </w:r>
                </w:p>
              </w:tc>
              <w:tc>
                <w:tcPr>
                  <w:tcW w:w="1333" w:type="pct"/>
                  <w:noWrap w:val="0"/>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工频电场强度（V/m）、工频磁感应强度（μT）</w:t>
                  </w:r>
                </w:p>
              </w:tc>
              <w:tc>
                <w:tcPr>
                  <w:tcW w:w="116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①工程建成正式投产后第一年结合竣工环境保护验收监测一次；</w:t>
                  </w:r>
                </w:p>
                <w:p>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②运行期间存在投诉或纠纷时进行监测；</w:t>
                  </w:r>
                </w:p>
                <w:p>
                  <w:pPr>
                    <w:jc w:val="center"/>
                    <w:rPr>
                      <w:rFonts w:ascii="Times New Roman" w:hAnsi="Times New Roman" w:eastAsia="宋体" w:cs="Times New Roman"/>
                      <w:color w:val="auto"/>
                    </w:rPr>
                  </w:pPr>
                  <w:r>
                    <w:rPr>
                      <w:rFonts w:hint="eastAsia" w:ascii="宋体" w:hAnsi="宋体" w:eastAsia="宋体" w:cs="宋体"/>
                      <w:color w:val="auto"/>
                      <w:kern w:val="2"/>
                      <w:sz w:val="21"/>
                      <w:szCs w:val="21"/>
                      <w:lang w:val="en-US" w:eastAsia="zh-CN" w:bidi="ar-SA"/>
                    </w:rPr>
                    <w:t>③例行环境监测计划或生态环境主管部门要求时进行监测。</w:t>
                  </w:r>
                </w:p>
              </w:tc>
              <w:tc>
                <w:tcPr>
                  <w:tcW w:w="632" w:type="pct"/>
                  <w:vMerge w:val="continue"/>
                  <w:noWrap w:val="0"/>
                  <w:vAlign w:val="center"/>
                </w:tcPr>
                <w:p>
                  <w:pPr>
                    <w:jc w:val="center"/>
                    <w:rPr>
                      <w:rFonts w:ascii="Times New Roman" w:hAnsi="Times New Roman" w:eastAsia="宋体" w:cs="Times New Roman"/>
                      <w:color w:val="auto"/>
                    </w:rPr>
                  </w:pP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451" w:type="pct"/>
                  <w:vMerge w:val="continue"/>
                  <w:noWrap w:val="0"/>
                  <w:vAlign w:val="center"/>
                </w:tcPr>
                <w:p>
                  <w:pPr>
                    <w:jc w:val="center"/>
                    <w:rPr>
                      <w:rFonts w:ascii="Times New Roman" w:hAnsi="Times New Roman" w:eastAsia="宋体" w:cs="Times New Roman"/>
                      <w:color w:val="auto"/>
                    </w:rPr>
                  </w:pPr>
                </w:p>
              </w:tc>
              <w:tc>
                <w:tcPr>
                  <w:tcW w:w="622" w:type="pct"/>
                  <w:noWrap w:val="0"/>
                  <w:vAlign w:val="center"/>
                </w:tcPr>
                <w:p>
                  <w:pPr>
                    <w:jc w:val="center"/>
                    <w:rPr>
                      <w:rFonts w:ascii="Times New Roman" w:hAnsi="Times New Roman" w:eastAsia="宋体" w:cs="Times New Roman"/>
                      <w:color w:val="auto"/>
                    </w:rPr>
                  </w:pPr>
                  <w:r>
                    <w:rPr>
                      <w:rFonts w:hint="eastAsia" w:ascii="Times New Roman" w:hAnsi="Times New Roman" w:eastAsia="宋体" w:cs="Times New Roman"/>
                      <w:color w:val="auto"/>
                    </w:rPr>
                    <w:t>废水</w:t>
                  </w:r>
                </w:p>
              </w:tc>
              <w:tc>
                <w:tcPr>
                  <w:tcW w:w="801" w:type="pct"/>
                  <w:noWrap w:val="0"/>
                  <w:vAlign w:val="center"/>
                </w:tcPr>
                <w:p>
                  <w:pPr>
                    <w:jc w:val="center"/>
                    <w:rPr>
                      <w:rFonts w:ascii="Times New Roman" w:hAnsi="Times New Roman" w:eastAsia="宋体" w:cs="Times New Roman"/>
                      <w:color w:val="auto"/>
                    </w:rPr>
                  </w:pPr>
                  <w:r>
                    <w:rPr>
                      <w:rFonts w:hint="eastAsia" w:ascii="Times New Roman" w:hAnsi="Times New Roman" w:eastAsia="宋体" w:cs="Times New Roman"/>
                      <w:color w:val="auto"/>
                    </w:rPr>
                    <w:t>污水处理系统出水口</w:t>
                  </w:r>
                </w:p>
              </w:tc>
              <w:tc>
                <w:tcPr>
                  <w:tcW w:w="1333" w:type="pct"/>
                  <w:noWrap w:val="0"/>
                  <w:vAlign w:val="center"/>
                </w:tcPr>
                <w:p>
                  <w:pPr>
                    <w:jc w:val="center"/>
                    <w:rPr>
                      <w:rFonts w:ascii="Times New Roman" w:hAnsi="Times New Roman" w:eastAsia="宋体" w:cs="Times New Roman"/>
                      <w:color w:val="auto"/>
                      <w:szCs w:val="21"/>
                    </w:rPr>
                  </w:pPr>
                  <w:r>
                    <w:rPr>
                      <w:rFonts w:ascii="Times New Roman" w:hAnsi="Times New Roman" w:eastAsia="Times New Roman" w:cs="Times New Roman"/>
                      <w:color w:val="auto"/>
                      <w:spacing w:val="-4"/>
                      <w:sz w:val="20"/>
                      <w:szCs w:val="20"/>
                    </w:rPr>
                    <w:t>pH</w:t>
                  </w:r>
                  <w:r>
                    <w:rPr>
                      <w:rFonts w:ascii="宋体" w:hAnsi="宋体" w:eastAsia="宋体" w:cs="宋体"/>
                      <w:color w:val="auto"/>
                      <w:spacing w:val="-8"/>
                      <w:sz w:val="20"/>
                      <w:szCs w:val="20"/>
                    </w:rPr>
                    <w:t>、</w:t>
                  </w:r>
                  <w:r>
                    <w:rPr>
                      <w:rFonts w:ascii="Times New Roman" w:hAnsi="Times New Roman" w:eastAsia="Times New Roman" w:cs="Times New Roman"/>
                      <w:color w:val="auto"/>
                      <w:spacing w:val="-4"/>
                      <w:sz w:val="20"/>
                      <w:szCs w:val="20"/>
                    </w:rPr>
                    <w:t>SS</w:t>
                  </w:r>
                  <w:r>
                    <w:rPr>
                      <w:rFonts w:ascii="宋体" w:hAnsi="宋体" w:eastAsia="宋体" w:cs="宋体"/>
                      <w:color w:val="auto"/>
                      <w:spacing w:val="-4"/>
                      <w:sz w:val="20"/>
                      <w:szCs w:val="20"/>
                    </w:rPr>
                    <w:t>、</w:t>
                  </w:r>
                  <w:r>
                    <w:rPr>
                      <w:rFonts w:ascii="Times New Roman" w:hAnsi="Times New Roman" w:eastAsia="Times New Roman" w:cs="Times New Roman"/>
                      <w:color w:val="auto"/>
                      <w:spacing w:val="-4"/>
                      <w:sz w:val="20"/>
                      <w:szCs w:val="20"/>
                    </w:rPr>
                    <w:t>COD</w:t>
                  </w:r>
                  <w:r>
                    <w:rPr>
                      <w:rFonts w:ascii="宋体" w:hAnsi="宋体" w:eastAsia="宋体" w:cs="宋体"/>
                      <w:color w:val="auto"/>
                      <w:spacing w:val="-4"/>
                      <w:sz w:val="20"/>
                      <w:szCs w:val="20"/>
                    </w:rPr>
                    <w:t>、</w:t>
                  </w:r>
                  <w:r>
                    <w:rPr>
                      <w:rFonts w:ascii="Times New Roman" w:hAnsi="Times New Roman" w:eastAsia="Times New Roman" w:cs="Times New Roman"/>
                      <w:color w:val="auto"/>
                      <w:sz w:val="20"/>
                      <w:szCs w:val="20"/>
                    </w:rPr>
                    <w:t>BOD</w:t>
                  </w:r>
                  <w:r>
                    <w:rPr>
                      <w:rFonts w:ascii="Times New Roman" w:hAnsi="Times New Roman" w:eastAsia="Times New Roman" w:cs="Times New Roman"/>
                      <w:color w:val="auto"/>
                      <w:spacing w:val="6"/>
                      <w:position w:val="-1"/>
                      <w:sz w:val="13"/>
                      <w:szCs w:val="13"/>
                    </w:rPr>
                    <w:t>5</w:t>
                  </w:r>
                  <w:r>
                    <w:rPr>
                      <w:rFonts w:ascii="Times New Roman" w:hAnsi="Times New Roman" w:eastAsia="Times New Roman" w:cs="Times New Roman"/>
                      <w:color w:val="auto"/>
                      <w:spacing w:val="4"/>
                      <w:position w:val="-1"/>
                      <w:sz w:val="13"/>
                      <w:szCs w:val="13"/>
                    </w:rPr>
                    <w:t xml:space="preserve"> </w:t>
                  </w:r>
                  <w:r>
                    <w:rPr>
                      <w:rFonts w:ascii="宋体" w:hAnsi="宋体" w:eastAsia="宋体" w:cs="宋体"/>
                      <w:color w:val="auto"/>
                      <w:spacing w:val="4"/>
                      <w:sz w:val="20"/>
                      <w:szCs w:val="20"/>
                    </w:rPr>
                    <w:t>、</w:t>
                  </w:r>
                  <w:r>
                    <w:rPr>
                      <w:rFonts w:ascii="Times New Roman" w:hAnsi="Times New Roman" w:eastAsia="Times New Roman" w:cs="Times New Roman"/>
                      <w:color w:val="auto"/>
                      <w:sz w:val="20"/>
                      <w:szCs w:val="20"/>
                    </w:rPr>
                    <w:t>NH</w:t>
                  </w:r>
                  <w:r>
                    <w:rPr>
                      <w:rFonts w:ascii="Times New Roman" w:hAnsi="Times New Roman" w:eastAsia="Times New Roman" w:cs="Times New Roman"/>
                      <w:color w:val="auto"/>
                      <w:spacing w:val="4"/>
                      <w:position w:val="-1"/>
                      <w:sz w:val="13"/>
                      <w:szCs w:val="13"/>
                    </w:rPr>
                    <w:t>3</w:t>
                  </w:r>
                  <w:r>
                    <w:rPr>
                      <w:rFonts w:ascii="Times New Roman" w:hAnsi="Times New Roman" w:eastAsia="Times New Roman" w:cs="Times New Roman"/>
                      <w:color w:val="auto"/>
                      <w:spacing w:val="4"/>
                      <w:sz w:val="20"/>
                      <w:szCs w:val="20"/>
                    </w:rPr>
                    <w:t>-</w:t>
                  </w:r>
                  <w:r>
                    <w:rPr>
                      <w:rFonts w:ascii="Times New Roman" w:hAnsi="Times New Roman" w:eastAsia="Times New Roman" w:cs="Times New Roman"/>
                      <w:color w:val="auto"/>
                      <w:sz w:val="20"/>
                      <w:szCs w:val="20"/>
                    </w:rPr>
                    <w:t>N</w:t>
                  </w:r>
                  <w:r>
                    <w:rPr>
                      <w:rFonts w:ascii="宋体" w:hAnsi="宋体" w:eastAsia="宋体" w:cs="宋体"/>
                      <w:color w:val="auto"/>
                      <w:spacing w:val="-1"/>
                      <w:sz w:val="20"/>
                      <w:szCs w:val="20"/>
                    </w:rPr>
                    <w:t>、动植物油</w:t>
                  </w:r>
                </w:p>
              </w:tc>
              <w:tc>
                <w:tcPr>
                  <w:tcW w:w="1161" w:type="pct"/>
                  <w:noWrap w:val="0"/>
                  <w:vAlign w:val="center"/>
                </w:tcPr>
                <w:p>
                  <w:pPr>
                    <w:jc w:val="center"/>
                    <w:rPr>
                      <w:rFonts w:ascii="Times New Roman" w:hAnsi="Times New Roman" w:eastAsia="宋体" w:cs="Times New Roman"/>
                      <w:color w:val="auto"/>
                    </w:rPr>
                  </w:pPr>
                  <w:r>
                    <w:rPr>
                      <w:rFonts w:hint="eastAsia" w:ascii="Times New Roman" w:hAnsi="Times New Roman" w:eastAsia="宋体" w:cs="Times New Roman"/>
                      <w:color w:val="auto"/>
                    </w:rPr>
                    <w:t>环保竣工验收时监测一次</w:t>
                  </w:r>
                </w:p>
              </w:tc>
              <w:tc>
                <w:tcPr>
                  <w:tcW w:w="632" w:type="pct"/>
                  <w:vMerge w:val="continue"/>
                  <w:noWrap w:val="0"/>
                  <w:vAlign w:val="center"/>
                </w:tcPr>
                <w:p>
                  <w:pPr>
                    <w:jc w:val="center"/>
                    <w:rPr>
                      <w:rFonts w:ascii="Times New Roman" w:hAnsi="Times New Roman" w:eastAsia="宋体" w:cs="Times New Roman"/>
                      <w:color w:val="auto"/>
                    </w:rPr>
                  </w:pPr>
                </w:p>
              </w:tc>
            </w:tr>
          </w:tbl>
          <w:p>
            <w:pPr>
              <w:adjustRightInd w:val="0"/>
              <w:snapToGrid w:val="0"/>
              <w:jc w:val="both"/>
              <w:rPr>
                <w:rFonts w:hint="default" w:ascii="Times New Roman" w:hAnsi="Times New Roman" w:eastAsia="宋体" w:cs="Times New Roman"/>
                <w:bCs/>
                <w:color w:val="auto"/>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noWrap w:val="0"/>
            <w:vAlign w:val="center"/>
          </w:tcPr>
          <w:p>
            <w:pPr>
              <w:adjustRightInd w:val="0"/>
              <w:snapToGrid w:val="0"/>
              <w:jc w:val="center"/>
              <w:rPr>
                <w:rFonts w:hint="default" w:ascii="Times New Roman" w:hAnsi="Times New Roman" w:eastAsia="宋体" w:cs="Times New Roman"/>
                <w:bCs/>
                <w:color w:val="auto"/>
                <w:spacing w:val="10"/>
                <w:sz w:val="24"/>
                <w:szCs w:val="21"/>
              </w:rPr>
            </w:pPr>
            <w:r>
              <w:rPr>
                <w:rFonts w:hint="default" w:ascii="Times New Roman" w:hAnsi="Times New Roman" w:eastAsia="宋体" w:cs="Times New Roman"/>
                <w:bCs/>
                <w:color w:val="auto"/>
                <w:sz w:val="24"/>
                <w:szCs w:val="21"/>
              </w:rPr>
              <w:t>环保投资</w:t>
            </w:r>
          </w:p>
        </w:tc>
        <w:tc>
          <w:tcPr>
            <w:tcW w:w="4622" w:type="pct"/>
            <w:noWrap w:val="0"/>
            <w:vAlign w:val="top"/>
          </w:tcPr>
          <w:p>
            <w:pPr>
              <w:spacing w:line="360" w:lineRule="auto"/>
              <w:jc w:val="both"/>
              <w:rPr>
                <w:rFonts w:hint="eastAsia" w:ascii="Times New Roman" w:hAnsi="Times New Roman" w:eastAsia="宋体" w:cs="Times New Roman"/>
                <w:b/>
                <w:color w:val="auto"/>
                <w:kern w:val="0"/>
                <w:sz w:val="28"/>
                <w:highlight w:val="none"/>
              </w:rPr>
            </w:pPr>
            <w:r>
              <w:rPr>
                <w:rFonts w:hint="eastAsia" w:ascii="Times New Roman" w:hAnsi="Times New Roman" w:eastAsia="宋体" w:cs="Times New Roman"/>
                <w:b/>
                <w:color w:val="auto"/>
                <w:kern w:val="0"/>
                <w:sz w:val="28"/>
                <w:highlight w:val="none"/>
              </w:rPr>
              <w:t>5.8环保投资</w:t>
            </w:r>
          </w:p>
          <w:p>
            <w:pPr>
              <w:spacing w:line="360" w:lineRule="auto"/>
              <w:ind w:firstLine="480" w:firstLineChars="200"/>
              <w:jc w:val="both"/>
              <w:rPr>
                <w:rFonts w:hint="eastAsia" w:cs="Times New Roman"/>
                <w:color w:val="auto"/>
                <w:sz w:val="24"/>
                <w:szCs w:val="22"/>
                <w:lang w:val="en-US" w:eastAsia="zh-CN"/>
              </w:rPr>
            </w:pPr>
            <w:r>
              <w:rPr>
                <w:rFonts w:hint="eastAsia" w:cs="Times New Roman"/>
                <w:color w:val="auto"/>
                <w:sz w:val="24"/>
                <w:szCs w:val="22"/>
                <w:lang w:val="en-US" w:eastAsia="zh-CN"/>
              </w:rPr>
              <w:t>项目原环评总投资</w:t>
            </w:r>
            <w:r>
              <w:rPr>
                <w:color w:val="auto"/>
                <w:sz w:val="24"/>
                <w:szCs w:val="22"/>
              </w:rPr>
              <w:t>为</w:t>
            </w:r>
            <w:r>
              <w:rPr>
                <w:rFonts w:hint="eastAsia"/>
                <w:color w:val="auto"/>
                <w:sz w:val="24"/>
                <w:szCs w:val="22"/>
              </w:rPr>
              <w:t>95669.09</w:t>
            </w:r>
            <w:r>
              <w:rPr>
                <w:color w:val="auto"/>
                <w:sz w:val="24"/>
                <w:szCs w:val="22"/>
              </w:rPr>
              <w:t>万元，其中环保投资为</w:t>
            </w:r>
            <w:r>
              <w:rPr>
                <w:rFonts w:hint="eastAsia"/>
                <w:color w:val="auto"/>
                <w:sz w:val="24"/>
                <w:szCs w:val="22"/>
              </w:rPr>
              <w:t>1161.972</w:t>
            </w:r>
            <w:r>
              <w:rPr>
                <w:color w:val="auto"/>
                <w:sz w:val="24"/>
                <w:szCs w:val="22"/>
              </w:rPr>
              <w:t>万元，占总投资的</w:t>
            </w:r>
            <w:r>
              <w:rPr>
                <w:rFonts w:hint="eastAsia"/>
                <w:color w:val="auto"/>
                <w:sz w:val="24"/>
                <w:szCs w:val="22"/>
              </w:rPr>
              <w:t>0.64</w:t>
            </w:r>
            <w:r>
              <w:rPr>
                <w:color w:val="auto"/>
                <w:sz w:val="24"/>
                <w:szCs w:val="22"/>
              </w:rPr>
              <w:t>%。</w:t>
            </w:r>
          </w:p>
          <w:p>
            <w:pPr>
              <w:spacing w:line="360" w:lineRule="auto"/>
              <w:ind w:firstLine="480" w:firstLineChars="200"/>
              <w:jc w:val="both"/>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项目变更后工程总投资：96430万元，其中环保投资为1161.972万元，占总投资的1.24%。项目环保投资详见下表。</w:t>
            </w:r>
          </w:p>
          <w:p>
            <w:pPr>
              <w:ind w:firstLine="482" w:firstLineChars="200"/>
              <w:jc w:val="center"/>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表5.8-1</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rPr>
              <w:t>项目</w:t>
            </w:r>
            <w:r>
              <w:rPr>
                <w:rFonts w:ascii="Times New Roman" w:hAnsi="Times New Roman" w:eastAsia="宋体" w:cs="Times New Roman"/>
                <w:b/>
                <w:color w:val="auto"/>
                <w:sz w:val="24"/>
              </w:rPr>
              <w:t>环保投资一览表</w:t>
            </w:r>
          </w:p>
          <w:tbl>
            <w:tblPr>
              <w:tblStyle w:val="18"/>
              <w:tblW w:w="5000"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913"/>
              <w:gridCol w:w="4135"/>
              <w:gridCol w:w="1168"/>
              <w:gridCol w:w="116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noWrap w:val="0"/>
                  <w:vAlign w:val="center"/>
                </w:tcPr>
                <w:p>
                  <w:pPr>
                    <w:jc w:val="center"/>
                    <w:rPr>
                      <w:b/>
                      <w:bCs/>
                      <w:color w:val="auto"/>
                      <w:szCs w:val="21"/>
                    </w:rPr>
                  </w:pPr>
                  <w:r>
                    <w:rPr>
                      <w:b/>
                      <w:bCs/>
                      <w:color w:val="auto"/>
                      <w:szCs w:val="21"/>
                    </w:rPr>
                    <w:t>时段</w:t>
                  </w:r>
                </w:p>
              </w:tc>
              <w:tc>
                <w:tcPr>
                  <w:tcW w:w="567" w:type="pct"/>
                  <w:noWrap w:val="0"/>
                  <w:vAlign w:val="center"/>
                </w:tcPr>
                <w:p>
                  <w:pPr>
                    <w:jc w:val="center"/>
                    <w:rPr>
                      <w:b/>
                      <w:bCs/>
                      <w:color w:val="auto"/>
                      <w:szCs w:val="21"/>
                    </w:rPr>
                  </w:pPr>
                  <w:r>
                    <w:rPr>
                      <w:b/>
                      <w:bCs/>
                      <w:color w:val="auto"/>
                      <w:szCs w:val="21"/>
                    </w:rPr>
                    <w:t>项目</w:t>
                  </w:r>
                </w:p>
              </w:tc>
              <w:tc>
                <w:tcPr>
                  <w:tcW w:w="2567" w:type="pct"/>
                  <w:noWrap w:val="0"/>
                  <w:vAlign w:val="center"/>
                </w:tcPr>
                <w:p>
                  <w:pPr>
                    <w:jc w:val="center"/>
                    <w:rPr>
                      <w:b/>
                      <w:bCs/>
                      <w:color w:val="auto"/>
                      <w:szCs w:val="21"/>
                    </w:rPr>
                  </w:pPr>
                  <w:r>
                    <w:rPr>
                      <w:b/>
                      <w:bCs/>
                      <w:color w:val="auto"/>
                      <w:szCs w:val="21"/>
                    </w:rPr>
                    <w:t>环保设施</w:t>
                  </w:r>
                </w:p>
              </w:tc>
              <w:tc>
                <w:tcPr>
                  <w:tcW w:w="725" w:type="pct"/>
                  <w:noWrap w:val="0"/>
                  <w:vAlign w:val="center"/>
                </w:tcPr>
                <w:p>
                  <w:pPr>
                    <w:jc w:val="center"/>
                    <w:rPr>
                      <w:b/>
                      <w:bCs/>
                      <w:color w:val="auto"/>
                      <w:szCs w:val="21"/>
                    </w:rPr>
                  </w:pPr>
                  <w:r>
                    <w:rPr>
                      <w:rFonts w:hint="eastAsia"/>
                      <w:b/>
                      <w:bCs/>
                      <w:color w:val="auto"/>
                      <w:szCs w:val="21"/>
                    </w:rPr>
                    <w:t>环保</w:t>
                  </w:r>
                  <w:r>
                    <w:rPr>
                      <w:b/>
                      <w:bCs/>
                      <w:color w:val="auto"/>
                      <w:szCs w:val="21"/>
                    </w:rPr>
                    <w:t>投资</w:t>
                  </w:r>
                </w:p>
                <w:p>
                  <w:pPr>
                    <w:jc w:val="center"/>
                    <w:rPr>
                      <w:b/>
                      <w:bCs/>
                      <w:color w:val="auto"/>
                      <w:szCs w:val="21"/>
                    </w:rPr>
                  </w:pPr>
                  <w:r>
                    <w:rPr>
                      <w:b/>
                      <w:bCs/>
                      <w:color w:val="auto"/>
                      <w:szCs w:val="21"/>
                    </w:rPr>
                    <w:t>（万元）</w:t>
                  </w:r>
                </w:p>
              </w:tc>
              <w:tc>
                <w:tcPr>
                  <w:tcW w:w="724" w:type="pct"/>
                  <w:noWrap w:val="0"/>
                  <w:vAlign w:val="center"/>
                </w:tcPr>
                <w:p>
                  <w:pPr>
                    <w:jc w:val="center"/>
                    <w:rPr>
                      <w:b/>
                      <w:bCs/>
                      <w:color w:val="auto"/>
                      <w:szCs w:val="21"/>
                    </w:rPr>
                  </w:pPr>
                  <w:r>
                    <w:rPr>
                      <w:rFonts w:hint="eastAsia"/>
                      <w:b/>
                      <w:bCs/>
                      <w:color w:val="auto"/>
                      <w:szCs w:val="21"/>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3" w:type="pct"/>
                  <w:gridSpan w:val="2"/>
                  <w:noWrap w:val="0"/>
                  <w:vAlign w:val="center"/>
                </w:tcPr>
                <w:p>
                  <w:pPr>
                    <w:jc w:val="center"/>
                    <w:rPr>
                      <w:color w:val="auto"/>
                      <w:szCs w:val="21"/>
                    </w:rPr>
                  </w:pPr>
                  <w:r>
                    <w:rPr>
                      <w:rFonts w:hint="eastAsia"/>
                      <w:color w:val="auto"/>
                      <w:szCs w:val="21"/>
                    </w:rPr>
                    <w:t>水土保持</w:t>
                  </w:r>
                </w:p>
              </w:tc>
              <w:tc>
                <w:tcPr>
                  <w:tcW w:w="2567" w:type="pct"/>
                  <w:noWrap w:val="0"/>
                  <w:vAlign w:val="center"/>
                </w:tcPr>
                <w:p>
                  <w:pPr>
                    <w:jc w:val="center"/>
                    <w:rPr>
                      <w:color w:val="auto"/>
                      <w:szCs w:val="21"/>
                    </w:rPr>
                  </w:pPr>
                  <w:r>
                    <w:rPr>
                      <w:rFonts w:hint="eastAsia"/>
                      <w:color w:val="auto"/>
                      <w:szCs w:val="21"/>
                    </w:rPr>
                    <w:t>临时截排水沟、沉淀池、临时拦挡、苫盖、植物播撒及抚育管理等</w:t>
                  </w:r>
                </w:p>
              </w:tc>
              <w:tc>
                <w:tcPr>
                  <w:tcW w:w="725" w:type="pct"/>
                  <w:noWrap w:val="0"/>
                  <w:vAlign w:val="center"/>
                </w:tcPr>
                <w:p>
                  <w:pPr>
                    <w:jc w:val="center"/>
                    <w:rPr>
                      <w:color w:val="auto"/>
                      <w:szCs w:val="21"/>
                    </w:rPr>
                  </w:pPr>
                  <w:r>
                    <w:rPr>
                      <w:rFonts w:hint="eastAsia"/>
                      <w:color w:val="auto"/>
                      <w:szCs w:val="21"/>
                    </w:rPr>
                    <w:t>520.14</w:t>
                  </w:r>
                </w:p>
              </w:tc>
              <w:tc>
                <w:tcPr>
                  <w:tcW w:w="724" w:type="pct"/>
                  <w:noWrap w:val="0"/>
                  <w:vAlign w:val="center"/>
                </w:tcPr>
                <w:p>
                  <w:pPr>
                    <w:jc w:val="center"/>
                    <w:rPr>
                      <w:color w:val="auto"/>
                      <w:szCs w:val="21"/>
                    </w:rPr>
                  </w:pPr>
                  <w:r>
                    <w:rPr>
                      <w:rFonts w:hint="eastAsia"/>
                      <w:color w:val="auto"/>
                      <w:szCs w:val="21"/>
                    </w:rPr>
                    <w:t>水保方案提出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vMerge w:val="restart"/>
                  <w:noWrap w:val="0"/>
                  <w:vAlign w:val="center"/>
                </w:tcPr>
                <w:p>
                  <w:pPr>
                    <w:jc w:val="center"/>
                    <w:rPr>
                      <w:color w:val="auto"/>
                      <w:szCs w:val="21"/>
                    </w:rPr>
                  </w:pPr>
                  <w:r>
                    <w:rPr>
                      <w:color w:val="auto"/>
                      <w:szCs w:val="21"/>
                    </w:rPr>
                    <w:t>施工期</w:t>
                  </w:r>
                </w:p>
              </w:tc>
              <w:tc>
                <w:tcPr>
                  <w:tcW w:w="567" w:type="pct"/>
                  <w:vMerge w:val="restart"/>
                  <w:noWrap w:val="0"/>
                  <w:vAlign w:val="center"/>
                </w:tcPr>
                <w:p>
                  <w:pPr>
                    <w:jc w:val="center"/>
                    <w:rPr>
                      <w:color w:val="auto"/>
                      <w:szCs w:val="21"/>
                    </w:rPr>
                  </w:pPr>
                  <w:r>
                    <w:rPr>
                      <w:color w:val="auto"/>
                      <w:szCs w:val="21"/>
                    </w:rPr>
                    <w:t>废水</w:t>
                  </w:r>
                </w:p>
              </w:tc>
              <w:tc>
                <w:tcPr>
                  <w:tcW w:w="2567" w:type="pct"/>
                  <w:noWrap w:val="0"/>
                  <w:vAlign w:val="center"/>
                </w:tcPr>
                <w:p>
                  <w:pPr>
                    <w:jc w:val="center"/>
                    <w:rPr>
                      <w:color w:val="auto"/>
                      <w:szCs w:val="21"/>
                    </w:rPr>
                  </w:pPr>
                  <w:r>
                    <w:rPr>
                      <w:rFonts w:hint="eastAsia"/>
                      <w:color w:val="auto"/>
                      <w:szCs w:val="21"/>
                    </w:rPr>
                    <w:t>施工废水收集沉淀池</w:t>
                  </w:r>
                  <w:r>
                    <w:rPr>
                      <w:rFonts w:hint="eastAsia"/>
                      <w:color w:val="auto"/>
                      <w:szCs w:val="21"/>
                      <w:lang w:val="en-US" w:eastAsia="zh-CN"/>
                    </w:rPr>
                    <w:t>3</w:t>
                  </w:r>
                  <w:r>
                    <w:rPr>
                      <w:rFonts w:hint="eastAsia"/>
                      <w:color w:val="auto"/>
                      <w:szCs w:val="21"/>
                    </w:rPr>
                    <w:t>个</w:t>
                  </w:r>
                </w:p>
              </w:tc>
              <w:tc>
                <w:tcPr>
                  <w:tcW w:w="725" w:type="pct"/>
                  <w:noWrap w:val="0"/>
                  <w:vAlign w:val="center"/>
                </w:tcPr>
                <w:p>
                  <w:pPr>
                    <w:jc w:val="center"/>
                    <w:rPr>
                      <w:rFonts w:hint="eastAsia" w:eastAsia="宋体"/>
                      <w:color w:val="auto"/>
                      <w:szCs w:val="21"/>
                      <w:lang w:eastAsia="zh-CN"/>
                    </w:rPr>
                  </w:pPr>
                  <w:r>
                    <w:rPr>
                      <w:rFonts w:hint="eastAsia"/>
                      <w:color w:val="auto"/>
                      <w:szCs w:val="21"/>
                      <w:lang w:val="en-US" w:eastAsia="zh-CN"/>
                    </w:rPr>
                    <w:t>9</w:t>
                  </w:r>
                </w:p>
              </w:tc>
              <w:tc>
                <w:tcPr>
                  <w:tcW w:w="724" w:type="pct"/>
                  <w:vMerge w:val="restart"/>
                  <w:noWrap w:val="0"/>
                  <w:vAlign w:val="center"/>
                </w:tcPr>
                <w:p>
                  <w:pPr>
                    <w:jc w:val="center"/>
                    <w:rPr>
                      <w:color w:val="auto"/>
                      <w:szCs w:val="21"/>
                    </w:rPr>
                  </w:pPr>
                  <w:r>
                    <w:rPr>
                      <w:rFonts w:hint="eastAsia"/>
                      <w:color w:val="auto"/>
                      <w:szCs w:val="21"/>
                    </w:rPr>
                    <w:t>环评提出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vMerge w:val="continue"/>
                  <w:noWrap w:val="0"/>
                  <w:vAlign w:val="center"/>
                </w:tcPr>
                <w:p>
                  <w:pPr>
                    <w:jc w:val="center"/>
                    <w:rPr>
                      <w:color w:val="auto"/>
                      <w:szCs w:val="21"/>
                    </w:rPr>
                  </w:pPr>
                </w:p>
              </w:tc>
              <w:tc>
                <w:tcPr>
                  <w:tcW w:w="567" w:type="pct"/>
                  <w:vMerge w:val="continue"/>
                  <w:noWrap w:val="0"/>
                  <w:vAlign w:val="center"/>
                </w:tcPr>
                <w:p>
                  <w:pPr>
                    <w:jc w:val="center"/>
                    <w:rPr>
                      <w:color w:val="auto"/>
                      <w:szCs w:val="21"/>
                    </w:rPr>
                  </w:pPr>
                </w:p>
              </w:tc>
              <w:tc>
                <w:tcPr>
                  <w:tcW w:w="2567" w:type="pct"/>
                  <w:noWrap w:val="0"/>
                  <w:vAlign w:val="center"/>
                </w:tcPr>
                <w:p>
                  <w:pPr>
                    <w:jc w:val="center"/>
                    <w:rPr>
                      <w:color w:val="auto"/>
                      <w:szCs w:val="21"/>
                    </w:rPr>
                  </w:pPr>
                  <w:r>
                    <w:rPr>
                      <w:rFonts w:hint="eastAsia"/>
                      <w:color w:val="auto"/>
                      <w:szCs w:val="21"/>
                    </w:rPr>
                    <w:t>临时旱厕</w:t>
                  </w:r>
                  <w:r>
                    <w:rPr>
                      <w:rFonts w:hint="eastAsia"/>
                      <w:color w:val="auto"/>
                      <w:szCs w:val="21"/>
                      <w:lang w:val="en-US" w:eastAsia="zh-CN"/>
                    </w:rPr>
                    <w:t>3</w:t>
                  </w:r>
                  <w:r>
                    <w:rPr>
                      <w:rFonts w:hint="eastAsia"/>
                      <w:color w:val="auto"/>
                      <w:szCs w:val="21"/>
                    </w:rPr>
                    <w:t>个</w:t>
                  </w:r>
                </w:p>
              </w:tc>
              <w:tc>
                <w:tcPr>
                  <w:tcW w:w="725" w:type="pct"/>
                  <w:noWrap w:val="0"/>
                  <w:vAlign w:val="center"/>
                </w:tcPr>
                <w:p>
                  <w:pPr>
                    <w:jc w:val="center"/>
                    <w:rPr>
                      <w:rFonts w:hint="eastAsia" w:eastAsia="宋体"/>
                      <w:color w:val="auto"/>
                      <w:szCs w:val="21"/>
                      <w:lang w:eastAsia="zh-CN"/>
                    </w:rPr>
                  </w:pPr>
                  <w:r>
                    <w:rPr>
                      <w:rFonts w:hint="eastAsia"/>
                      <w:color w:val="auto"/>
                      <w:szCs w:val="21"/>
                      <w:lang w:val="en-US" w:eastAsia="zh-CN"/>
                    </w:rPr>
                    <w:t>5</w:t>
                  </w:r>
                </w:p>
              </w:tc>
              <w:tc>
                <w:tcPr>
                  <w:tcW w:w="724" w:type="pct"/>
                  <w:vMerge w:val="continue"/>
                  <w:noWrap w:val="0"/>
                  <w:vAlign w:val="center"/>
                </w:tcPr>
                <w:p>
                  <w:pPr>
                    <w:jc w:val="center"/>
                    <w:rPr>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vMerge w:val="continue"/>
                  <w:noWrap w:val="0"/>
                  <w:vAlign w:val="center"/>
                </w:tcPr>
                <w:p>
                  <w:pPr>
                    <w:jc w:val="center"/>
                    <w:rPr>
                      <w:color w:val="auto"/>
                      <w:szCs w:val="21"/>
                    </w:rPr>
                  </w:pPr>
                </w:p>
              </w:tc>
              <w:tc>
                <w:tcPr>
                  <w:tcW w:w="567" w:type="pct"/>
                  <w:vMerge w:val="restart"/>
                  <w:noWrap w:val="0"/>
                  <w:vAlign w:val="center"/>
                </w:tcPr>
                <w:p>
                  <w:pPr>
                    <w:jc w:val="center"/>
                    <w:rPr>
                      <w:color w:val="auto"/>
                      <w:szCs w:val="21"/>
                    </w:rPr>
                  </w:pPr>
                  <w:r>
                    <w:rPr>
                      <w:color w:val="auto"/>
                      <w:szCs w:val="21"/>
                    </w:rPr>
                    <w:t>废气</w:t>
                  </w:r>
                </w:p>
              </w:tc>
              <w:tc>
                <w:tcPr>
                  <w:tcW w:w="2567" w:type="pct"/>
                  <w:noWrap w:val="0"/>
                  <w:vAlign w:val="center"/>
                </w:tcPr>
                <w:p>
                  <w:pPr>
                    <w:jc w:val="center"/>
                    <w:rPr>
                      <w:color w:val="auto"/>
                      <w:szCs w:val="21"/>
                    </w:rPr>
                  </w:pPr>
                  <w:r>
                    <w:rPr>
                      <w:rFonts w:hint="eastAsia"/>
                      <w:color w:val="auto"/>
                      <w:szCs w:val="21"/>
                    </w:rPr>
                    <w:t>施工临时围挡</w:t>
                  </w:r>
                </w:p>
              </w:tc>
              <w:tc>
                <w:tcPr>
                  <w:tcW w:w="725" w:type="pct"/>
                  <w:noWrap w:val="0"/>
                  <w:vAlign w:val="center"/>
                </w:tcPr>
                <w:p>
                  <w:pPr>
                    <w:jc w:val="center"/>
                    <w:rPr>
                      <w:color w:val="auto"/>
                      <w:szCs w:val="21"/>
                    </w:rPr>
                  </w:pPr>
                  <w:r>
                    <w:rPr>
                      <w:rFonts w:hint="eastAsia"/>
                      <w:color w:val="auto"/>
                      <w:szCs w:val="21"/>
                    </w:rPr>
                    <w:t>120</w:t>
                  </w:r>
                </w:p>
              </w:tc>
              <w:tc>
                <w:tcPr>
                  <w:tcW w:w="724" w:type="pct"/>
                  <w:vMerge w:val="continue"/>
                  <w:noWrap w:val="0"/>
                  <w:vAlign w:val="center"/>
                </w:tcPr>
                <w:p>
                  <w:pPr>
                    <w:jc w:val="center"/>
                    <w:rPr>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vMerge w:val="continue"/>
                  <w:noWrap w:val="0"/>
                  <w:vAlign w:val="center"/>
                </w:tcPr>
                <w:p>
                  <w:pPr>
                    <w:jc w:val="center"/>
                    <w:rPr>
                      <w:color w:val="auto"/>
                      <w:szCs w:val="21"/>
                    </w:rPr>
                  </w:pPr>
                </w:p>
              </w:tc>
              <w:tc>
                <w:tcPr>
                  <w:tcW w:w="567" w:type="pct"/>
                  <w:vMerge w:val="continue"/>
                  <w:noWrap w:val="0"/>
                  <w:vAlign w:val="center"/>
                </w:tcPr>
                <w:p>
                  <w:pPr>
                    <w:jc w:val="center"/>
                    <w:rPr>
                      <w:color w:val="auto"/>
                      <w:szCs w:val="21"/>
                    </w:rPr>
                  </w:pPr>
                </w:p>
              </w:tc>
              <w:tc>
                <w:tcPr>
                  <w:tcW w:w="2567" w:type="pct"/>
                  <w:noWrap w:val="0"/>
                  <w:vAlign w:val="center"/>
                </w:tcPr>
                <w:p>
                  <w:pPr>
                    <w:jc w:val="center"/>
                    <w:rPr>
                      <w:color w:val="auto"/>
                      <w:szCs w:val="21"/>
                    </w:rPr>
                  </w:pPr>
                  <w:r>
                    <w:rPr>
                      <w:rFonts w:hint="eastAsia"/>
                      <w:color w:val="auto"/>
                      <w:szCs w:val="21"/>
                    </w:rPr>
                    <w:t>洒水车等降尘设施</w:t>
                  </w:r>
                </w:p>
              </w:tc>
              <w:tc>
                <w:tcPr>
                  <w:tcW w:w="725" w:type="pct"/>
                  <w:noWrap w:val="0"/>
                  <w:vAlign w:val="center"/>
                </w:tcPr>
                <w:p>
                  <w:pPr>
                    <w:jc w:val="center"/>
                    <w:rPr>
                      <w:color w:val="auto"/>
                      <w:szCs w:val="21"/>
                    </w:rPr>
                  </w:pPr>
                  <w:r>
                    <w:rPr>
                      <w:rFonts w:hint="eastAsia"/>
                      <w:color w:val="auto"/>
                      <w:szCs w:val="21"/>
                    </w:rPr>
                    <w:t>66</w:t>
                  </w:r>
                </w:p>
              </w:tc>
              <w:tc>
                <w:tcPr>
                  <w:tcW w:w="724" w:type="pct"/>
                  <w:vMerge w:val="continue"/>
                  <w:noWrap w:val="0"/>
                  <w:vAlign w:val="center"/>
                </w:tcPr>
                <w:p>
                  <w:pPr>
                    <w:jc w:val="center"/>
                    <w:rPr>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vMerge w:val="continue"/>
                  <w:noWrap w:val="0"/>
                  <w:vAlign w:val="center"/>
                </w:tcPr>
                <w:p>
                  <w:pPr>
                    <w:jc w:val="center"/>
                    <w:rPr>
                      <w:color w:val="auto"/>
                      <w:szCs w:val="21"/>
                    </w:rPr>
                  </w:pPr>
                </w:p>
              </w:tc>
              <w:tc>
                <w:tcPr>
                  <w:tcW w:w="567" w:type="pct"/>
                  <w:vMerge w:val="continue"/>
                  <w:noWrap w:val="0"/>
                  <w:vAlign w:val="center"/>
                </w:tcPr>
                <w:p>
                  <w:pPr>
                    <w:jc w:val="center"/>
                    <w:rPr>
                      <w:color w:val="auto"/>
                      <w:szCs w:val="21"/>
                    </w:rPr>
                  </w:pPr>
                </w:p>
              </w:tc>
              <w:tc>
                <w:tcPr>
                  <w:tcW w:w="2567" w:type="pct"/>
                  <w:noWrap w:val="0"/>
                  <w:vAlign w:val="center"/>
                </w:tcPr>
                <w:p>
                  <w:pPr>
                    <w:jc w:val="center"/>
                    <w:rPr>
                      <w:color w:val="auto"/>
                      <w:szCs w:val="21"/>
                    </w:rPr>
                  </w:pPr>
                  <w:r>
                    <w:rPr>
                      <w:rFonts w:hint="eastAsia"/>
                      <w:color w:val="auto"/>
                      <w:szCs w:val="21"/>
                    </w:rPr>
                    <w:t>临时苫盖</w:t>
                  </w:r>
                </w:p>
              </w:tc>
              <w:tc>
                <w:tcPr>
                  <w:tcW w:w="725" w:type="pct"/>
                  <w:noWrap w:val="0"/>
                  <w:vAlign w:val="center"/>
                </w:tcPr>
                <w:p>
                  <w:pPr>
                    <w:jc w:val="center"/>
                    <w:rPr>
                      <w:color w:val="auto"/>
                      <w:szCs w:val="21"/>
                    </w:rPr>
                  </w:pPr>
                  <w:r>
                    <w:rPr>
                      <w:rFonts w:hint="eastAsia"/>
                      <w:color w:val="auto"/>
                      <w:szCs w:val="21"/>
                    </w:rPr>
                    <w:t>12</w:t>
                  </w:r>
                </w:p>
              </w:tc>
              <w:tc>
                <w:tcPr>
                  <w:tcW w:w="724" w:type="pct"/>
                  <w:vMerge w:val="continue"/>
                  <w:noWrap w:val="0"/>
                  <w:vAlign w:val="center"/>
                </w:tcPr>
                <w:p>
                  <w:pPr>
                    <w:jc w:val="center"/>
                    <w:rPr>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vMerge w:val="continue"/>
                  <w:noWrap w:val="0"/>
                  <w:vAlign w:val="center"/>
                </w:tcPr>
                <w:p>
                  <w:pPr>
                    <w:jc w:val="center"/>
                    <w:rPr>
                      <w:color w:val="auto"/>
                      <w:szCs w:val="21"/>
                    </w:rPr>
                  </w:pPr>
                </w:p>
              </w:tc>
              <w:tc>
                <w:tcPr>
                  <w:tcW w:w="567" w:type="pct"/>
                  <w:vMerge w:val="continue"/>
                  <w:noWrap w:val="0"/>
                  <w:vAlign w:val="center"/>
                </w:tcPr>
                <w:p>
                  <w:pPr>
                    <w:jc w:val="center"/>
                    <w:rPr>
                      <w:color w:val="auto"/>
                      <w:szCs w:val="21"/>
                    </w:rPr>
                  </w:pPr>
                </w:p>
              </w:tc>
              <w:tc>
                <w:tcPr>
                  <w:tcW w:w="2567" w:type="pct"/>
                  <w:noWrap w:val="0"/>
                  <w:vAlign w:val="center"/>
                </w:tcPr>
                <w:p>
                  <w:pPr>
                    <w:jc w:val="center"/>
                    <w:rPr>
                      <w:color w:val="auto"/>
                      <w:szCs w:val="21"/>
                    </w:rPr>
                  </w:pPr>
                  <w:r>
                    <w:rPr>
                      <w:color w:val="auto"/>
                      <w:szCs w:val="21"/>
                    </w:rPr>
                    <w:t>车轮冲洗池</w:t>
                  </w:r>
                </w:p>
              </w:tc>
              <w:tc>
                <w:tcPr>
                  <w:tcW w:w="725" w:type="pct"/>
                  <w:noWrap w:val="0"/>
                  <w:vAlign w:val="center"/>
                </w:tcPr>
                <w:p>
                  <w:pPr>
                    <w:jc w:val="center"/>
                    <w:rPr>
                      <w:rFonts w:hint="eastAsia" w:eastAsia="宋体"/>
                      <w:color w:val="auto"/>
                      <w:szCs w:val="21"/>
                      <w:lang w:val="en-US" w:eastAsia="zh-CN"/>
                    </w:rPr>
                  </w:pPr>
                  <w:r>
                    <w:rPr>
                      <w:rFonts w:hint="eastAsia"/>
                      <w:color w:val="auto"/>
                      <w:szCs w:val="21"/>
                    </w:rPr>
                    <w:t>1</w:t>
                  </w:r>
                  <w:r>
                    <w:rPr>
                      <w:rFonts w:hint="eastAsia"/>
                      <w:color w:val="auto"/>
                      <w:szCs w:val="21"/>
                      <w:lang w:val="en-US" w:eastAsia="zh-CN"/>
                    </w:rPr>
                    <w:t>0</w:t>
                  </w:r>
                </w:p>
              </w:tc>
              <w:tc>
                <w:tcPr>
                  <w:tcW w:w="724" w:type="pct"/>
                  <w:vMerge w:val="continue"/>
                  <w:noWrap w:val="0"/>
                  <w:vAlign w:val="center"/>
                </w:tcPr>
                <w:p>
                  <w:pPr>
                    <w:jc w:val="center"/>
                    <w:rPr>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vMerge w:val="continue"/>
                  <w:noWrap w:val="0"/>
                  <w:vAlign w:val="center"/>
                </w:tcPr>
                <w:p>
                  <w:pPr>
                    <w:jc w:val="center"/>
                    <w:rPr>
                      <w:color w:val="auto"/>
                      <w:szCs w:val="21"/>
                    </w:rPr>
                  </w:pPr>
                </w:p>
              </w:tc>
              <w:tc>
                <w:tcPr>
                  <w:tcW w:w="567" w:type="pct"/>
                  <w:vMerge w:val="restart"/>
                  <w:noWrap w:val="0"/>
                  <w:vAlign w:val="center"/>
                </w:tcPr>
                <w:p>
                  <w:pPr>
                    <w:jc w:val="center"/>
                    <w:rPr>
                      <w:color w:val="auto"/>
                      <w:szCs w:val="21"/>
                    </w:rPr>
                  </w:pPr>
                  <w:r>
                    <w:rPr>
                      <w:color w:val="auto"/>
                      <w:szCs w:val="21"/>
                    </w:rPr>
                    <w:t>固废</w:t>
                  </w:r>
                </w:p>
              </w:tc>
              <w:tc>
                <w:tcPr>
                  <w:tcW w:w="2567" w:type="pct"/>
                  <w:noWrap w:val="0"/>
                  <w:vAlign w:val="center"/>
                </w:tcPr>
                <w:p>
                  <w:pPr>
                    <w:jc w:val="center"/>
                    <w:rPr>
                      <w:color w:val="auto"/>
                      <w:szCs w:val="21"/>
                    </w:rPr>
                  </w:pPr>
                  <w:r>
                    <w:rPr>
                      <w:rFonts w:hint="eastAsia"/>
                      <w:bCs/>
                      <w:color w:val="auto"/>
                      <w:szCs w:val="21"/>
                    </w:rPr>
                    <w:t>垃圾收集桶</w:t>
                  </w:r>
                </w:p>
              </w:tc>
              <w:tc>
                <w:tcPr>
                  <w:tcW w:w="725" w:type="pct"/>
                  <w:noWrap w:val="0"/>
                  <w:vAlign w:val="center"/>
                </w:tcPr>
                <w:p>
                  <w:pPr>
                    <w:jc w:val="center"/>
                    <w:rPr>
                      <w:color w:val="auto"/>
                      <w:szCs w:val="21"/>
                      <w:highlight w:val="magenta"/>
                    </w:rPr>
                  </w:pPr>
                  <w:r>
                    <w:rPr>
                      <w:color w:val="auto"/>
                      <w:szCs w:val="21"/>
                    </w:rPr>
                    <w:t>1</w:t>
                  </w:r>
                </w:p>
              </w:tc>
              <w:tc>
                <w:tcPr>
                  <w:tcW w:w="724" w:type="pct"/>
                  <w:vMerge w:val="continue"/>
                  <w:noWrap w:val="0"/>
                  <w:vAlign w:val="center"/>
                </w:tcPr>
                <w:p>
                  <w:pPr>
                    <w:jc w:val="center"/>
                    <w:rPr>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vMerge w:val="continue"/>
                  <w:noWrap w:val="0"/>
                  <w:vAlign w:val="center"/>
                </w:tcPr>
                <w:p>
                  <w:pPr>
                    <w:jc w:val="center"/>
                    <w:rPr>
                      <w:color w:val="auto"/>
                      <w:szCs w:val="21"/>
                    </w:rPr>
                  </w:pPr>
                </w:p>
              </w:tc>
              <w:tc>
                <w:tcPr>
                  <w:tcW w:w="567" w:type="pct"/>
                  <w:vMerge w:val="continue"/>
                  <w:noWrap w:val="0"/>
                  <w:vAlign w:val="center"/>
                </w:tcPr>
                <w:p>
                  <w:pPr>
                    <w:jc w:val="center"/>
                    <w:rPr>
                      <w:color w:val="auto"/>
                      <w:szCs w:val="21"/>
                    </w:rPr>
                  </w:pPr>
                </w:p>
              </w:tc>
              <w:tc>
                <w:tcPr>
                  <w:tcW w:w="2567" w:type="pct"/>
                  <w:noWrap w:val="0"/>
                  <w:vAlign w:val="center"/>
                </w:tcPr>
                <w:p>
                  <w:pPr>
                    <w:jc w:val="center"/>
                    <w:rPr>
                      <w:color w:val="auto"/>
                      <w:szCs w:val="21"/>
                    </w:rPr>
                  </w:pPr>
                  <w:r>
                    <w:rPr>
                      <w:color w:val="auto"/>
                      <w:szCs w:val="21"/>
                    </w:rPr>
                    <w:t>生活垃圾清运</w:t>
                  </w:r>
                  <w:r>
                    <w:rPr>
                      <w:rFonts w:hint="eastAsia"/>
                      <w:color w:val="auto"/>
                      <w:szCs w:val="21"/>
                    </w:rPr>
                    <w:t>处置</w:t>
                  </w:r>
                </w:p>
              </w:tc>
              <w:tc>
                <w:tcPr>
                  <w:tcW w:w="725" w:type="pct"/>
                  <w:noWrap w:val="0"/>
                  <w:vAlign w:val="center"/>
                </w:tcPr>
                <w:p>
                  <w:pPr>
                    <w:jc w:val="center"/>
                    <w:rPr>
                      <w:color w:val="auto"/>
                      <w:szCs w:val="21"/>
                    </w:rPr>
                  </w:pPr>
                  <w:r>
                    <w:rPr>
                      <w:rFonts w:hint="eastAsia"/>
                      <w:color w:val="auto"/>
                      <w:szCs w:val="21"/>
                    </w:rPr>
                    <w:t>10</w:t>
                  </w:r>
                </w:p>
              </w:tc>
              <w:tc>
                <w:tcPr>
                  <w:tcW w:w="724" w:type="pct"/>
                  <w:vMerge w:val="continue"/>
                  <w:noWrap w:val="0"/>
                  <w:vAlign w:val="center"/>
                </w:tcPr>
                <w:p>
                  <w:pPr>
                    <w:jc w:val="center"/>
                    <w:rPr>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vMerge w:val="continue"/>
                  <w:noWrap w:val="0"/>
                  <w:vAlign w:val="center"/>
                </w:tcPr>
                <w:p>
                  <w:pPr>
                    <w:jc w:val="center"/>
                    <w:rPr>
                      <w:color w:val="auto"/>
                      <w:szCs w:val="21"/>
                    </w:rPr>
                  </w:pPr>
                </w:p>
              </w:tc>
              <w:tc>
                <w:tcPr>
                  <w:tcW w:w="567" w:type="pct"/>
                  <w:noWrap w:val="0"/>
                  <w:vAlign w:val="center"/>
                </w:tcPr>
                <w:p>
                  <w:pPr>
                    <w:jc w:val="center"/>
                    <w:rPr>
                      <w:color w:val="auto"/>
                      <w:szCs w:val="21"/>
                    </w:rPr>
                  </w:pPr>
                  <w:r>
                    <w:rPr>
                      <w:rFonts w:hint="eastAsia"/>
                      <w:color w:val="auto"/>
                      <w:szCs w:val="21"/>
                    </w:rPr>
                    <w:t>噪声</w:t>
                  </w:r>
                </w:p>
              </w:tc>
              <w:tc>
                <w:tcPr>
                  <w:tcW w:w="2567" w:type="pct"/>
                  <w:noWrap w:val="0"/>
                  <w:vAlign w:val="center"/>
                </w:tcPr>
                <w:p>
                  <w:pPr>
                    <w:jc w:val="center"/>
                    <w:rPr>
                      <w:color w:val="auto"/>
                      <w:szCs w:val="21"/>
                    </w:rPr>
                  </w:pPr>
                  <w:r>
                    <w:rPr>
                      <w:rFonts w:hint="eastAsia"/>
                      <w:color w:val="auto"/>
                      <w:szCs w:val="21"/>
                    </w:rPr>
                    <w:t>临时隔声屏</w:t>
                  </w:r>
                </w:p>
              </w:tc>
              <w:tc>
                <w:tcPr>
                  <w:tcW w:w="725" w:type="pct"/>
                  <w:noWrap w:val="0"/>
                  <w:vAlign w:val="center"/>
                </w:tcPr>
                <w:p>
                  <w:pPr>
                    <w:jc w:val="center"/>
                    <w:rPr>
                      <w:color w:val="auto"/>
                      <w:szCs w:val="21"/>
                    </w:rPr>
                  </w:pPr>
                  <w:r>
                    <w:rPr>
                      <w:rFonts w:hint="eastAsia"/>
                      <w:color w:val="auto"/>
                      <w:szCs w:val="21"/>
                    </w:rPr>
                    <w:t>2</w:t>
                  </w:r>
                  <w:r>
                    <w:rPr>
                      <w:color w:val="auto"/>
                      <w:szCs w:val="21"/>
                    </w:rPr>
                    <w:t>0</w:t>
                  </w:r>
                </w:p>
              </w:tc>
              <w:tc>
                <w:tcPr>
                  <w:tcW w:w="724" w:type="pct"/>
                  <w:noWrap w:val="0"/>
                  <w:vAlign w:val="center"/>
                </w:tcPr>
                <w:p>
                  <w:pPr>
                    <w:jc w:val="center"/>
                    <w:rPr>
                      <w:color w:val="auto"/>
                      <w:szCs w:val="21"/>
                    </w:rPr>
                  </w:pPr>
                  <w:r>
                    <w:rPr>
                      <w:rFonts w:hint="eastAsia"/>
                      <w:color w:val="auto"/>
                      <w:szCs w:val="21"/>
                    </w:rPr>
                    <w:t>环评提出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vMerge w:val="restart"/>
                  <w:noWrap w:val="0"/>
                  <w:vAlign w:val="center"/>
                </w:tcPr>
                <w:p>
                  <w:pPr>
                    <w:jc w:val="center"/>
                    <w:rPr>
                      <w:color w:val="auto"/>
                      <w:szCs w:val="21"/>
                    </w:rPr>
                  </w:pPr>
                  <w:r>
                    <w:rPr>
                      <w:color w:val="auto"/>
                      <w:szCs w:val="21"/>
                    </w:rPr>
                    <w:t>运营期</w:t>
                  </w:r>
                </w:p>
              </w:tc>
              <w:tc>
                <w:tcPr>
                  <w:tcW w:w="567" w:type="pct"/>
                  <w:noWrap w:val="0"/>
                  <w:vAlign w:val="center"/>
                </w:tcPr>
                <w:p>
                  <w:pPr>
                    <w:jc w:val="center"/>
                    <w:rPr>
                      <w:color w:val="auto"/>
                      <w:szCs w:val="21"/>
                    </w:rPr>
                  </w:pPr>
                  <w:r>
                    <w:rPr>
                      <w:rFonts w:hint="eastAsia"/>
                      <w:color w:val="auto"/>
                      <w:szCs w:val="21"/>
                    </w:rPr>
                    <w:t>废气</w:t>
                  </w:r>
                </w:p>
              </w:tc>
              <w:tc>
                <w:tcPr>
                  <w:tcW w:w="2567" w:type="pct"/>
                  <w:noWrap w:val="0"/>
                  <w:vAlign w:val="center"/>
                </w:tcPr>
                <w:p>
                  <w:pPr>
                    <w:jc w:val="center"/>
                    <w:rPr>
                      <w:color w:val="auto"/>
                      <w:kern w:val="0"/>
                      <w:szCs w:val="21"/>
                    </w:rPr>
                  </w:pPr>
                  <w:r>
                    <w:rPr>
                      <w:rFonts w:hint="eastAsia"/>
                      <w:color w:val="auto"/>
                      <w:kern w:val="0"/>
                      <w:szCs w:val="21"/>
                    </w:rPr>
                    <w:t>1套油烟抽排及净化系统</w:t>
                  </w:r>
                </w:p>
              </w:tc>
              <w:tc>
                <w:tcPr>
                  <w:tcW w:w="725" w:type="pct"/>
                  <w:noWrap w:val="0"/>
                  <w:vAlign w:val="center"/>
                </w:tcPr>
                <w:p>
                  <w:pPr>
                    <w:jc w:val="center"/>
                    <w:rPr>
                      <w:color w:val="auto"/>
                      <w:szCs w:val="21"/>
                    </w:rPr>
                  </w:pPr>
                  <w:r>
                    <w:rPr>
                      <w:color w:val="auto"/>
                      <w:szCs w:val="21"/>
                    </w:rPr>
                    <w:t>2.5</w:t>
                  </w:r>
                </w:p>
              </w:tc>
              <w:tc>
                <w:tcPr>
                  <w:tcW w:w="724" w:type="pct"/>
                  <w:noWrap w:val="0"/>
                  <w:vAlign w:val="center"/>
                </w:tcPr>
                <w:p>
                  <w:pPr>
                    <w:jc w:val="center"/>
                    <w:rPr>
                      <w:color w:val="auto"/>
                      <w:szCs w:val="21"/>
                    </w:rPr>
                  </w:pPr>
                  <w:r>
                    <w:rPr>
                      <w:rFonts w:hint="eastAsia"/>
                      <w:color w:val="auto"/>
                      <w:szCs w:val="21"/>
                    </w:rPr>
                    <w:t>环评提出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vMerge w:val="continue"/>
                  <w:noWrap w:val="0"/>
                  <w:vAlign w:val="center"/>
                </w:tcPr>
                <w:p>
                  <w:pPr>
                    <w:jc w:val="center"/>
                    <w:rPr>
                      <w:color w:val="auto"/>
                      <w:szCs w:val="21"/>
                    </w:rPr>
                  </w:pPr>
                </w:p>
              </w:tc>
              <w:tc>
                <w:tcPr>
                  <w:tcW w:w="567" w:type="pct"/>
                  <w:vMerge w:val="restart"/>
                  <w:noWrap w:val="0"/>
                  <w:vAlign w:val="center"/>
                </w:tcPr>
                <w:p>
                  <w:pPr>
                    <w:jc w:val="center"/>
                    <w:rPr>
                      <w:color w:val="auto"/>
                      <w:szCs w:val="21"/>
                    </w:rPr>
                  </w:pPr>
                  <w:r>
                    <w:rPr>
                      <w:color w:val="auto"/>
                      <w:szCs w:val="21"/>
                    </w:rPr>
                    <w:t>废水</w:t>
                  </w:r>
                </w:p>
              </w:tc>
              <w:tc>
                <w:tcPr>
                  <w:tcW w:w="2567" w:type="pct"/>
                  <w:noWrap w:val="0"/>
                  <w:vAlign w:val="center"/>
                </w:tcPr>
                <w:p>
                  <w:pPr>
                    <w:jc w:val="center"/>
                    <w:rPr>
                      <w:color w:val="auto"/>
                      <w:szCs w:val="21"/>
                    </w:rPr>
                  </w:pPr>
                  <w:r>
                    <w:rPr>
                      <w:color w:val="auto"/>
                      <w:kern w:val="0"/>
                      <w:szCs w:val="21"/>
                    </w:rPr>
                    <w:t>雨、污分流管网</w:t>
                  </w:r>
                </w:p>
              </w:tc>
              <w:tc>
                <w:tcPr>
                  <w:tcW w:w="725" w:type="pct"/>
                  <w:noWrap w:val="0"/>
                  <w:vAlign w:val="center"/>
                </w:tcPr>
                <w:p>
                  <w:pPr>
                    <w:jc w:val="center"/>
                    <w:rPr>
                      <w:color w:val="auto"/>
                      <w:szCs w:val="21"/>
                    </w:rPr>
                  </w:pPr>
                  <w:r>
                    <w:rPr>
                      <w:rFonts w:hint="eastAsia"/>
                      <w:color w:val="auto"/>
                      <w:szCs w:val="21"/>
                    </w:rPr>
                    <w:t>1</w:t>
                  </w:r>
                  <w:r>
                    <w:rPr>
                      <w:color w:val="auto"/>
                      <w:szCs w:val="21"/>
                    </w:rPr>
                    <w:t>5</w:t>
                  </w:r>
                </w:p>
              </w:tc>
              <w:tc>
                <w:tcPr>
                  <w:tcW w:w="724" w:type="pct"/>
                  <w:vMerge w:val="restart"/>
                  <w:noWrap w:val="0"/>
                  <w:vAlign w:val="center"/>
                </w:tcPr>
                <w:p>
                  <w:pPr>
                    <w:jc w:val="center"/>
                    <w:rPr>
                      <w:color w:val="auto"/>
                      <w:szCs w:val="21"/>
                    </w:rPr>
                  </w:pPr>
                  <w:r>
                    <w:rPr>
                      <w:rFonts w:hint="eastAsia"/>
                      <w:color w:val="auto"/>
                      <w:szCs w:val="21"/>
                    </w:rPr>
                    <w:t>主体设计已含</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vMerge w:val="continue"/>
                  <w:noWrap w:val="0"/>
                  <w:vAlign w:val="center"/>
                </w:tcPr>
                <w:p>
                  <w:pPr>
                    <w:jc w:val="center"/>
                    <w:rPr>
                      <w:color w:val="auto"/>
                      <w:szCs w:val="21"/>
                    </w:rPr>
                  </w:pPr>
                </w:p>
              </w:tc>
              <w:tc>
                <w:tcPr>
                  <w:tcW w:w="567" w:type="pct"/>
                  <w:vMerge w:val="continue"/>
                  <w:noWrap w:val="0"/>
                  <w:vAlign w:val="center"/>
                </w:tcPr>
                <w:p>
                  <w:pPr>
                    <w:jc w:val="center"/>
                    <w:rPr>
                      <w:color w:val="auto"/>
                      <w:szCs w:val="21"/>
                    </w:rPr>
                  </w:pPr>
                </w:p>
              </w:tc>
              <w:tc>
                <w:tcPr>
                  <w:tcW w:w="2567" w:type="pct"/>
                  <w:noWrap w:val="0"/>
                  <w:vAlign w:val="center"/>
                </w:tcPr>
                <w:p>
                  <w:pPr>
                    <w:jc w:val="center"/>
                    <w:rPr>
                      <w:color w:val="auto"/>
                      <w:kern w:val="0"/>
                      <w:szCs w:val="21"/>
                    </w:rPr>
                  </w:pPr>
                  <w:r>
                    <w:rPr>
                      <w:rFonts w:hint="eastAsia"/>
                      <w:color w:val="auto"/>
                      <w:szCs w:val="21"/>
                    </w:rPr>
                    <w:t>1个6</w:t>
                  </w:r>
                  <w:r>
                    <w:rPr>
                      <w:color w:val="auto"/>
                      <w:szCs w:val="21"/>
                    </w:rPr>
                    <w:t>m</w:t>
                  </w:r>
                  <w:r>
                    <w:rPr>
                      <w:color w:val="auto"/>
                      <w:szCs w:val="21"/>
                      <w:vertAlign w:val="superscript"/>
                    </w:rPr>
                    <w:t>3</w:t>
                  </w:r>
                  <w:r>
                    <w:rPr>
                      <w:color w:val="auto"/>
                      <w:szCs w:val="21"/>
                    </w:rPr>
                    <w:t>化粪池</w:t>
                  </w:r>
                </w:p>
              </w:tc>
              <w:tc>
                <w:tcPr>
                  <w:tcW w:w="725" w:type="pct"/>
                  <w:noWrap w:val="0"/>
                  <w:vAlign w:val="center"/>
                </w:tcPr>
                <w:p>
                  <w:pPr>
                    <w:jc w:val="center"/>
                    <w:rPr>
                      <w:color w:val="auto"/>
                      <w:szCs w:val="21"/>
                    </w:rPr>
                  </w:pPr>
                  <w:r>
                    <w:rPr>
                      <w:rFonts w:hint="eastAsia"/>
                      <w:color w:val="auto"/>
                      <w:szCs w:val="21"/>
                    </w:rPr>
                    <w:t>2</w:t>
                  </w:r>
                </w:p>
              </w:tc>
              <w:tc>
                <w:tcPr>
                  <w:tcW w:w="724" w:type="pct"/>
                  <w:vMerge w:val="continue"/>
                  <w:noWrap w:val="0"/>
                  <w:vAlign w:val="center"/>
                </w:tcPr>
                <w:p>
                  <w:pPr>
                    <w:jc w:val="center"/>
                    <w:rPr>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vMerge w:val="continue"/>
                  <w:noWrap w:val="0"/>
                  <w:vAlign w:val="center"/>
                </w:tcPr>
                <w:p>
                  <w:pPr>
                    <w:jc w:val="center"/>
                    <w:rPr>
                      <w:color w:val="auto"/>
                      <w:szCs w:val="21"/>
                    </w:rPr>
                  </w:pPr>
                </w:p>
              </w:tc>
              <w:tc>
                <w:tcPr>
                  <w:tcW w:w="567" w:type="pct"/>
                  <w:vMerge w:val="continue"/>
                  <w:noWrap w:val="0"/>
                  <w:vAlign w:val="center"/>
                </w:tcPr>
                <w:p>
                  <w:pPr>
                    <w:jc w:val="center"/>
                    <w:rPr>
                      <w:color w:val="auto"/>
                      <w:szCs w:val="21"/>
                    </w:rPr>
                  </w:pPr>
                </w:p>
              </w:tc>
              <w:tc>
                <w:tcPr>
                  <w:tcW w:w="2567" w:type="pct"/>
                  <w:noWrap w:val="0"/>
                  <w:vAlign w:val="center"/>
                </w:tcPr>
                <w:p>
                  <w:pPr>
                    <w:jc w:val="center"/>
                    <w:rPr>
                      <w:color w:val="auto"/>
                      <w:szCs w:val="21"/>
                    </w:rPr>
                  </w:pPr>
                  <w:r>
                    <w:rPr>
                      <w:rFonts w:hint="eastAsia"/>
                      <w:color w:val="auto"/>
                      <w:szCs w:val="21"/>
                    </w:rPr>
                    <w:t>1个1</w:t>
                  </w:r>
                  <w:r>
                    <w:rPr>
                      <w:color w:val="auto"/>
                      <w:szCs w:val="21"/>
                    </w:rPr>
                    <w:t>m</w:t>
                  </w:r>
                  <w:r>
                    <w:rPr>
                      <w:color w:val="auto"/>
                      <w:szCs w:val="21"/>
                      <w:vertAlign w:val="superscript"/>
                    </w:rPr>
                    <w:t>3</w:t>
                  </w:r>
                  <w:r>
                    <w:rPr>
                      <w:rFonts w:hint="eastAsia"/>
                      <w:color w:val="auto"/>
                      <w:szCs w:val="21"/>
                    </w:rPr>
                    <w:t>隔油池</w:t>
                  </w:r>
                </w:p>
              </w:tc>
              <w:tc>
                <w:tcPr>
                  <w:tcW w:w="725" w:type="pct"/>
                  <w:noWrap w:val="0"/>
                  <w:vAlign w:val="center"/>
                </w:tcPr>
                <w:p>
                  <w:pPr>
                    <w:jc w:val="center"/>
                    <w:rPr>
                      <w:color w:val="auto"/>
                      <w:szCs w:val="21"/>
                    </w:rPr>
                  </w:pPr>
                  <w:r>
                    <w:rPr>
                      <w:color w:val="auto"/>
                      <w:szCs w:val="21"/>
                    </w:rPr>
                    <w:t>1</w:t>
                  </w:r>
                </w:p>
              </w:tc>
              <w:tc>
                <w:tcPr>
                  <w:tcW w:w="724" w:type="pct"/>
                  <w:vMerge w:val="continue"/>
                  <w:noWrap w:val="0"/>
                  <w:vAlign w:val="center"/>
                </w:tcPr>
                <w:p>
                  <w:pPr>
                    <w:jc w:val="center"/>
                    <w:rPr>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vMerge w:val="continue"/>
                  <w:noWrap w:val="0"/>
                  <w:vAlign w:val="center"/>
                </w:tcPr>
                <w:p>
                  <w:pPr>
                    <w:jc w:val="center"/>
                    <w:rPr>
                      <w:color w:val="auto"/>
                      <w:szCs w:val="21"/>
                    </w:rPr>
                  </w:pPr>
                </w:p>
              </w:tc>
              <w:tc>
                <w:tcPr>
                  <w:tcW w:w="567" w:type="pct"/>
                  <w:vMerge w:val="continue"/>
                  <w:noWrap w:val="0"/>
                  <w:vAlign w:val="center"/>
                </w:tcPr>
                <w:p>
                  <w:pPr>
                    <w:jc w:val="center"/>
                    <w:rPr>
                      <w:color w:val="auto"/>
                      <w:szCs w:val="21"/>
                    </w:rPr>
                  </w:pPr>
                </w:p>
              </w:tc>
              <w:tc>
                <w:tcPr>
                  <w:tcW w:w="2567" w:type="pct"/>
                  <w:noWrap w:val="0"/>
                  <w:vAlign w:val="center"/>
                </w:tcPr>
                <w:p>
                  <w:pPr>
                    <w:jc w:val="center"/>
                    <w:rPr>
                      <w:color w:val="auto"/>
                      <w:szCs w:val="21"/>
                    </w:rPr>
                  </w:pPr>
                  <w:r>
                    <w:rPr>
                      <w:rFonts w:hint="eastAsia"/>
                      <w:color w:val="auto"/>
                      <w:szCs w:val="21"/>
                    </w:rPr>
                    <w:t>1套5</w:t>
                  </w:r>
                  <w:r>
                    <w:rPr>
                      <w:color w:val="auto"/>
                      <w:szCs w:val="21"/>
                    </w:rPr>
                    <w:t>m</w:t>
                  </w:r>
                  <w:r>
                    <w:rPr>
                      <w:color w:val="auto"/>
                      <w:szCs w:val="21"/>
                      <w:vertAlign w:val="superscript"/>
                    </w:rPr>
                    <w:t>3</w:t>
                  </w:r>
                  <w:r>
                    <w:rPr>
                      <w:color w:val="auto"/>
                      <w:szCs w:val="21"/>
                    </w:rPr>
                    <w:t>/d</w:t>
                  </w:r>
                  <w:r>
                    <w:rPr>
                      <w:rFonts w:hint="eastAsia"/>
                      <w:color w:val="auto"/>
                      <w:szCs w:val="21"/>
                    </w:rPr>
                    <w:t>污水处理系统</w:t>
                  </w:r>
                </w:p>
              </w:tc>
              <w:tc>
                <w:tcPr>
                  <w:tcW w:w="725" w:type="pct"/>
                  <w:noWrap w:val="0"/>
                  <w:vAlign w:val="center"/>
                </w:tcPr>
                <w:p>
                  <w:pPr>
                    <w:jc w:val="center"/>
                    <w:rPr>
                      <w:color w:val="auto"/>
                      <w:szCs w:val="21"/>
                    </w:rPr>
                  </w:pPr>
                  <w:r>
                    <w:rPr>
                      <w:color w:val="auto"/>
                      <w:szCs w:val="21"/>
                    </w:rPr>
                    <w:t>35</w:t>
                  </w:r>
                </w:p>
              </w:tc>
              <w:tc>
                <w:tcPr>
                  <w:tcW w:w="724" w:type="pct"/>
                  <w:vMerge w:val="continue"/>
                  <w:noWrap w:val="0"/>
                  <w:vAlign w:val="center"/>
                </w:tcPr>
                <w:p>
                  <w:pPr>
                    <w:jc w:val="center"/>
                    <w:rPr>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vMerge w:val="continue"/>
                  <w:noWrap w:val="0"/>
                  <w:vAlign w:val="center"/>
                </w:tcPr>
                <w:p>
                  <w:pPr>
                    <w:jc w:val="center"/>
                    <w:rPr>
                      <w:color w:val="auto"/>
                      <w:szCs w:val="21"/>
                    </w:rPr>
                  </w:pPr>
                </w:p>
              </w:tc>
              <w:tc>
                <w:tcPr>
                  <w:tcW w:w="567" w:type="pct"/>
                  <w:vMerge w:val="continue"/>
                  <w:noWrap w:val="0"/>
                  <w:vAlign w:val="center"/>
                </w:tcPr>
                <w:p>
                  <w:pPr>
                    <w:jc w:val="center"/>
                    <w:rPr>
                      <w:color w:val="auto"/>
                      <w:szCs w:val="21"/>
                    </w:rPr>
                  </w:pPr>
                </w:p>
              </w:tc>
              <w:tc>
                <w:tcPr>
                  <w:tcW w:w="2567" w:type="pct"/>
                  <w:noWrap w:val="0"/>
                  <w:vAlign w:val="center"/>
                </w:tcPr>
                <w:p>
                  <w:pPr>
                    <w:jc w:val="center"/>
                    <w:rPr>
                      <w:color w:val="auto"/>
                      <w:szCs w:val="21"/>
                    </w:rPr>
                  </w:pPr>
                  <w:r>
                    <w:rPr>
                      <w:rFonts w:hint="eastAsia"/>
                      <w:color w:val="auto"/>
                      <w:szCs w:val="21"/>
                    </w:rPr>
                    <w:t>1个8</w:t>
                  </w:r>
                  <w:r>
                    <w:rPr>
                      <w:color w:val="auto"/>
                      <w:szCs w:val="21"/>
                    </w:rPr>
                    <w:t>m</w:t>
                  </w:r>
                  <w:r>
                    <w:rPr>
                      <w:color w:val="auto"/>
                      <w:szCs w:val="21"/>
                      <w:vertAlign w:val="superscript"/>
                    </w:rPr>
                    <w:t>3</w:t>
                  </w:r>
                  <w:r>
                    <w:rPr>
                      <w:rFonts w:hint="eastAsia"/>
                      <w:color w:val="auto"/>
                      <w:szCs w:val="21"/>
                    </w:rPr>
                    <w:t>回用水池</w:t>
                  </w:r>
                </w:p>
              </w:tc>
              <w:tc>
                <w:tcPr>
                  <w:tcW w:w="725" w:type="pct"/>
                  <w:noWrap w:val="0"/>
                  <w:vAlign w:val="center"/>
                </w:tcPr>
                <w:p>
                  <w:pPr>
                    <w:jc w:val="center"/>
                    <w:rPr>
                      <w:color w:val="auto"/>
                      <w:szCs w:val="21"/>
                    </w:rPr>
                  </w:pPr>
                  <w:r>
                    <w:rPr>
                      <w:rFonts w:hint="eastAsia"/>
                      <w:color w:val="auto"/>
                      <w:szCs w:val="21"/>
                    </w:rPr>
                    <w:t>5</w:t>
                  </w:r>
                </w:p>
              </w:tc>
              <w:tc>
                <w:tcPr>
                  <w:tcW w:w="724" w:type="pct"/>
                  <w:vMerge w:val="restart"/>
                  <w:noWrap w:val="0"/>
                  <w:vAlign w:val="center"/>
                </w:tcPr>
                <w:p>
                  <w:pPr>
                    <w:jc w:val="center"/>
                    <w:rPr>
                      <w:color w:val="auto"/>
                      <w:szCs w:val="21"/>
                    </w:rPr>
                  </w:pPr>
                  <w:r>
                    <w:rPr>
                      <w:rFonts w:hint="eastAsia"/>
                      <w:color w:val="auto"/>
                      <w:szCs w:val="21"/>
                    </w:rPr>
                    <w:t>环评提出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vMerge w:val="continue"/>
                  <w:noWrap w:val="0"/>
                  <w:vAlign w:val="center"/>
                </w:tcPr>
                <w:p>
                  <w:pPr>
                    <w:jc w:val="center"/>
                    <w:rPr>
                      <w:color w:val="auto"/>
                      <w:szCs w:val="21"/>
                    </w:rPr>
                  </w:pPr>
                </w:p>
              </w:tc>
              <w:tc>
                <w:tcPr>
                  <w:tcW w:w="567" w:type="pct"/>
                  <w:vMerge w:val="continue"/>
                  <w:noWrap w:val="0"/>
                  <w:vAlign w:val="center"/>
                </w:tcPr>
                <w:p>
                  <w:pPr>
                    <w:jc w:val="center"/>
                    <w:rPr>
                      <w:color w:val="auto"/>
                      <w:szCs w:val="21"/>
                    </w:rPr>
                  </w:pPr>
                </w:p>
              </w:tc>
              <w:tc>
                <w:tcPr>
                  <w:tcW w:w="2567" w:type="pct"/>
                  <w:noWrap w:val="0"/>
                  <w:vAlign w:val="center"/>
                </w:tcPr>
                <w:p>
                  <w:pPr>
                    <w:jc w:val="center"/>
                    <w:rPr>
                      <w:color w:val="auto"/>
                      <w:szCs w:val="21"/>
                    </w:rPr>
                  </w:pPr>
                  <w:r>
                    <w:rPr>
                      <w:color w:val="auto"/>
                      <w:szCs w:val="21"/>
                    </w:rPr>
                    <w:t>中水回用管网</w:t>
                  </w:r>
                </w:p>
              </w:tc>
              <w:tc>
                <w:tcPr>
                  <w:tcW w:w="725" w:type="pct"/>
                  <w:noWrap w:val="0"/>
                  <w:vAlign w:val="center"/>
                </w:tcPr>
                <w:p>
                  <w:pPr>
                    <w:jc w:val="center"/>
                    <w:rPr>
                      <w:color w:val="auto"/>
                      <w:szCs w:val="21"/>
                    </w:rPr>
                  </w:pPr>
                  <w:r>
                    <w:rPr>
                      <w:color w:val="auto"/>
                      <w:szCs w:val="21"/>
                    </w:rPr>
                    <w:t>8</w:t>
                  </w:r>
                </w:p>
              </w:tc>
              <w:tc>
                <w:tcPr>
                  <w:tcW w:w="724" w:type="pct"/>
                  <w:vMerge w:val="continue"/>
                  <w:noWrap w:val="0"/>
                  <w:vAlign w:val="center"/>
                </w:tcPr>
                <w:p>
                  <w:pPr>
                    <w:jc w:val="center"/>
                    <w:rPr>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vMerge w:val="continue"/>
                  <w:noWrap w:val="0"/>
                  <w:vAlign w:val="center"/>
                </w:tcPr>
                <w:p>
                  <w:pPr>
                    <w:jc w:val="center"/>
                    <w:rPr>
                      <w:color w:val="auto"/>
                      <w:szCs w:val="21"/>
                    </w:rPr>
                  </w:pPr>
                </w:p>
              </w:tc>
              <w:tc>
                <w:tcPr>
                  <w:tcW w:w="567" w:type="pct"/>
                  <w:noWrap w:val="0"/>
                  <w:vAlign w:val="center"/>
                </w:tcPr>
                <w:p>
                  <w:pPr>
                    <w:jc w:val="center"/>
                    <w:rPr>
                      <w:color w:val="auto"/>
                      <w:szCs w:val="21"/>
                    </w:rPr>
                  </w:pPr>
                  <w:r>
                    <w:rPr>
                      <w:color w:val="auto"/>
                      <w:szCs w:val="21"/>
                    </w:rPr>
                    <w:t>噪声</w:t>
                  </w:r>
                </w:p>
              </w:tc>
              <w:tc>
                <w:tcPr>
                  <w:tcW w:w="2567" w:type="pct"/>
                  <w:noWrap w:val="0"/>
                  <w:vAlign w:val="center"/>
                </w:tcPr>
                <w:p>
                  <w:pPr>
                    <w:jc w:val="center"/>
                    <w:rPr>
                      <w:color w:val="auto"/>
                      <w:szCs w:val="21"/>
                    </w:rPr>
                  </w:pPr>
                  <w:r>
                    <w:rPr>
                      <w:color w:val="auto"/>
                      <w:kern w:val="0"/>
                      <w:szCs w:val="21"/>
                    </w:rPr>
                    <w:t>设备隔声，水泵、变压器减振装置，风机消声器等</w:t>
                  </w:r>
                </w:p>
              </w:tc>
              <w:tc>
                <w:tcPr>
                  <w:tcW w:w="725" w:type="pct"/>
                  <w:noWrap w:val="0"/>
                  <w:vAlign w:val="center"/>
                </w:tcPr>
                <w:p>
                  <w:pPr>
                    <w:jc w:val="center"/>
                    <w:rPr>
                      <w:color w:val="auto"/>
                      <w:szCs w:val="21"/>
                    </w:rPr>
                  </w:pPr>
                  <w:r>
                    <w:rPr>
                      <w:color w:val="auto"/>
                      <w:szCs w:val="21"/>
                    </w:rPr>
                    <w:t>5</w:t>
                  </w:r>
                </w:p>
              </w:tc>
              <w:tc>
                <w:tcPr>
                  <w:tcW w:w="724" w:type="pct"/>
                  <w:vMerge w:val="continue"/>
                  <w:noWrap w:val="0"/>
                  <w:vAlign w:val="center"/>
                </w:tcPr>
                <w:p>
                  <w:pPr>
                    <w:jc w:val="center"/>
                    <w:rPr>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vMerge w:val="continue"/>
                  <w:noWrap w:val="0"/>
                  <w:vAlign w:val="center"/>
                </w:tcPr>
                <w:p>
                  <w:pPr>
                    <w:jc w:val="center"/>
                    <w:rPr>
                      <w:color w:val="auto"/>
                      <w:szCs w:val="21"/>
                    </w:rPr>
                  </w:pPr>
                </w:p>
              </w:tc>
              <w:tc>
                <w:tcPr>
                  <w:tcW w:w="567" w:type="pct"/>
                  <w:vMerge w:val="restart"/>
                  <w:noWrap w:val="0"/>
                  <w:vAlign w:val="center"/>
                </w:tcPr>
                <w:p>
                  <w:pPr>
                    <w:jc w:val="center"/>
                    <w:rPr>
                      <w:color w:val="auto"/>
                      <w:szCs w:val="21"/>
                    </w:rPr>
                  </w:pPr>
                  <w:r>
                    <w:rPr>
                      <w:color w:val="auto"/>
                      <w:szCs w:val="21"/>
                    </w:rPr>
                    <w:t>固废</w:t>
                  </w:r>
                </w:p>
              </w:tc>
              <w:tc>
                <w:tcPr>
                  <w:tcW w:w="2567" w:type="pct"/>
                  <w:noWrap w:val="0"/>
                  <w:vAlign w:val="center"/>
                </w:tcPr>
                <w:p>
                  <w:pPr>
                    <w:jc w:val="center"/>
                    <w:rPr>
                      <w:color w:val="auto"/>
                      <w:szCs w:val="21"/>
                    </w:rPr>
                  </w:pPr>
                  <w:r>
                    <w:rPr>
                      <w:color w:val="auto"/>
                      <w:szCs w:val="21"/>
                    </w:rPr>
                    <w:t>生活垃圾收集</w:t>
                  </w:r>
                  <w:r>
                    <w:rPr>
                      <w:rFonts w:hint="eastAsia"/>
                      <w:color w:val="auto"/>
                      <w:szCs w:val="21"/>
                    </w:rPr>
                    <w:t>桶、收集斗</w:t>
                  </w:r>
                </w:p>
              </w:tc>
              <w:tc>
                <w:tcPr>
                  <w:tcW w:w="725" w:type="pct"/>
                  <w:noWrap w:val="0"/>
                  <w:vAlign w:val="center"/>
                </w:tcPr>
                <w:p>
                  <w:pPr>
                    <w:jc w:val="center"/>
                    <w:rPr>
                      <w:color w:val="auto"/>
                      <w:szCs w:val="21"/>
                    </w:rPr>
                  </w:pPr>
                  <w:r>
                    <w:rPr>
                      <w:rFonts w:hint="eastAsia"/>
                      <w:color w:val="auto"/>
                      <w:szCs w:val="21"/>
                    </w:rPr>
                    <w:t>5</w:t>
                  </w:r>
                </w:p>
              </w:tc>
              <w:tc>
                <w:tcPr>
                  <w:tcW w:w="724" w:type="pct"/>
                  <w:vMerge w:val="continue"/>
                  <w:noWrap w:val="0"/>
                  <w:vAlign w:val="center"/>
                </w:tcPr>
                <w:p>
                  <w:pPr>
                    <w:jc w:val="center"/>
                    <w:rPr>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vMerge w:val="continue"/>
                  <w:noWrap w:val="0"/>
                  <w:vAlign w:val="center"/>
                </w:tcPr>
                <w:p>
                  <w:pPr>
                    <w:jc w:val="center"/>
                    <w:rPr>
                      <w:color w:val="auto"/>
                      <w:szCs w:val="21"/>
                    </w:rPr>
                  </w:pPr>
                </w:p>
              </w:tc>
              <w:tc>
                <w:tcPr>
                  <w:tcW w:w="567" w:type="pct"/>
                  <w:vMerge w:val="continue"/>
                  <w:noWrap w:val="0"/>
                  <w:vAlign w:val="center"/>
                </w:tcPr>
                <w:p>
                  <w:pPr>
                    <w:jc w:val="center"/>
                    <w:rPr>
                      <w:color w:val="auto"/>
                      <w:szCs w:val="21"/>
                    </w:rPr>
                  </w:pPr>
                </w:p>
              </w:tc>
              <w:tc>
                <w:tcPr>
                  <w:tcW w:w="2567" w:type="pct"/>
                  <w:noWrap w:val="0"/>
                  <w:vAlign w:val="center"/>
                </w:tcPr>
                <w:p>
                  <w:pPr>
                    <w:jc w:val="center"/>
                    <w:rPr>
                      <w:color w:val="auto"/>
                      <w:szCs w:val="21"/>
                    </w:rPr>
                  </w:pPr>
                  <w:r>
                    <w:rPr>
                      <w:rFonts w:hint="eastAsia"/>
                      <w:color w:val="auto"/>
                      <w:szCs w:val="21"/>
                    </w:rPr>
                    <w:t>危废</w:t>
                  </w:r>
                  <w:r>
                    <w:rPr>
                      <w:color w:val="auto"/>
                      <w:szCs w:val="21"/>
                    </w:rPr>
                    <w:t>暂存间</w:t>
                  </w:r>
                  <w:r>
                    <w:rPr>
                      <w:rFonts w:hint="eastAsia"/>
                      <w:color w:val="auto"/>
                      <w:szCs w:val="21"/>
                    </w:rPr>
                    <w:t>1间</w:t>
                  </w:r>
                </w:p>
              </w:tc>
              <w:tc>
                <w:tcPr>
                  <w:tcW w:w="725" w:type="pct"/>
                  <w:noWrap w:val="0"/>
                  <w:vAlign w:val="center"/>
                </w:tcPr>
                <w:p>
                  <w:pPr>
                    <w:jc w:val="center"/>
                    <w:rPr>
                      <w:rFonts w:hint="default" w:eastAsia="宋体"/>
                      <w:color w:val="auto"/>
                      <w:szCs w:val="21"/>
                      <w:lang w:val="en-US" w:eastAsia="zh-CN"/>
                    </w:rPr>
                  </w:pPr>
                  <w:r>
                    <w:rPr>
                      <w:rFonts w:hint="eastAsia"/>
                      <w:color w:val="auto"/>
                      <w:szCs w:val="21"/>
                      <w:lang w:val="en-US" w:eastAsia="zh-CN"/>
                    </w:rPr>
                    <w:t>10</w:t>
                  </w:r>
                </w:p>
              </w:tc>
              <w:tc>
                <w:tcPr>
                  <w:tcW w:w="724" w:type="pct"/>
                  <w:vMerge w:val="continue"/>
                  <w:noWrap w:val="0"/>
                  <w:vAlign w:val="center"/>
                </w:tcPr>
                <w:p>
                  <w:pPr>
                    <w:jc w:val="center"/>
                    <w:rPr>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vMerge w:val="continue"/>
                  <w:noWrap w:val="0"/>
                  <w:vAlign w:val="center"/>
                </w:tcPr>
                <w:p>
                  <w:pPr>
                    <w:jc w:val="center"/>
                    <w:rPr>
                      <w:color w:val="auto"/>
                      <w:szCs w:val="21"/>
                    </w:rPr>
                  </w:pPr>
                </w:p>
              </w:tc>
              <w:tc>
                <w:tcPr>
                  <w:tcW w:w="567" w:type="pct"/>
                  <w:vMerge w:val="restart"/>
                  <w:noWrap w:val="0"/>
                  <w:vAlign w:val="center"/>
                </w:tcPr>
                <w:p>
                  <w:pPr>
                    <w:jc w:val="center"/>
                    <w:rPr>
                      <w:color w:val="auto"/>
                      <w:szCs w:val="21"/>
                    </w:rPr>
                  </w:pPr>
                  <w:r>
                    <w:rPr>
                      <w:rFonts w:hint="eastAsia"/>
                      <w:color w:val="auto"/>
                      <w:szCs w:val="21"/>
                    </w:rPr>
                    <w:t>风险</w:t>
                  </w:r>
                </w:p>
              </w:tc>
              <w:tc>
                <w:tcPr>
                  <w:tcW w:w="2567" w:type="pct"/>
                  <w:noWrap w:val="0"/>
                  <w:vAlign w:val="center"/>
                </w:tcPr>
                <w:p>
                  <w:pPr>
                    <w:jc w:val="center"/>
                    <w:rPr>
                      <w:color w:val="auto"/>
                      <w:szCs w:val="21"/>
                    </w:rPr>
                  </w:pPr>
                  <w:r>
                    <w:rPr>
                      <w:rFonts w:hint="eastAsia"/>
                      <w:color w:val="auto"/>
                      <w:szCs w:val="21"/>
                    </w:rPr>
                    <w:t>主变集油坑、</w:t>
                  </w:r>
                  <w:r>
                    <w:rPr>
                      <w:color w:val="auto"/>
                      <w:szCs w:val="21"/>
                    </w:rPr>
                    <w:t>事故油池</w:t>
                  </w:r>
                  <w:r>
                    <w:rPr>
                      <w:rFonts w:hint="eastAsia"/>
                      <w:color w:val="auto"/>
                      <w:szCs w:val="21"/>
                    </w:rPr>
                    <w:t>1个</w:t>
                  </w:r>
                </w:p>
              </w:tc>
              <w:tc>
                <w:tcPr>
                  <w:tcW w:w="725" w:type="pct"/>
                  <w:noWrap w:val="0"/>
                  <w:vAlign w:val="center"/>
                </w:tcPr>
                <w:p>
                  <w:pPr>
                    <w:jc w:val="center"/>
                    <w:rPr>
                      <w:rFonts w:hint="eastAsia" w:eastAsia="宋体"/>
                      <w:color w:val="auto"/>
                      <w:szCs w:val="21"/>
                      <w:lang w:eastAsia="zh-CN"/>
                    </w:rPr>
                  </w:pPr>
                  <w:r>
                    <w:rPr>
                      <w:rFonts w:hint="eastAsia"/>
                      <w:color w:val="auto"/>
                      <w:szCs w:val="21"/>
                    </w:rPr>
                    <w:t>1</w:t>
                  </w:r>
                  <w:r>
                    <w:rPr>
                      <w:rFonts w:hint="eastAsia"/>
                      <w:color w:val="auto"/>
                      <w:szCs w:val="21"/>
                      <w:lang w:val="en-US" w:eastAsia="zh-CN"/>
                    </w:rPr>
                    <w:t>0</w:t>
                  </w:r>
                </w:p>
              </w:tc>
              <w:tc>
                <w:tcPr>
                  <w:tcW w:w="724" w:type="pct"/>
                  <w:vMerge w:val="restart"/>
                  <w:noWrap w:val="0"/>
                  <w:vAlign w:val="center"/>
                </w:tcPr>
                <w:p>
                  <w:pPr>
                    <w:jc w:val="center"/>
                    <w:rPr>
                      <w:color w:val="auto"/>
                      <w:szCs w:val="21"/>
                    </w:rPr>
                  </w:pPr>
                  <w:r>
                    <w:rPr>
                      <w:rFonts w:hint="eastAsia"/>
                      <w:color w:val="auto"/>
                      <w:szCs w:val="21"/>
                    </w:rPr>
                    <w:t>主体设计已含</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vMerge w:val="continue"/>
                  <w:noWrap w:val="0"/>
                  <w:vAlign w:val="center"/>
                </w:tcPr>
                <w:p>
                  <w:pPr>
                    <w:jc w:val="center"/>
                    <w:rPr>
                      <w:color w:val="auto"/>
                      <w:szCs w:val="21"/>
                    </w:rPr>
                  </w:pPr>
                </w:p>
              </w:tc>
              <w:tc>
                <w:tcPr>
                  <w:tcW w:w="567" w:type="pct"/>
                  <w:vMerge w:val="continue"/>
                  <w:noWrap w:val="0"/>
                  <w:vAlign w:val="center"/>
                </w:tcPr>
                <w:p>
                  <w:pPr>
                    <w:jc w:val="center"/>
                    <w:rPr>
                      <w:color w:val="auto"/>
                      <w:szCs w:val="21"/>
                    </w:rPr>
                  </w:pPr>
                </w:p>
              </w:tc>
              <w:tc>
                <w:tcPr>
                  <w:tcW w:w="2567" w:type="pct"/>
                  <w:noWrap w:val="0"/>
                  <w:vAlign w:val="center"/>
                </w:tcPr>
                <w:p>
                  <w:pPr>
                    <w:jc w:val="center"/>
                    <w:rPr>
                      <w:color w:val="auto"/>
                      <w:szCs w:val="21"/>
                    </w:rPr>
                  </w:pPr>
                  <w:r>
                    <w:rPr>
                      <w:rFonts w:hint="eastAsia"/>
                      <w:color w:val="auto"/>
                      <w:szCs w:val="21"/>
                    </w:rPr>
                    <w:t>箱变事故油池2</w:t>
                  </w:r>
                  <w:r>
                    <w:rPr>
                      <w:color w:val="auto"/>
                      <w:szCs w:val="21"/>
                    </w:rPr>
                    <w:t>2</w:t>
                  </w:r>
                  <w:r>
                    <w:rPr>
                      <w:rFonts w:hint="eastAsia"/>
                      <w:color w:val="auto"/>
                      <w:szCs w:val="21"/>
                    </w:rPr>
                    <w:t>个</w:t>
                  </w:r>
                </w:p>
              </w:tc>
              <w:tc>
                <w:tcPr>
                  <w:tcW w:w="725" w:type="pct"/>
                  <w:noWrap w:val="0"/>
                  <w:vAlign w:val="center"/>
                </w:tcPr>
                <w:p>
                  <w:pPr>
                    <w:jc w:val="center"/>
                    <w:rPr>
                      <w:color w:val="auto"/>
                      <w:szCs w:val="21"/>
                    </w:rPr>
                  </w:pPr>
                  <w:r>
                    <w:rPr>
                      <w:rFonts w:hint="eastAsia"/>
                      <w:color w:val="auto"/>
                      <w:szCs w:val="21"/>
                    </w:rPr>
                    <w:t>2</w:t>
                  </w:r>
                  <w:r>
                    <w:rPr>
                      <w:color w:val="auto"/>
                      <w:szCs w:val="21"/>
                    </w:rPr>
                    <w:t>2</w:t>
                  </w:r>
                </w:p>
              </w:tc>
              <w:tc>
                <w:tcPr>
                  <w:tcW w:w="724" w:type="pct"/>
                  <w:vMerge w:val="continue"/>
                  <w:noWrap w:val="0"/>
                  <w:vAlign w:val="center"/>
                </w:tcPr>
                <w:p>
                  <w:pPr>
                    <w:jc w:val="center"/>
                    <w:rPr>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 w:type="pct"/>
                  <w:vMerge w:val="continue"/>
                  <w:noWrap w:val="0"/>
                  <w:vAlign w:val="center"/>
                </w:tcPr>
                <w:p>
                  <w:pPr>
                    <w:jc w:val="center"/>
                    <w:rPr>
                      <w:color w:val="auto"/>
                      <w:szCs w:val="21"/>
                    </w:rPr>
                  </w:pPr>
                </w:p>
              </w:tc>
              <w:tc>
                <w:tcPr>
                  <w:tcW w:w="567" w:type="pct"/>
                  <w:noWrap w:val="0"/>
                  <w:vAlign w:val="center"/>
                </w:tcPr>
                <w:p>
                  <w:pPr>
                    <w:jc w:val="center"/>
                    <w:rPr>
                      <w:color w:val="auto"/>
                      <w:szCs w:val="21"/>
                    </w:rPr>
                  </w:pPr>
                  <w:r>
                    <w:rPr>
                      <w:rFonts w:hint="eastAsia"/>
                      <w:color w:val="auto"/>
                      <w:szCs w:val="21"/>
                    </w:rPr>
                    <w:t>土壤及地下水</w:t>
                  </w:r>
                </w:p>
              </w:tc>
              <w:tc>
                <w:tcPr>
                  <w:tcW w:w="2567" w:type="pct"/>
                  <w:noWrap w:val="0"/>
                  <w:vAlign w:val="center"/>
                </w:tcPr>
                <w:p>
                  <w:pPr>
                    <w:jc w:val="center"/>
                    <w:rPr>
                      <w:color w:val="auto"/>
                      <w:szCs w:val="21"/>
                    </w:rPr>
                  </w:pPr>
                  <w:r>
                    <w:rPr>
                      <w:rFonts w:hint="eastAsia"/>
                      <w:color w:val="auto"/>
                      <w:szCs w:val="21"/>
                    </w:rPr>
                    <w:t>集油池、</w:t>
                  </w:r>
                  <w:r>
                    <w:rPr>
                      <w:color w:val="auto"/>
                      <w:szCs w:val="21"/>
                    </w:rPr>
                    <w:t>事故油池、</w:t>
                  </w:r>
                  <w:r>
                    <w:rPr>
                      <w:rFonts w:hint="eastAsia"/>
                      <w:color w:val="auto"/>
                      <w:szCs w:val="21"/>
                    </w:rPr>
                    <w:t>润滑油品库、</w:t>
                  </w:r>
                  <w:r>
                    <w:rPr>
                      <w:color w:val="auto"/>
                      <w:szCs w:val="21"/>
                    </w:rPr>
                    <w:t>危废暂存间</w:t>
                  </w:r>
                  <w:r>
                    <w:rPr>
                      <w:rFonts w:hint="eastAsia"/>
                      <w:color w:val="auto"/>
                      <w:szCs w:val="21"/>
                    </w:rPr>
                    <w:t>重点防渗，化粪池、污水处理系统一般防渗工程</w:t>
                  </w:r>
                </w:p>
              </w:tc>
              <w:tc>
                <w:tcPr>
                  <w:tcW w:w="725" w:type="pct"/>
                  <w:noWrap w:val="0"/>
                  <w:vAlign w:val="center"/>
                </w:tcPr>
                <w:p>
                  <w:pPr>
                    <w:jc w:val="center"/>
                    <w:rPr>
                      <w:color w:val="auto"/>
                      <w:szCs w:val="21"/>
                    </w:rPr>
                  </w:pPr>
                  <w:r>
                    <w:rPr>
                      <w:rFonts w:hint="eastAsia"/>
                      <w:color w:val="auto"/>
                      <w:szCs w:val="21"/>
                    </w:rPr>
                    <w:t>100</w:t>
                  </w:r>
                </w:p>
              </w:tc>
              <w:tc>
                <w:tcPr>
                  <w:tcW w:w="724" w:type="pct"/>
                  <w:noWrap w:val="0"/>
                  <w:vAlign w:val="center"/>
                </w:tcPr>
                <w:p>
                  <w:pPr>
                    <w:jc w:val="center"/>
                    <w:rPr>
                      <w:color w:val="auto"/>
                      <w:szCs w:val="21"/>
                    </w:rPr>
                  </w:pPr>
                  <w:r>
                    <w:rPr>
                      <w:rFonts w:hint="eastAsia"/>
                      <w:color w:val="auto"/>
                      <w:szCs w:val="21"/>
                    </w:rPr>
                    <w:t>环评提出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3" w:type="pct"/>
                  <w:gridSpan w:val="2"/>
                  <w:vMerge w:val="restart"/>
                  <w:noWrap w:val="0"/>
                  <w:vAlign w:val="center"/>
                </w:tcPr>
                <w:p>
                  <w:pPr>
                    <w:jc w:val="center"/>
                    <w:rPr>
                      <w:color w:val="auto"/>
                      <w:szCs w:val="21"/>
                    </w:rPr>
                  </w:pPr>
                  <w:r>
                    <w:rPr>
                      <w:rFonts w:hint="eastAsia"/>
                      <w:color w:val="auto"/>
                      <w:szCs w:val="21"/>
                    </w:rPr>
                    <w:t>生态恢复</w:t>
                  </w:r>
                </w:p>
              </w:tc>
              <w:tc>
                <w:tcPr>
                  <w:tcW w:w="2567" w:type="pct"/>
                  <w:noWrap w:val="0"/>
                  <w:vAlign w:val="center"/>
                </w:tcPr>
                <w:p>
                  <w:pPr>
                    <w:jc w:val="center"/>
                    <w:rPr>
                      <w:color w:val="auto"/>
                      <w:szCs w:val="21"/>
                    </w:rPr>
                  </w:pPr>
                  <w:r>
                    <w:rPr>
                      <w:color w:val="auto"/>
                      <w:szCs w:val="21"/>
                    </w:rPr>
                    <w:t>绿化</w:t>
                  </w:r>
                  <w:r>
                    <w:rPr>
                      <w:rFonts w:hint="eastAsia"/>
                      <w:color w:val="auto"/>
                      <w:szCs w:val="21"/>
                    </w:rPr>
                    <w:t>面积4</w:t>
                  </w:r>
                  <w:r>
                    <w:rPr>
                      <w:color w:val="auto"/>
                      <w:szCs w:val="21"/>
                    </w:rPr>
                    <w:t>00m</w:t>
                  </w:r>
                  <w:r>
                    <w:rPr>
                      <w:color w:val="auto"/>
                      <w:szCs w:val="21"/>
                      <w:vertAlign w:val="superscript"/>
                    </w:rPr>
                    <w:t>2</w:t>
                  </w:r>
                </w:p>
              </w:tc>
              <w:tc>
                <w:tcPr>
                  <w:tcW w:w="725" w:type="pct"/>
                  <w:noWrap w:val="0"/>
                  <w:vAlign w:val="center"/>
                </w:tcPr>
                <w:p>
                  <w:pPr>
                    <w:jc w:val="center"/>
                    <w:rPr>
                      <w:color w:val="auto"/>
                      <w:szCs w:val="21"/>
                    </w:rPr>
                  </w:pPr>
                  <w:r>
                    <w:rPr>
                      <w:color w:val="auto"/>
                      <w:szCs w:val="21"/>
                    </w:rPr>
                    <w:t>2</w:t>
                  </w:r>
                </w:p>
              </w:tc>
              <w:tc>
                <w:tcPr>
                  <w:tcW w:w="724" w:type="pct"/>
                  <w:noWrap w:val="0"/>
                  <w:vAlign w:val="center"/>
                </w:tcPr>
                <w:p>
                  <w:pPr>
                    <w:jc w:val="center"/>
                    <w:rPr>
                      <w:color w:val="auto"/>
                      <w:szCs w:val="21"/>
                    </w:rPr>
                  </w:pPr>
                  <w:r>
                    <w:rPr>
                      <w:rFonts w:hint="eastAsia"/>
                      <w:color w:val="auto"/>
                      <w:szCs w:val="21"/>
                    </w:rPr>
                    <w:t>主体设计</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3" w:type="pct"/>
                  <w:gridSpan w:val="2"/>
                  <w:vMerge w:val="continue"/>
                  <w:noWrap w:val="0"/>
                  <w:vAlign w:val="center"/>
                </w:tcPr>
                <w:p>
                  <w:pPr>
                    <w:jc w:val="center"/>
                    <w:rPr>
                      <w:color w:val="auto"/>
                      <w:szCs w:val="21"/>
                    </w:rPr>
                  </w:pPr>
                </w:p>
              </w:tc>
              <w:tc>
                <w:tcPr>
                  <w:tcW w:w="2567" w:type="pct"/>
                  <w:noWrap w:val="0"/>
                  <w:vAlign w:val="center"/>
                </w:tcPr>
                <w:p>
                  <w:pPr>
                    <w:jc w:val="center"/>
                    <w:rPr>
                      <w:color w:val="auto"/>
                      <w:szCs w:val="21"/>
                    </w:rPr>
                  </w:pPr>
                  <w:r>
                    <w:rPr>
                      <w:rFonts w:hint="eastAsia"/>
                      <w:color w:val="auto"/>
                      <w:szCs w:val="21"/>
                    </w:rPr>
                    <w:t>生态保护宣传教育</w:t>
                  </w:r>
                </w:p>
              </w:tc>
              <w:tc>
                <w:tcPr>
                  <w:tcW w:w="725" w:type="pct"/>
                  <w:noWrap w:val="0"/>
                  <w:vAlign w:val="center"/>
                </w:tcPr>
                <w:p>
                  <w:pPr>
                    <w:jc w:val="center"/>
                    <w:rPr>
                      <w:color w:val="auto"/>
                      <w:szCs w:val="21"/>
                    </w:rPr>
                  </w:pPr>
                  <w:r>
                    <w:rPr>
                      <w:rFonts w:hint="eastAsia"/>
                      <w:color w:val="auto"/>
                      <w:szCs w:val="21"/>
                    </w:rPr>
                    <w:t>3</w:t>
                  </w:r>
                </w:p>
              </w:tc>
              <w:tc>
                <w:tcPr>
                  <w:tcW w:w="724" w:type="pct"/>
                  <w:noWrap w:val="0"/>
                  <w:vAlign w:val="center"/>
                </w:tcPr>
                <w:p>
                  <w:pPr>
                    <w:jc w:val="center"/>
                    <w:rPr>
                      <w:color w:val="auto"/>
                      <w:szCs w:val="21"/>
                    </w:rPr>
                  </w:pPr>
                  <w:r>
                    <w:rPr>
                      <w:rFonts w:hint="eastAsia"/>
                      <w:color w:val="auto"/>
                      <w:szCs w:val="21"/>
                    </w:rPr>
                    <w:t>环评提出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3" w:type="pct"/>
                  <w:gridSpan w:val="2"/>
                  <w:vMerge w:val="continue"/>
                  <w:noWrap w:val="0"/>
                  <w:vAlign w:val="center"/>
                </w:tcPr>
                <w:p>
                  <w:pPr>
                    <w:jc w:val="center"/>
                    <w:rPr>
                      <w:color w:val="auto"/>
                      <w:szCs w:val="21"/>
                    </w:rPr>
                  </w:pPr>
                </w:p>
              </w:tc>
              <w:tc>
                <w:tcPr>
                  <w:tcW w:w="2567" w:type="pct"/>
                  <w:noWrap w:val="0"/>
                  <w:vAlign w:val="center"/>
                </w:tcPr>
                <w:p>
                  <w:pPr>
                    <w:jc w:val="center"/>
                    <w:rPr>
                      <w:color w:val="auto"/>
                      <w:szCs w:val="21"/>
                    </w:rPr>
                  </w:pPr>
                  <w:r>
                    <w:rPr>
                      <w:rFonts w:hint="eastAsia"/>
                      <w:color w:val="auto"/>
                      <w:szCs w:val="21"/>
                    </w:rPr>
                    <w:t>施工迹地恢复</w:t>
                  </w:r>
                </w:p>
              </w:tc>
              <w:tc>
                <w:tcPr>
                  <w:tcW w:w="725" w:type="pct"/>
                  <w:noWrap w:val="0"/>
                  <w:vAlign w:val="center"/>
                </w:tcPr>
                <w:p>
                  <w:pPr>
                    <w:jc w:val="center"/>
                    <w:rPr>
                      <w:color w:val="auto"/>
                      <w:szCs w:val="21"/>
                    </w:rPr>
                  </w:pPr>
                  <w:r>
                    <w:rPr>
                      <w:rFonts w:hint="eastAsia"/>
                      <w:color w:val="auto"/>
                      <w:szCs w:val="21"/>
                    </w:rPr>
                    <w:t>2</w:t>
                  </w:r>
                  <w:r>
                    <w:rPr>
                      <w:color w:val="auto"/>
                      <w:szCs w:val="21"/>
                    </w:rPr>
                    <w:t>5</w:t>
                  </w:r>
                </w:p>
              </w:tc>
              <w:tc>
                <w:tcPr>
                  <w:tcW w:w="724" w:type="pct"/>
                  <w:noWrap w:val="0"/>
                  <w:vAlign w:val="center"/>
                </w:tcPr>
                <w:p>
                  <w:pPr>
                    <w:jc w:val="center"/>
                    <w:rPr>
                      <w:color w:val="auto"/>
                      <w:szCs w:val="21"/>
                    </w:rPr>
                  </w:pPr>
                  <w:r>
                    <w:rPr>
                      <w:rFonts w:hint="eastAsia"/>
                      <w:color w:val="auto"/>
                      <w:szCs w:val="21"/>
                    </w:rPr>
                    <w:t>环评提出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3" w:type="pct"/>
                  <w:gridSpan w:val="2"/>
                  <w:vMerge w:val="restart"/>
                  <w:noWrap w:val="0"/>
                  <w:vAlign w:val="center"/>
                </w:tcPr>
                <w:p>
                  <w:pPr>
                    <w:jc w:val="center"/>
                    <w:rPr>
                      <w:color w:val="auto"/>
                      <w:szCs w:val="21"/>
                    </w:rPr>
                  </w:pPr>
                  <w:r>
                    <w:rPr>
                      <w:rFonts w:hint="eastAsia"/>
                      <w:color w:val="auto"/>
                      <w:szCs w:val="21"/>
                    </w:rPr>
                    <w:t>环境监测及验收</w:t>
                  </w:r>
                </w:p>
              </w:tc>
              <w:tc>
                <w:tcPr>
                  <w:tcW w:w="2567" w:type="pct"/>
                  <w:noWrap w:val="0"/>
                  <w:vAlign w:val="center"/>
                </w:tcPr>
                <w:p>
                  <w:pPr>
                    <w:jc w:val="center"/>
                    <w:rPr>
                      <w:color w:val="auto"/>
                      <w:szCs w:val="21"/>
                    </w:rPr>
                  </w:pPr>
                  <w:r>
                    <w:rPr>
                      <w:rFonts w:hint="eastAsia"/>
                      <w:color w:val="auto"/>
                      <w:szCs w:val="21"/>
                    </w:rPr>
                    <w:t>施工期环境监理</w:t>
                  </w:r>
                </w:p>
              </w:tc>
              <w:tc>
                <w:tcPr>
                  <w:tcW w:w="725" w:type="pct"/>
                  <w:noWrap w:val="0"/>
                  <w:vAlign w:val="center"/>
                </w:tcPr>
                <w:p>
                  <w:pPr>
                    <w:jc w:val="center"/>
                    <w:rPr>
                      <w:color w:val="auto"/>
                      <w:szCs w:val="21"/>
                    </w:rPr>
                  </w:pPr>
                  <w:r>
                    <w:rPr>
                      <w:rFonts w:hint="eastAsia"/>
                      <w:color w:val="auto"/>
                      <w:szCs w:val="21"/>
                    </w:rPr>
                    <w:t>50</w:t>
                  </w:r>
                </w:p>
              </w:tc>
              <w:tc>
                <w:tcPr>
                  <w:tcW w:w="724" w:type="pct"/>
                  <w:noWrap w:val="0"/>
                  <w:vAlign w:val="center"/>
                </w:tcPr>
                <w:p>
                  <w:pPr>
                    <w:jc w:val="center"/>
                    <w:rPr>
                      <w:color w:val="auto"/>
                      <w:szCs w:val="21"/>
                    </w:rPr>
                  </w:pPr>
                  <w:r>
                    <w:rPr>
                      <w:rFonts w:hint="eastAsia"/>
                      <w:color w:val="auto"/>
                      <w:szCs w:val="21"/>
                    </w:rPr>
                    <w:t>环评提出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3" w:type="pct"/>
                  <w:gridSpan w:val="2"/>
                  <w:vMerge w:val="continue"/>
                  <w:noWrap w:val="0"/>
                  <w:vAlign w:val="center"/>
                </w:tcPr>
                <w:p>
                  <w:pPr>
                    <w:jc w:val="center"/>
                    <w:rPr>
                      <w:rFonts w:hint="eastAsia"/>
                      <w:color w:val="auto"/>
                      <w:szCs w:val="21"/>
                    </w:rPr>
                  </w:pPr>
                </w:p>
              </w:tc>
              <w:tc>
                <w:tcPr>
                  <w:tcW w:w="2567" w:type="pct"/>
                  <w:noWrap w:val="0"/>
                  <w:vAlign w:val="center"/>
                </w:tcPr>
                <w:p>
                  <w:pPr>
                    <w:jc w:val="center"/>
                    <w:rPr>
                      <w:color w:val="auto"/>
                      <w:szCs w:val="21"/>
                    </w:rPr>
                  </w:pPr>
                  <w:r>
                    <w:rPr>
                      <w:rFonts w:hint="eastAsia"/>
                      <w:color w:val="auto"/>
                      <w:szCs w:val="21"/>
                    </w:rPr>
                    <w:t>环境监测</w:t>
                  </w:r>
                </w:p>
              </w:tc>
              <w:tc>
                <w:tcPr>
                  <w:tcW w:w="725" w:type="pct"/>
                  <w:noWrap w:val="0"/>
                  <w:vAlign w:val="center"/>
                </w:tcPr>
                <w:p>
                  <w:pPr>
                    <w:jc w:val="center"/>
                    <w:rPr>
                      <w:color w:val="auto"/>
                      <w:szCs w:val="21"/>
                    </w:rPr>
                  </w:pPr>
                  <w:r>
                    <w:rPr>
                      <w:rFonts w:hint="eastAsia"/>
                      <w:color w:val="auto"/>
                      <w:szCs w:val="21"/>
                    </w:rPr>
                    <w:t>2</w:t>
                  </w:r>
                  <w:r>
                    <w:rPr>
                      <w:color w:val="auto"/>
                      <w:szCs w:val="21"/>
                    </w:rPr>
                    <w:t>0</w:t>
                  </w:r>
                </w:p>
              </w:tc>
              <w:tc>
                <w:tcPr>
                  <w:tcW w:w="724" w:type="pct"/>
                  <w:noWrap w:val="0"/>
                  <w:vAlign w:val="center"/>
                </w:tcPr>
                <w:p>
                  <w:pPr>
                    <w:jc w:val="center"/>
                    <w:rPr>
                      <w:rFonts w:hint="eastAsia"/>
                      <w:color w:val="auto"/>
                      <w:szCs w:val="21"/>
                    </w:rPr>
                  </w:pPr>
                  <w:r>
                    <w:rPr>
                      <w:rFonts w:hint="eastAsia"/>
                      <w:color w:val="auto"/>
                      <w:szCs w:val="21"/>
                    </w:rPr>
                    <w:t>环评提出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3" w:type="pct"/>
                  <w:gridSpan w:val="2"/>
                  <w:vMerge w:val="continue"/>
                  <w:noWrap w:val="0"/>
                  <w:vAlign w:val="center"/>
                </w:tcPr>
                <w:p>
                  <w:pPr>
                    <w:jc w:val="center"/>
                    <w:rPr>
                      <w:color w:val="auto"/>
                      <w:szCs w:val="21"/>
                    </w:rPr>
                  </w:pPr>
                </w:p>
              </w:tc>
              <w:tc>
                <w:tcPr>
                  <w:tcW w:w="2567" w:type="pct"/>
                  <w:noWrap w:val="0"/>
                  <w:vAlign w:val="center"/>
                </w:tcPr>
                <w:p>
                  <w:pPr>
                    <w:jc w:val="center"/>
                    <w:rPr>
                      <w:rFonts w:hint="eastAsia" w:eastAsia="宋体"/>
                      <w:color w:val="auto"/>
                      <w:szCs w:val="21"/>
                      <w:lang w:eastAsia="zh-CN"/>
                    </w:rPr>
                  </w:pPr>
                  <w:r>
                    <w:rPr>
                      <w:rFonts w:hint="eastAsia"/>
                      <w:color w:val="auto"/>
                      <w:szCs w:val="21"/>
                      <w:lang w:val="en-US" w:eastAsia="zh-CN"/>
                    </w:rPr>
                    <w:t>其他</w:t>
                  </w:r>
                </w:p>
              </w:tc>
              <w:tc>
                <w:tcPr>
                  <w:tcW w:w="725" w:type="pct"/>
                  <w:noWrap w:val="0"/>
                  <w:vAlign w:val="center"/>
                </w:tcPr>
                <w:p>
                  <w:pPr>
                    <w:jc w:val="center"/>
                    <w:rPr>
                      <w:rFonts w:hint="default" w:eastAsia="宋体"/>
                      <w:color w:val="auto"/>
                      <w:szCs w:val="21"/>
                      <w:lang w:val="en-US" w:eastAsia="zh-CN"/>
                    </w:rPr>
                  </w:pPr>
                  <w:r>
                    <w:rPr>
                      <w:rFonts w:hint="eastAsia"/>
                      <w:color w:val="auto"/>
                      <w:szCs w:val="21"/>
                      <w:lang w:val="en-US" w:eastAsia="zh-CN"/>
                    </w:rPr>
                    <w:t>50</w:t>
                  </w:r>
                </w:p>
              </w:tc>
              <w:tc>
                <w:tcPr>
                  <w:tcW w:w="724" w:type="pct"/>
                  <w:noWrap w:val="0"/>
                  <w:vAlign w:val="center"/>
                </w:tcPr>
                <w:p>
                  <w:pPr>
                    <w:jc w:val="center"/>
                    <w:rPr>
                      <w:color w:val="auto"/>
                      <w:szCs w:val="21"/>
                    </w:rPr>
                  </w:pPr>
                  <w:r>
                    <w:rPr>
                      <w:rFonts w:hint="eastAsia"/>
                      <w:color w:val="auto"/>
                      <w:szCs w:val="21"/>
                    </w:rPr>
                    <w:t>环评提出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1" w:type="pct"/>
                  <w:gridSpan w:val="3"/>
                  <w:noWrap w:val="0"/>
                  <w:vAlign w:val="center"/>
                </w:tcPr>
                <w:p>
                  <w:pPr>
                    <w:jc w:val="center"/>
                    <w:rPr>
                      <w:rFonts w:hint="eastAsia"/>
                      <w:b/>
                      <w:color w:val="auto"/>
                      <w:szCs w:val="21"/>
                    </w:rPr>
                  </w:pPr>
                  <w:r>
                    <w:rPr>
                      <w:b/>
                      <w:color w:val="auto"/>
                      <w:szCs w:val="21"/>
                    </w:rPr>
                    <w:t>小计</w:t>
                  </w:r>
                </w:p>
              </w:tc>
              <w:tc>
                <w:tcPr>
                  <w:tcW w:w="725" w:type="pct"/>
                  <w:noWrap w:val="0"/>
                  <w:vAlign w:val="center"/>
                </w:tcPr>
                <w:p>
                  <w:pPr>
                    <w:jc w:val="center"/>
                    <w:rPr>
                      <w:rFonts w:hint="default" w:eastAsia="宋体"/>
                      <w:b/>
                      <w:color w:val="auto"/>
                      <w:szCs w:val="21"/>
                      <w:lang w:val="en-US" w:eastAsia="zh-CN"/>
                    </w:rPr>
                  </w:pPr>
                  <w:r>
                    <w:rPr>
                      <w:rFonts w:hint="eastAsia"/>
                      <w:b/>
                      <w:color w:val="auto"/>
                      <w:szCs w:val="21"/>
                      <w:lang w:val="en-US" w:eastAsia="zh-CN"/>
                    </w:rPr>
                    <w:t>1143.64</w:t>
                  </w:r>
                </w:p>
              </w:tc>
              <w:tc>
                <w:tcPr>
                  <w:tcW w:w="724" w:type="pct"/>
                  <w:noWrap w:val="0"/>
                  <w:vAlign w:val="center"/>
                </w:tcPr>
                <w:p>
                  <w:pPr>
                    <w:jc w:val="center"/>
                    <w:rPr>
                      <w:rFonts w:hint="eastAsia"/>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3" w:type="pct"/>
                  <w:gridSpan w:val="2"/>
                  <w:noWrap w:val="0"/>
                  <w:vAlign w:val="center"/>
                </w:tcPr>
                <w:p>
                  <w:pPr>
                    <w:jc w:val="center"/>
                    <w:rPr>
                      <w:color w:val="auto"/>
                      <w:szCs w:val="21"/>
                    </w:rPr>
                  </w:pPr>
                  <w:r>
                    <w:rPr>
                      <w:color w:val="auto"/>
                      <w:szCs w:val="21"/>
                    </w:rPr>
                    <w:t>其它</w:t>
                  </w:r>
                </w:p>
              </w:tc>
              <w:tc>
                <w:tcPr>
                  <w:tcW w:w="2567" w:type="pct"/>
                  <w:noWrap w:val="0"/>
                  <w:vAlign w:val="center"/>
                </w:tcPr>
                <w:p>
                  <w:pPr>
                    <w:jc w:val="center"/>
                    <w:rPr>
                      <w:rFonts w:hint="eastAsia"/>
                      <w:color w:val="auto"/>
                      <w:szCs w:val="21"/>
                    </w:rPr>
                  </w:pPr>
                  <w:r>
                    <w:rPr>
                      <w:rFonts w:hint="eastAsia"/>
                      <w:color w:val="auto"/>
                      <w:szCs w:val="21"/>
                    </w:rPr>
                    <w:t>预备费（上述经费合计费用的5%）</w:t>
                  </w:r>
                </w:p>
              </w:tc>
              <w:tc>
                <w:tcPr>
                  <w:tcW w:w="725" w:type="pct"/>
                  <w:noWrap w:val="0"/>
                  <w:vAlign w:val="center"/>
                </w:tcPr>
                <w:p>
                  <w:pPr>
                    <w:jc w:val="center"/>
                    <w:rPr>
                      <w:rFonts w:hint="default" w:eastAsia="宋体"/>
                      <w:color w:val="auto"/>
                      <w:szCs w:val="21"/>
                      <w:lang w:val="en-US" w:eastAsia="zh-CN"/>
                    </w:rPr>
                  </w:pPr>
                  <w:r>
                    <w:rPr>
                      <w:rFonts w:hint="eastAsia"/>
                      <w:color w:val="auto"/>
                      <w:szCs w:val="21"/>
                      <w:lang w:val="en-US" w:eastAsia="zh-CN"/>
                    </w:rPr>
                    <w:t>57.18</w:t>
                  </w:r>
                </w:p>
              </w:tc>
              <w:tc>
                <w:tcPr>
                  <w:tcW w:w="724" w:type="pct"/>
                  <w:noWrap w:val="0"/>
                  <w:vAlign w:val="center"/>
                </w:tcPr>
                <w:p>
                  <w:pPr>
                    <w:jc w:val="center"/>
                    <w:rPr>
                      <w:rFonts w:hint="eastAsia"/>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3" w:type="pct"/>
                  <w:gridSpan w:val="2"/>
                  <w:noWrap w:val="0"/>
                  <w:vAlign w:val="center"/>
                </w:tcPr>
                <w:p>
                  <w:pPr>
                    <w:jc w:val="center"/>
                    <w:rPr>
                      <w:color w:val="auto"/>
                      <w:szCs w:val="21"/>
                    </w:rPr>
                  </w:pPr>
                  <w:r>
                    <w:rPr>
                      <w:color w:val="auto"/>
                      <w:szCs w:val="21"/>
                    </w:rPr>
                    <w:t>合计</w:t>
                  </w:r>
                </w:p>
              </w:tc>
              <w:tc>
                <w:tcPr>
                  <w:tcW w:w="2567" w:type="pct"/>
                  <w:noWrap w:val="0"/>
                  <w:vAlign w:val="center"/>
                </w:tcPr>
                <w:p>
                  <w:pPr>
                    <w:jc w:val="center"/>
                    <w:rPr>
                      <w:color w:val="auto"/>
                      <w:szCs w:val="21"/>
                    </w:rPr>
                  </w:pPr>
                </w:p>
              </w:tc>
              <w:tc>
                <w:tcPr>
                  <w:tcW w:w="725" w:type="pct"/>
                  <w:noWrap w:val="0"/>
                  <w:vAlign w:val="center"/>
                </w:tcPr>
                <w:p>
                  <w:pPr>
                    <w:jc w:val="center"/>
                    <w:rPr>
                      <w:rFonts w:hint="default" w:eastAsia="宋体"/>
                      <w:color w:val="auto"/>
                      <w:szCs w:val="21"/>
                      <w:highlight w:val="yellow"/>
                      <w:lang w:val="en-US" w:eastAsia="zh-CN"/>
                    </w:rPr>
                  </w:pPr>
                  <w:r>
                    <w:rPr>
                      <w:rFonts w:hint="eastAsia"/>
                      <w:color w:val="auto"/>
                      <w:szCs w:val="21"/>
                      <w:lang w:val="en-US" w:eastAsia="zh-CN"/>
                    </w:rPr>
                    <w:t>1200.82</w:t>
                  </w:r>
                </w:p>
              </w:tc>
              <w:tc>
                <w:tcPr>
                  <w:tcW w:w="724" w:type="pct"/>
                  <w:noWrap w:val="0"/>
                  <w:vAlign w:val="center"/>
                </w:tcPr>
                <w:p>
                  <w:pPr>
                    <w:jc w:val="center"/>
                    <w:rPr>
                      <w:color w:val="auto"/>
                      <w:szCs w:val="21"/>
                    </w:rPr>
                  </w:pPr>
                </w:p>
              </w:tc>
            </w:tr>
          </w:tbl>
          <w:p>
            <w:pPr>
              <w:spacing w:line="360" w:lineRule="auto"/>
              <w:ind w:firstLine="480" w:firstLineChars="200"/>
              <w:jc w:val="both"/>
              <w:rPr>
                <w:rFonts w:hint="eastAsia" w:ascii="Times New Roman" w:hAnsi="Times New Roman" w:eastAsia="宋体" w:cs="Times New Roman"/>
                <w:color w:val="auto"/>
                <w:sz w:val="24"/>
                <w:szCs w:val="22"/>
                <w:lang w:val="en-US" w:eastAsia="zh-CN"/>
              </w:rPr>
            </w:pPr>
          </w:p>
          <w:p>
            <w:pPr>
              <w:spacing w:line="360" w:lineRule="auto"/>
              <w:ind w:firstLine="480" w:firstLineChars="200"/>
              <w:jc w:val="both"/>
              <w:rPr>
                <w:rFonts w:hint="eastAsia" w:ascii="Times New Roman" w:hAnsi="Times New Roman" w:eastAsia="宋体" w:cs="Times New Roman"/>
                <w:color w:val="auto"/>
                <w:sz w:val="24"/>
                <w:szCs w:val="22"/>
                <w:lang w:val="en-US" w:eastAsia="zh-CN"/>
              </w:rPr>
            </w:pPr>
          </w:p>
          <w:p>
            <w:pPr>
              <w:rPr>
                <w:rFonts w:hint="default"/>
                <w:color w:val="auto"/>
                <w:lang w:val="en-US" w:eastAsia="zh-CN"/>
              </w:rPr>
            </w:pPr>
          </w:p>
        </w:tc>
      </w:tr>
    </w:tbl>
    <w:p>
      <w:pPr>
        <w:rPr>
          <w:rFonts w:hint="default"/>
          <w:lang w:val="en-US" w:eastAsia="zh-CN"/>
        </w:rPr>
        <w:sectPr>
          <w:pgSz w:w="11906" w:h="16838"/>
          <w:pgMar w:top="1701" w:right="1531" w:bottom="1701" w:left="1531"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spacing w:before="100" w:beforeAutospacing="1" w:after="100" w:afterAutospacing="1"/>
        <w:jc w:val="center"/>
        <w:outlineLvl w:val="0"/>
        <w:rPr>
          <w:rFonts w:ascii="黑体" w:hAnsi="黑体" w:eastAsia="黑体" w:cs="Times New Roman"/>
          <w:snapToGrid w:val="0"/>
          <w:color w:val="auto"/>
          <w:kern w:val="0"/>
          <w:sz w:val="30"/>
          <w:szCs w:val="30"/>
          <w:lang w:val="en-US" w:eastAsia="zh-CN" w:bidi="ar-SA"/>
        </w:rPr>
      </w:pPr>
      <w:bookmarkStart w:id="24" w:name="_Toc14644"/>
      <w:r>
        <w:rPr>
          <w:rFonts w:hint="eastAsia" w:ascii="黑体" w:hAnsi="黑体" w:eastAsia="黑体" w:cs="Times New Roman"/>
          <w:snapToGrid w:val="0"/>
          <w:color w:val="auto"/>
          <w:kern w:val="0"/>
          <w:sz w:val="30"/>
          <w:szCs w:val="30"/>
          <w:lang w:val="en-US" w:eastAsia="zh-CN" w:bidi="ar-SA"/>
        </w:rPr>
        <w:t>六、生态环境保护措施监督检查清单</w:t>
      </w:r>
      <w:bookmarkEnd w:id="24"/>
    </w:p>
    <w:tbl>
      <w:tblPr>
        <w:tblStyle w:val="18"/>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4574"/>
        <w:gridCol w:w="1960"/>
        <w:gridCol w:w="3851"/>
        <w:gridCol w:w="19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486" w:type="pct"/>
            <w:vMerge w:val="restart"/>
            <w:tcBorders>
              <w:tl2br w:val="single" w:color="auto" w:sz="4" w:space="0"/>
            </w:tcBorders>
            <w:noWrap w:val="0"/>
            <w:vAlign w:val="top"/>
          </w:tcPr>
          <w:p>
            <w:pPr>
              <w:keepNext w:val="0"/>
              <w:keepLines w:val="0"/>
              <w:pageBreakBefore w:val="0"/>
              <w:widowControl/>
              <w:kinsoku/>
              <w:wordWrap w:val="0"/>
              <w:overflowPunct/>
              <w:topLinePunct w:val="0"/>
              <w:autoSpaceDE/>
              <w:autoSpaceDN/>
              <w:bidi w:val="0"/>
              <w:adjustRightInd w:val="0"/>
              <w:snapToGrid w:val="0"/>
              <w:spacing w:beforeAutospacing="0" w:after="0" w:afterAutospacing="0"/>
              <w:jc w:val="center"/>
              <w:textAlignment w:val="auto"/>
              <w:outlineLvl w:val="9"/>
              <w:rPr>
                <w:rFonts w:hint="default" w:ascii="Times New Roman" w:hAnsi="Times New Roman" w:eastAsia="宋体" w:cs="Times New Roman"/>
                <w:color w:val="auto"/>
                <w:kern w:val="2"/>
                <w:sz w:val="21"/>
                <w:szCs w:val="21"/>
                <w:lang w:val="en-US" w:eastAsia="zh-CN" w:bidi="ar-SA"/>
              </w:rPr>
            </w:pPr>
            <w:bookmarkStart w:id="25" w:name="_Toc2024"/>
            <w:bookmarkStart w:id="26" w:name="_Toc80972205"/>
            <w:bookmarkStart w:id="27" w:name="_Toc13251"/>
            <w:bookmarkStart w:id="28" w:name="_Toc15391"/>
            <w:r>
              <w:rPr>
                <w:rFonts w:hint="default" w:ascii="Times New Roman" w:hAnsi="Times New Roman" w:eastAsia="宋体" w:cs="Times New Roman"/>
                <w:color w:val="auto"/>
                <w:kern w:val="2"/>
                <w:sz w:val="21"/>
                <w:szCs w:val="21"/>
                <w:lang w:val="en-US" w:eastAsia="zh-CN" w:bidi="ar-SA"/>
              </w:rPr>
              <w:t>内容</w:t>
            </w:r>
            <w:bookmarkEnd w:id="25"/>
            <w:bookmarkEnd w:id="26"/>
            <w:bookmarkEnd w:id="27"/>
            <w:bookmarkEnd w:id="28"/>
          </w:p>
          <w:p>
            <w:pPr>
              <w:keepNext w:val="0"/>
              <w:keepLines w:val="0"/>
              <w:pageBreakBefore w:val="0"/>
              <w:widowControl/>
              <w:kinsoku/>
              <w:wordWrap w:val="0"/>
              <w:overflowPunct/>
              <w:topLinePunct w:val="0"/>
              <w:autoSpaceDE/>
              <w:autoSpaceDN/>
              <w:bidi w:val="0"/>
              <w:adjustRightInd w:val="0"/>
              <w:snapToGrid w:val="0"/>
              <w:spacing w:beforeAutospacing="0" w:after="0" w:afterAutospacing="0"/>
              <w:jc w:val="left"/>
              <w:textAlignment w:val="auto"/>
              <w:outlineLvl w:val="9"/>
              <w:rPr>
                <w:rFonts w:hint="default" w:ascii="Times New Roman" w:hAnsi="Times New Roman" w:eastAsia="宋体" w:cs="Times New Roman"/>
                <w:color w:val="auto"/>
                <w:kern w:val="2"/>
                <w:sz w:val="21"/>
                <w:szCs w:val="21"/>
                <w:lang w:val="en-US" w:eastAsia="zh-CN" w:bidi="ar-SA"/>
              </w:rPr>
            </w:pPr>
            <w:bookmarkStart w:id="29" w:name="_Toc2391"/>
            <w:bookmarkStart w:id="30" w:name="_Toc1226"/>
            <w:bookmarkStart w:id="31" w:name="_Toc80972206"/>
            <w:bookmarkStart w:id="32" w:name="_Toc15362"/>
            <w:r>
              <w:rPr>
                <w:rFonts w:hint="default" w:ascii="Times New Roman" w:hAnsi="Times New Roman" w:eastAsia="宋体" w:cs="Times New Roman"/>
                <w:color w:val="auto"/>
                <w:kern w:val="2"/>
                <w:sz w:val="21"/>
                <w:szCs w:val="21"/>
                <w:lang w:val="en-US" w:eastAsia="zh-CN" w:bidi="ar-SA"/>
              </w:rPr>
              <w:t>要素</w:t>
            </w:r>
            <w:bookmarkEnd w:id="29"/>
            <w:bookmarkEnd w:id="30"/>
            <w:bookmarkEnd w:id="31"/>
            <w:bookmarkEnd w:id="32"/>
          </w:p>
        </w:tc>
        <w:tc>
          <w:tcPr>
            <w:tcW w:w="2393" w:type="pct"/>
            <w:gridSpan w:val="2"/>
            <w:noWrap w:val="0"/>
            <w:vAlign w:val="center"/>
          </w:tcPr>
          <w:p>
            <w:pPr>
              <w:keepNext w:val="0"/>
              <w:keepLines w:val="0"/>
              <w:pageBreakBefore w:val="0"/>
              <w:widowControl/>
              <w:kinsoku/>
              <w:wordWrap w:val="0"/>
              <w:overflowPunct/>
              <w:topLinePunct w:val="0"/>
              <w:autoSpaceDE/>
              <w:autoSpaceDN/>
              <w:bidi w:val="0"/>
              <w:adjustRightInd w:val="0"/>
              <w:snapToGrid w:val="0"/>
              <w:spacing w:beforeAutospacing="0" w:after="0" w:afterAutospacing="0"/>
              <w:jc w:val="center"/>
              <w:textAlignment w:val="auto"/>
              <w:outlineLvl w:val="9"/>
              <w:rPr>
                <w:rFonts w:hint="default" w:ascii="Times New Roman" w:hAnsi="Times New Roman" w:eastAsia="宋体" w:cs="Times New Roman"/>
                <w:color w:val="auto"/>
                <w:kern w:val="2"/>
                <w:sz w:val="21"/>
                <w:szCs w:val="21"/>
                <w:lang w:val="en-US" w:eastAsia="zh-CN" w:bidi="ar-SA"/>
              </w:rPr>
            </w:pPr>
            <w:bookmarkStart w:id="33" w:name="_Toc3701"/>
            <w:bookmarkStart w:id="34" w:name="_Toc5219"/>
            <w:bookmarkStart w:id="35" w:name="_Toc80972207"/>
            <w:bookmarkStart w:id="36" w:name="_Toc9955"/>
            <w:r>
              <w:rPr>
                <w:rFonts w:hint="default" w:ascii="Times New Roman" w:hAnsi="Times New Roman" w:eastAsia="宋体" w:cs="Times New Roman"/>
                <w:color w:val="auto"/>
                <w:kern w:val="2"/>
                <w:sz w:val="21"/>
                <w:szCs w:val="21"/>
                <w:lang w:val="en-US" w:eastAsia="zh-CN" w:bidi="ar-SA"/>
              </w:rPr>
              <w:t>施工期</w:t>
            </w:r>
            <w:bookmarkEnd w:id="33"/>
            <w:bookmarkEnd w:id="34"/>
            <w:bookmarkEnd w:id="35"/>
            <w:bookmarkEnd w:id="36"/>
          </w:p>
        </w:tc>
        <w:tc>
          <w:tcPr>
            <w:tcW w:w="2119" w:type="pct"/>
            <w:gridSpan w:val="2"/>
            <w:noWrap w:val="0"/>
            <w:vAlign w:val="center"/>
          </w:tcPr>
          <w:p>
            <w:pPr>
              <w:keepNext w:val="0"/>
              <w:keepLines w:val="0"/>
              <w:pageBreakBefore w:val="0"/>
              <w:widowControl/>
              <w:kinsoku/>
              <w:wordWrap w:val="0"/>
              <w:overflowPunct/>
              <w:topLinePunct w:val="0"/>
              <w:autoSpaceDE/>
              <w:autoSpaceDN/>
              <w:bidi w:val="0"/>
              <w:adjustRightInd w:val="0"/>
              <w:snapToGrid w:val="0"/>
              <w:spacing w:beforeAutospacing="0" w:after="0" w:afterAutospacing="0"/>
              <w:jc w:val="center"/>
              <w:textAlignment w:val="auto"/>
              <w:outlineLvl w:val="9"/>
              <w:rPr>
                <w:rFonts w:hint="default" w:ascii="Times New Roman" w:hAnsi="Times New Roman" w:eastAsia="宋体" w:cs="Times New Roman"/>
                <w:color w:val="auto"/>
                <w:kern w:val="2"/>
                <w:sz w:val="21"/>
                <w:szCs w:val="21"/>
                <w:lang w:val="en-US" w:eastAsia="zh-CN" w:bidi="ar-SA"/>
              </w:rPr>
            </w:pPr>
            <w:bookmarkStart w:id="37" w:name="_Toc19821"/>
            <w:bookmarkStart w:id="38" w:name="_Toc16019"/>
            <w:bookmarkStart w:id="39" w:name="_Toc23385"/>
            <w:bookmarkStart w:id="40" w:name="_Toc80972208"/>
            <w:r>
              <w:rPr>
                <w:rFonts w:hint="default" w:ascii="Times New Roman" w:hAnsi="Times New Roman" w:eastAsia="宋体" w:cs="Times New Roman"/>
                <w:color w:val="auto"/>
                <w:kern w:val="2"/>
                <w:sz w:val="21"/>
                <w:szCs w:val="21"/>
                <w:lang w:val="en-US" w:eastAsia="zh-CN" w:bidi="ar-SA"/>
              </w:rPr>
              <w:t>运营期</w:t>
            </w:r>
            <w:bookmarkEnd w:id="37"/>
            <w:bookmarkEnd w:id="38"/>
            <w:bookmarkEnd w:id="39"/>
            <w:bookmarkEnd w:id="4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486" w:type="pct"/>
            <w:vMerge w:val="continue"/>
            <w:noWrap w:val="0"/>
            <w:vAlign w:val="top"/>
          </w:tcPr>
          <w:p>
            <w:pPr>
              <w:keepNext w:val="0"/>
              <w:keepLines w:val="0"/>
              <w:pageBreakBefore w:val="0"/>
              <w:widowControl/>
              <w:kinsoku/>
              <w:wordWrap w:val="0"/>
              <w:overflowPunct/>
              <w:topLinePunct w:val="0"/>
              <w:autoSpaceDE/>
              <w:autoSpaceDN/>
              <w:bidi w:val="0"/>
              <w:adjustRightInd w:val="0"/>
              <w:snapToGrid w:val="0"/>
              <w:spacing w:beforeAutospacing="0" w:after="0" w:afterAutospacing="0"/>
              <w:ind w:firstLine="840"/>
              <w:jc w:val="center"/>
              <w:textAlignment w:val="auto"/>
              <w:outlineLvl w:val="9"/>
              <w:rPr>
                <w:rFonts w:hint="default" w:ascii="Times New Roman" w:hAnsi="Times New Roman" w:eastAsia="宋体" w:cs="Times New Roman"/>
                <w:color w:val="auto"/>
                <w:kern w:val="2"/>
                <w:sz w:val="21"/>
                <w:szCs w:val="21"/>
                <w:lang w:val="en-US" w:eastAsia="zh-CN" w:bidi="ar-SA"/>
              </w:rPr>
            </w:pPr>
          </w:p>
        </w:tc>
        <w:tc>
          <w:tcPr>
            <w:tcW w:w="1675" w:type="pct"/>
            <w:noWrap w:val="0"/>
            <w:vAlign w:val="center"/>
          </w:tcPr>
          <w:p>
            <w:pPr>
              <w:keepNext w:val="0"/>
              <w:keepLines w:val="0"/>
              <w:pageBreakBefore w:val="0"/>
              <w:widowControl/>
              <w:kinsoku/>
              <w:wordWrap w:val="0"/>
              <w:overflowPunct/>
              <w:topLinePunct w:val="0"/>
              <w:autoSpaceDE/>
              <w:autoSpaceDN/>
              <w:bidi w:val="0"/>
              <w:adjustRightInd w:val="0"/>
              <w:snapToGrid w:val="0"/>
              <w:spacing w:beforeAutospacing="0" w:after="0" w:afterAutospacing="0"/>
              <w:jc w:val="center"/>
              <w:textAlignment w:val="auto"/>
              <w:outlineLvl w:val="9"/>
              <w:rPr>
                <w:rFonts w:hint="default" w:ascii="Times New Roman" w:hAnsi="Times New Roman" w:eastAsia="宋体" w:cs="Times New Roman"/>
                <w:color w:val="auto"/>
                <w:kern w:val="2"/>
                <w:sz w:val="21"/>
                <w:szCs w:val="21"/>
                <w:lang w:val="en-US" w:eastAsia="zh-CN" w:bidi="ar-SA"/>
              </w:rPr>
            </w:pPr>
            <w:bookmarkStart w:id="41" w:name="_Toc80972209"/>
            <w:bookmarkStart w:id="42" w:name="_Toc19867"/>
            <w:bookmarkStart w:id="43" w:name="_Toc1274"/>
            <w:bookmarkStart w:id="44" w:name="_Toc9674"/>
            <w:r>
              <w:rPr>
                <w:rFonts w:hint="default" w:ascii="Times New Roman" w:hAnsi="Times New Roman" w:eastAsia="宋体" w:cs="Times New Roman"/>
                <w:color w:val="auto"/>
                <w:kern w:val="2"/>
                <w:sz w:val="21"/>
                <w:szCs w:val="21"/>
                <w:lang w:val="en-US" w:eastAsia="zh-CN" w:bidi="ar-SA"/>
              </w:rPr>
              <w:t>环境保护措施</w:t>
            </w:r>
            <w:bookmarkEnd w:id="41"/>
            <w:bookmarkEnd w:id="42"/>
            <w:bookmarkEnd w:id="43"/>
            <w:bookmarkEnd w:id="44"/>
          </w:p>
        </w:tc>
        <w:tc>
          <w:tcPr>
            <w:tcW w:w="718" w:type="pct"/>
            <w:noWrap w:val="0"/>
            <w:vAlign w:val="center"/>
          </w:tcPr>
          <w:p>
            <w:pPr>
              <w:keepNext w:val="0"/>
              <w:keepLines w:val="0"/>
              <w:pageBreakBefore w:val="0"/>
              <w:widowControl/>
              <w:kinsoku/>
              <w:wordWrap w:val="0"/>
              <w:overflowPunct/>
              <w:topLinePunct w:val="0"/>
              <w:autoSpaceDE/>
              <w:autoSpaceDN/>
              <w:bidi w:val="0"/>
              <w:adjustRightInd w:val="0"/>
              <w:snapToGrid w:val="0"/>
              <w:spacing w:beforeAutospacing="0" w:after="0" w:afterAutospacing="0"/>
              <w:jc w:val="center"/>
              <w:textAlignment w:val="auto"/>
              <w:outlineLvl w:val="9"/>
              <w:rPr>
                <w:rFonts w:hint="default" w:ascii="Times New Roman" w:hAnsi="Times New Roman" w:eastAsia="宋体" w:cs="Times New Roman"/>
                <w:color w:val="auto"/>
                <w:kern w:val="2"/>
                <w:sz w:val="21"/>
                <w:szCs w:val="21"/>
                <w:lang w:val="en-US" w:eastAsia="zh-CN" w:bidi="ar-SA"/>
              </w:rPr>
            </w:pPr>
            <w:bookmarkStart w:id="45" w:name="_Toc8529"/>
            <w:bookmarkStart w:id="46" w:name="_Toc25367"/>
            <w:bookmarkStart w:id="47" w:name="_Toc80972210"/>
            <w:bookmarkStart w:id="48" w:name="_Toc1552"/>
            <w:r>
              <w:rPr>
                <w:rFonts w:hint="default" w:ascii="Times New Roman" w:hAnsi="Times New Roman" w:eastAsia="宋体" w:cs="Times New Roman"/>
                <w:color w:val="auto"/>
                <w:kern w:val="2"/>
                <w:sz w:val="21"/>
                <w:szCs w:val="21"/>
                <w:lang w:val="en-US" w:eastAsia="zh-CN" w:bidi="ar-SA"/>
              </w:rPr>
              <w:t>验收要求</w:t>
            </w:r>
            <w:bookmarkEnd w:id="45"/>
            <w:bookmarkEnd w:id="46"/>
            <w:bookmarkEnd w:id="47"/>
            <w:bookmarkEnd w:id="48"/>
          </w:p>
        </w:tc>
        <w:tc>
          <w:tcPr>
            <w:tcW w:w="1410" w:type="pct"/>
            <w:noWrap w:val="0"/>
            <w:vAlign w:val="center"/>
          </w:tcPr>
          <w:p>
            <w:pPr>
              <w:keepNext w:val="0"/>
              <w:keepLines w:val="0"/>
              <w:pageBreakBefore w:val="0"/>
              <w:widowControl/>
              <w:kinsoku/>
              <w:wordWrap w:val="0"/>
              <w:overflowPunct/>
              <w:topLinePunct w:val="0"/>
              <w:autoSpaceDE/>
              <w:autoSpaceDN/>
              <w:bidi w:val="0"/>
              <w:adjustRightInd w:val="0"/>
              <w:snapToGrid w:val="0"/>
              <w:spacing w:beforeAutospacing="0" w:after="0" w:afterAutospacing="0"/>
              <w:jc w:val="center"/>
              <w:textAlignment w:val="auto"/>
              <w:outlineLvl w:val="9"/>
              <w:rPr>
                <w:rFonts w:hint="default" w:ascii="Times New Roman" w:hAnsi="Times New Roman" w:eastAsia="宋体" w:cs="Times New Roman"/>
                <w:color w:val="auto"/>
                <w:kern w:val="2"/>
                <w:sz w:val="21"/>
                <w:szCs w:val="21"/>
                <w:lang w:val="en-US" w:eastAsia="zh-CN" w:bidi="ar-SA"/>
              </w:rPr>
            </w:pPr>
            <w:bookmarkStart w:id="49" w:name="_Toc80972211"/>
            <w:bookmarkStart w:id="50" w:name="_Toc20449"/>
            <w:bookmarkStart w:id="51" w:name="_Toc5014"/>
            <w:bookmarkStart w:id="52" w:name="_Toc22732"/>
            <w:r>
              <w:rPr>
                <w:rFonts w:hint="default" w:ascii="Times New Roman" w:hAnsi="Times New Roman" w:eastAsia="宋体" w:cs="Times New Roman"/>
                <w:color w:val="auto"/>
                <w:kern w:val="2"/>
                <w:sz w:val="21"/>
                <w:szCs w:val="21"/>
                <w:lang w:val="en-US" w:eastAsia="zh-CN" w:bidi="ar-SA"/>
              </w:rPr>
              <w:t>环境保护措施</w:t>
            </w:r>
            <w:bookmarkEnd w:id="49"/>
            <w:bookmarkEnd w:id="50"/>
            <w:bookmarkEnd w:id="51"/>
            <w:bookmarkEnd w:id="52"/>
          </w:p>
        </w:tc>
        <w:tc>
          <w:tcPr>
            <w:tcW w:w="708" w:type="pct"/>
            <w:noWrap w:val="0"/>
            <w:vAlign w:val="center"/>
          </w:tcPr>
          <w:p>
            <w:pPr>
              <w:keepNext w:val="0"/>
              <w:keepLines w:val="0"/>
              <w:pageBreakBefore w:val="0"/>
              <w:widowControl/>
              <w:kinsoku/>
              <w:wordWrap w:val="0"/>
              <w:overflowPunct/>
              <w:topLinePunct w:val="0"/>
              <w:autoSpaceDE/>
              <w:autoSpaceDN/>
              <w:bidi w:val="0"/>
              <w:adjustRightInd w:val="0"/>
              <w:snapToGrid w:val="0"/>
              <w:spacing w:beforeAutospacing="0" w:after="0" w:afterAutospacing="0"/>
              <w:jc w:val="center"/>
              <w:textAlignment w:val="auto"/>
              <w:outlineLvl w:val="9"/>
              <w:rPr>
                <w:rFonts w:hint="default" w:ascii="Times New Roman" w:hAnsi="Times New Roman" w:eastAsia="宋体" w:cs="Times New Roman"/>
                <w:color w:val="auto"/>
                <w:kern w:val="2"/>
                <w:sz w:val="21"/>
                <w:szCs w:val="21"/>
                <w:lang w:val="en-US" w:eastAsia="zh-CN" w:bidi="ar-SA"/>
              </w:rPr>
            </w:pPr>
            <w:bookmarkStart w:id="53" w:name="_Toc30250"/>
            <w:bookmarkStart w:id="54" w:name="_Toc28004"/>
            <w:bookmarkStart w:id="55" w:name="_Toc9312"/>
            <w:bookmarkStart w:id="56" w:name="_Toc80972212"/>
            <w:r>
              <w:rPr>
                <w:rFonts w:hint="default" w:ascii="Times New Roman" w:hAnsi="Times New Roman" w:eastAsia="宋体" w:cs="Times New Roman"/>
                <w:color w:val="auto"/>
                <w:kern w:val="2"/>
                <w:sz w:val="21"/>
                <w:szCs w:val="21"/>
                <w:lang w:val="en-US" w:eastAsia="zh-CN" w:bidi="ar-SA"/>
              </w:rPr>
              <w:t>验收要求</w:t>
            </w:r>
            <w:bookmarkEnd w:id="53"/>
            <w:bookmarkEnd w:id="54"/>
            <w:bookmarkEnd w:id="55"/>
            <w:bookmarkEnd w:id="5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486"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陆生生态</w:t>
            </w:r>
          </w:p>
        </w:tc>
        <w:tc>
          <w:tcPr>
            <w:tcW w:w="4574" w:type="dxa"/>
            <w:noWrap w:val="0"/>
            <w:vAlign w:val="center"/>
          </w:tcPr>
          <w:p>
            <w:pPr>
              <w:adjustRightInd w:val="0"/>
              <w:snapToGrid w:val="0"/>
              <w:rPr>
                <w:rFonts w:hint="default" w:ascii="Times New Roman" w:hAnsi="Times New Roman" w:eastAsia="宋体" w:cs="Times New Roman"/>
                <w:color w:val="auto"/>
                <w:szCs w:val="21"/>
              </w:rPr>
            </w:pPr>
            <w:r>
              <w:rPr>
                <w:rFonts w:hint="eastAsia"/>
                <w:color w:val="auto"/>
                <w:sz w:val="18"/>
                <w:szCs w:val="18"/>
              </w:rPr>
              <w:t>严格控制施工范围，减少施工扰动；加强施工人员管理，杜绝杜绝乱砍乱伐、盗伐、偷猎；严格落实水保措施；施工结束及时完成临时设施拆除、场地清理及植被恢复；及时完成农林光复合工程。</w:t>
            </w:r>
          </w:p>
        </w:tc>
        <w:tc>
          <w:tcPr>
            <w:tcW w:w="1960" w:type="dxa"/>
            <w:noWrap w:val="0"/>
            <w:vAlign w:val="center"/>
          </w:tcPr>
          <w:p>
            <w:pPr>
              <w:adjustRightInd w:val="0"/>
              <w:snapToGrid w:val="0"/>
              <w:rPr>
                <w:rFonts w:hint="default" w:ascii="Times New Roman" w:hAnsi="Times New Roman" w:eastAsia="宋体" w:cs="Times New Roman"/>
                <w:color w:val="auto"/>
                <w:szCs w:val="21"/>
              </w:rPr>
            </w:pPr>
            <w:r>
              <w:rPr>
                <w:rFonts w:hint="eastAsia"/>
                <w:color w:val="auto"/>
                <w:sz w:val="18"/>
                <w:szCs w:val="18"/>
              </w:rPr>
              <w:t>不占生态环境敏感区；不破坏施工用地范围之外植被；无滥砍乱伐、盗猎现象；施工迹地无临时建构筑物及垃圾等残留；完成植被恢复措施；农林光互补工程及时实施；达到水保控制目标</w:t>
            </w:r>
          </w:p>
        </w:tc>
        <w:tc>
          <w:tcPr>
            <w:tcW w:w="3851" w:type="dxa"/>
            <w:noWrap w:val="0"/>
            <w:vAlign w:val="center"/>
          </w:tcPr>
          <w:p>
            <w:pPr>
              <w:adjustRightInd w:val="0"/>
              <w:snapToGrid w:val="0"/>
              <w:rPr>
                <w:rFonts w:hint="default" w:ascii="Times New Roman" w:hAnsi="Times New Roman" w:eastAsia="宋体" w:cs="Times New Roman"/>
                <w:color w:val="auto"/>
                <w:szCs w:val="21"/>
              </w:rPr>
            </w:pPr>
            <w:r>
              <w:rPr>
                <w:rFonts w:hint="eastAsia"/>
                <w:color w:val="auto"/>
                <w:sz w:val="18"/>
                <w:szCs w:val="18"/>
              </w:rPr>
              <w:t>农林光互补及生态修复工程科学养护；施工迹地植被封育；升压站绿化。</w:t>
            </w:r>
          </w:p>
        </w:tc>
        <w:tc>
          <w:tcPr>
            <w:tcW w:w="1933" w:type="dxa"/>
            <w:noWrap w:val="0"/>
            <w:vAlign w:val="center"/>
          </w:tcPr>
          <w:p>
            <w:pPr>
              <w:adjustRightInd w:val="0"/>
              <w:snapToGrid w:val="0"/>
              <w:rPr>
                <w:rFonts w:hint="default" w:ascii="Times New Roman" w:hAnsi="Times New Roman" w:eastAsia="宋体" w:cs="Times New Roman"/>
                <w:color w:val="auto"/>
                <w:szCs w:val="21"/>
              </w:rPr>
            </w:pPr>
            <w:r>
              <w:rPr>
                <w:rFonts w:hint="eastAsia"/>
                <w:color w:val="auto"/>
                <w:sz w:val="18"/>
                <w:szCs w:val="18"/>
              </w:rPr>
              <w:t>光伏场区农林光互补工程生长良好，生态环境基本恢复；施工迹地植被恢复良好；升压站完成绿化及硬化，无裸露地表；未引入外来入侵物种。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6"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水生生态</w:t>
            </w:r>
          </w:p>
        </w:tc>
        <w:tc>
          <w:tcPr>
            <w:tcW w:w="1675" w:type="pct"/>
            <w:noWrap w:val="0"/>
            <w:vAlign w:val="center"/>
          </w:tcPr>
          <w:p>
            <w:pPr>
              <w:adjustRightInd w:val="0"/>
              <w:snapToGrid w:val="0"/>
              <w:jc w:val="center"/>
              <w:rPr>
                <w:rFonts w:hint="default" w:ascii="Times New Roman" w:hAnsi="Times New Roman" w:eastAsia="宋体" w:cs="Times New Roman"/>
                <w:color w:val="auto"/>
                <w:szCs w:val="21"/>
              </w:rPr>
            </w:pPr>
            <w:r>
              <w:rPr>
                <w:rFonts w:hint="eastAsia"/>
                <w:color w:val="auto"/>
                <w:szCs w:val="21"/>
              </w:rPr>
              <w:t>/</w:t>
            </w:r>
          </w:p>
        </w:tc>
        <w:tc>
          <w:tcPr>
            <w:tcW w:w="718" w:type="pct"/>
            <w:noWrap w:val="0"/>
            <w:vAlign w:val="center"/>
          </w:tcPr>
          <w:p>
            <w:pPr>
              <w:adjustRightInd w:val="0"/>
              <w:snapToGrid w:val="0"/>
              <w:jc w:val="center"/>
              <w:rPr>
                <w:rFonts w:hint="default" w:ascii="Times New Roman" w:hAnsi="Times New Roman" w:eastAsia="宋体" w:cs="Times New Roman"/>
                <w:color w:val="auto"/>
                <w:szCs w:val="21"/>
              </w:rPr>
            </w:pPr>
            <w:r>
              <w:rPr>
                <w:rFonts w:hint="eastAsia"/>
                <w:color w:val="auto"/>
                <w:szCs w:val="21"/>
              </w:rPr>
              <w:t>/</w:t>
            </w:r>
          </w:p>
        </w:tc>
        <w:tc>
          <w:tcPr>
            <w:tcW w:w="1410" w:type="pct"/>
            <w:noWrap w:val="0"/>
            <w:vAlign w:val="center"/>
          </w:tcPr>
          <w:p>
            <w:pPr>
              <w:adjustRightInd w:val="0"/>
              <w:snapToGrid w:val="0"/>
              <w:jc w:val="center"/>
              <w:rPr>
                <w:rFonts w:hint="default" w:ascii="Times New Roman" w:hAnsi="Times New Roman" w:eastAsia="宋体" w:cs="Times New Roman"/>
                <w:color w:val="auto"/>
                <w:szCs w:val="21"/>
              </w:rPr>
            </w:pPr>
            <w:r>
              <w:rPr>
                <w:rFonts w:hint="eastAsia"/>
                <w:color w:val="auto"/>
                <w:szCs w:val="21"/>
              </w:rPr>
              <w:t>/</w:t>
            </w:r>
          </w:p>
        </w:tc>
        <w:tc>
          <w:tcPr>
            <w:tcW w:w="708" w:type="pct"/>
            <w:noWrap w:val="0"/>
            <w:vAlign w:val="center"/>
          </w:tcPr>
          <w:p>
            <w:pPr>
              <w:adjustRightInd w:val="0"/>
              <w:snapToGrid w:val="0"/>
              <w:jc w:val="center"/>
              <w:rPr>
                <w:rFonts w:hint="default" w:ascii="Times New Roman" w:hAnsi="Times New Roman" w:eastAsia="宋体" w:cs="Times New Roman"/>
                <w:color w:val="auto"/>
                <w:szCs w:val="21"/>
              </w:rPr>
            </w:pP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86"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地表水环境</w:t>
            </w:r>
          </w:p>
        </w:tc>
        <w:tc>
          <w:tcPr>
            <w:tcW w:w="1675"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firstLineChars="0"/>
              <w:textAlignment w:val="auto"/>
              <w:rPr>
                <w:rFonts w:hint="eastAsia" w:ascii="Times New Roman" w:hAnsi="Times New Roman" w:eastAsia="宋体" w:cs="Times New Roman"/>
                <w:i w:val="0"/>
                <w:color w:val="auto"/>
                <w:sz w:val="21"/>
                <w:lang w:val="en-US" w:eastAsia="zh-CN"/>
              </w:rPr>
            </w:pPr>
            <w:r>
              <w:rPr>
                <w:rFonts w:hint="eastAsia" w:ascii="Times New Roman" w:hAnsi="Times New Roman" w:eastAsia="宋体" w:cs="Times New Roman"/>
                <w:i w:val="0"/>
                <w:color w:val="auto"/>
                <w:sz w:val="21"/>
                <w:lang w:val="en-US" w:eastAsia="zh-CN"/>
              </w:rPr>
              <w:t>1、施工营地各设置1个旱厕，施工人员生活排污进入旱厕收集。食堂排水设隔油池预处理后，与其它洗漱废水设沉淀池沉淀，全部回用于洒水降尘及灌草植被浇洒，不外排。</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firstLineChars="0"/>
              <w:textAlignment w:val="auto"/>
              <w:rPr>
                <w:rFonts w:hint="eastAsia" w:ascii="Times New Roman" w:hAnsi="Times New Roman" w:eastAsia="宋体" w:cs="Times New Roman"/>
                <w:i w:val="0"/>
                <w:color w:val="auto"/>
                <w:sz w:val="21"/>
                <w:lang w:val="en-US" w:eastAsia="zh-CN"/>
              </w:rPr>
            </w:pPr>
            <w:r>
              <w:rPr>
                <w:rFonts w:hint="eastAsia" w:ascii="Times New Roman" w:hAnsi="Times New Roman" w:eastAsia="宋体" w:cs="Times New Roman"/>
                <w:i w:val="0"/>
                <w:color w:val="auto"/>
                <w:sz w:val="21"/>
                <w:lang w:val="en-US" w:eastAsia="zh-CN"/>
              </w:rPr>
              <w:t>2、各施工作业区设置临时沉淀池，施工废水收集后经中和、澄清处理，回用于混凝土养护、车辆、设备清洗和场地洒水降尘等环节，不外排。</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firstLineChars="0"/>
              <w:textAlignment w:val="auto"/>
              <w:rPr>
                <w:rFonts w:hint="eastAsia" w:ascii="Times New Roman" w:hAnsi="Times New Roman" w:eastAsia="宋体" w:cs="Times New Roman"/>
                <w:i w:val="0"/>
                <w:color w:val="auto"/>
                <w:sz w:val="21"/>
                <w:lang w:val="en-US" w:eastAsia="zh-CN"/>
              </w:rPr>
            </w:pPr>
            <w:r>
              <w:rPr>
                <w:rFonts w:hint="eastAsia" w:ascii="Times New Roman" w:hAnsi="Times New Roman" w:eastAsia="宋体" w:cs="Times New Roman"/>
                <w:i w:val="0"/>
                <w:color w:val="auto"/>
                <w:sz w:val="21"/>
                <w:lang w:val="en-US" w:eastAsia="zh-CN"/>
              </w:rPr>
              <w:t>3、初期雨水：施工前沿各光伏场区顶部设置截洪沟、底部设置截排水沟，沿升压站四周、施工临时营场地周边设置截排水沟，各沟渠末端设置沉淀池，施工过程中产生的地表径流经临时排水沟引入沉淀池沉淀处理后，可回用于施工过程及场地洒水降尘，回用不完的部分再顺流至附近自然沟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firstLineChars="0"/>
              <w:textAlignment w:val="auto"/>
              <w:rPr>
                <w:rFonts w:hint="eastAsia" w:ascii="Times New Roman" w:hAnsi="Times New Roman" w:eastAsia="宋体" w:cs="Times New Roman"/>
                <w:i w:val="0"/>
                <w:color w:val="auto"/>
                <w:sz w:val="21"/>
                <w:lang w:val="en-US" w:eastAsia="zh-CN"/>
              </w:rPr>
            </w:pPr>
            <w:r>
              <w:rPr>
                <w:rFonts w:hint="eastAsia" w:ascii="Times New Roman" w:hAnsi="Times New Roman" w:eastAsia="宋体" w:cs="Times New Roman"/>
                <w:i w:val="0"/>
                <w:color w:val="auto"/>
                <w:sz w:val="21"/>
                <w:lang w:val="en-US" w:eastAsia="zh-CN"/>
              </w:rPr>
              <w:t>4、加强管理，做好机械维修保养，物料防雨。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宋体" w:cs="Times New Roman"/>
                <w:i w:val="0"/>
                <w:color w:val="auto"/>
                <w:sz w:val="21"/>
                <w:lang w:val="en-US" w:eastAsia="zh-CN"/>
              </w:rPr>
            </w:pPr>
            <w:r>
              <w:rPr>
                <w:rFonts w:hint="eastAsia" w:ascii="Times New Roman" w:hAnsi="Times New Roman" w:eastAsia="宋体" w:cs="Times New Roman"/>
                <w:i w:val="0"/>
                <w:color w:val="auto"/>
                <w:sz w:val="21"/>
                <w:lang w:val="en-US" w:eastAsia="zh-CN"/>
              </w:rPr>
              <w:t>5、保持山溪沟渠通畅，不得占用河道。</w:t>
            </w:r>
          </w:p>
        </w:tc>
        <w:tc>
          <w:tcPr>
            <w:tcW w:w="718"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宋体" w:cs="Times New Roman"/>
                <w:i w:val="0"/>
                <w:color w:val="auto"/>
                <w:sz w:val="21"/>
                <w:lang w:val="en-US" w:eastAsia="zh-CN"/>
              </w:rPr>
            </w:pPr>
            <w:r>
              <w:rPr>
                <w:rFonts w:hint="eastAsia" w:ascii="Times New Roman" w:hAnsi="Times New Roman" w:eastAsia="宋体" w:cs="Times New Roman"/>
                <w:i w:val="0"/>
                <w:color w:val="auto"/>
                <w:sz w:val="21"/>
                <w:lang w:val="en-US" w:eastAsia="zh-CN"/>
              </w:rPr>
              <w:t>施工生产生活废水全部收集处理后回用，不外排，未发生大的水土流失，未对下游河流水质造成污染。</w:t>
            </w:r>
          </w:p>
        </w:tc>
        <w:tc>
          <w:tcPr>
            <w:tcW w:w="141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宋体" w:cs="Times New Roman"/>
                <w:i w:val="0"/>
                <w:color w:val="auto"/>
                <w:sz w:val="21"/>
                <w:lang w:val="en-US" w:eastAsia="zh-CN"/>
              </w:rPr>
            </w:pPr>
            <w:r>
              <w:rPr>
                <w:rFonts w:hint="eastAsia" w:ascii="Times New Roman" w:hAnsi="Times New Roman" w:eastAsia="宋体" w:cs="Times New Roman"/>
                <w:i w:val="0"/>
                <w:color w:val="auto"/>
                <w:sz w:val="21"/>
                <w:lang w:val="en-US" w:eastAsia="zh-CN"/>
              </w:rPr>
              <w:t>升压站实行雨污分流，综合楼食堂排水口设置1个有效容积1m3的不锈钢成品隔油池、生活区设置1个有效容积6m3的玻璃钢成品化粪池，配套一套处理能力5m3/d的“接触氧化+MBR膜工艺”一体化污水处理系统，设置1个容积8m3的回用水池。食堂废水经隔油池隔油、其他生活污水经化粪池预处理后，送入污水处理系统，处理达《城市污水再生利用 城市杂用水水质》（GB/T18920-2020）中绿化标准，全部回用于升压站内绿化。</w:t>
            </w:r>
          </w:p>
        </w:tc>
        <w:tc>
          <w:tcPr>
            <w:tcW w:w="708"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宋体" w:cs="Times New Roman"/>
                <w:i w:val="0"/>
                <w:color w:val="auto"/>
                <w:sz w:val="21"/>
                <w:lang w:val="en-US" w:eastAsia="zh-CN"/>
              </w:rPr>
            </w:pPr>
            <w:r>
              <w:rPr>
                <w:rFonts w:hint="eastAsia" w:ascii="Times New Roman" w:hAnsi="Times New Roman" w:eastAsia="宋体" w:cs="Times New Roman"/>
                <w:i w:val="0"/>
                <w:color w:val="auto"/>
                <w:sz w:val="21"/>
                <w:lang w:val="en-US" w:eastAsia="zh-CN"/>
              </w:rPr>
              <w:t>生活污水全部收集，出水达到《城市污水再生利用 城市杂用水水质》（GB/T18920 - 2020）中绿化标准，全部回用不直排地表水体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6"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地下水及土壤环境</w:t>
            </w:r>
          </w:p>
        </w:tc>
        <w:tc>
          <w:tcPr>
            <w:tcW w:w="4574" w:type="dxa"/>
            <w:noWrap w:val="0"/>
            <w:vAlign w:val="center"/>
          </w:tcPr>
          <w:p>
            <w:pPr>
              <w:adjustRightInd w:val="0"/>
              <w:snapToGrid w:val="0"/>
              <w:jc w:val="center"/>
              <w:rPr>
                <w:rFonts w:hint="default" w:ascii="Times New Roman" w:hAnsi="Times New Roman" w:eastAsia="宋体" w:cs="Times New Roman"/>
                <w:color w:val="auto"/>
                <w:szCs w:val="21"/>
              </w:rPr>
            </w:pPr>
            <w:r>
              <w:rPr>
                <w:rFonts w:hint="eastAsia"/>
                <w:color w:val="auto"/>
                <w:szCs w:val="21"/>
              </w:rPr>
              <w:t>/</w:t>
            </w:r>
          </w:p>
        </w:tc>
        <w:tc>
          <w:tcPr>
            <w:tcW w:w="1960" w:type="dxa"/>
            <w:noWrap w:val="0"/>
            <w:vAlign w:val="center"/>
          </w:tcPr>
          <w:p>
            <w:pPr>
              <w:adjustRightInd w:val="0"/>
              <w:snapToGrid w:val="0"/>
              <w:jc w:val="center"/>
              <w:rPr>
                <w:rFonts w:hint="default" w:ascii="Times New Roman" w:hAnsi="Times New Roman" w:eastAsia="宋体" w:cs="Times New Roman"/>
                <w:color w:val="auto"/>
                <w:szCs w:val="21"/>
              </w:rPr>
            </w:pPr>
            <w:r>
              <w:rPr>
                <w:rFonts w:hint="eastAsia"/>
                <w:color w:val="auto"/>
                <w:szCs w:val="21"/>
              </w:rPr>
              <w:t>/</w:t>
            </w:r>
          </w:p>
        </w:tc>
        <w:tc>
          <w:tcPr>
            <w:tcW w:w="3851" w:type="dxa"/>
            <w:noWrap w:val="0"/>
            <w:vAlign w:val="center"/>
          </w:tcPr>
          <w:p>
            <w:pPr>
              <w:adjustRightInd w:val="0"/>
              <w:snapToGrid w:val="0"/>
              <w:rPr>
                <w:rFonts w:hint="default" w:ascii="Times New Roman" w:hAnsi="Times New Roman" w:eastAsia="宋体" w:cs="Times New Roman"/>
                <w:color w:val="auto"/>
                <w:szCs w:val="21"/>
              </w:rPr>
            </w:pPr>
            <w:r>
              <w:rPr>
                <w:rFonts w:hint="eastAsia"/>
                <w:color w:val="auto"/>
                <w:szCs w:val="21"/>
              </w:rPr>
              <w:t>升压站集油坑、事故油池、润滑油品库、危废暂存间以及光伏场区箱变事故油池进行重点防渗处理，化粪池、污水处理系统进行一般防渗。</w:t>
            </w:r>
          </w:p>
        </w:tc>
        <w:tc>
          <w:tcPr>
            <w:tcW w:w="1933" w:type="dxa"/>
            <w:noWrap w:val="0"/>
            <w:vAlign w:val="center"/>
          </w:tcPr>
          <w:p>
            <w:pPr>
              <w:adjustRightInd w:val="0"/>
              <w:snapToGrid w:val="0"/>
              <w:rPr>
                <w:rFonts w:hint="default" w:ascii="Times New Roman" w:hAnsi="Times New Roman" w:eastAsia="宋体" w:cs="Times New Roman"/>
                <w:color w:val="auto"/>
                <w:szCs w:val="21"/>
              </w:rPr>
            </w:pPr>
            <w:r>
              <w:rPr>
                <w:rFonts w:hint="eastAsia"/>
                <w:color w:val="auto"/>
                <w:szCs w:val="21"/>
              </w:rPr>
              <w:t>保留防渗施工影像资料及记录等。重点防渗区达到等效黏土防渗层Mb≥6m，K≤1×10</w:t>
            </w:r>
            <w:r>
              <w:rPr>
                <w:rFonts w:hint="eastAsia"/>
                <w:color w:val="auto"/>
                <w:szCs w:val="21"/>
                <w:vertAlign w:val="superscript"/>
              </w:rPr>
              <w:t>-7</w:t>
            </w:r>
            <w:r>
              <w:rPr>
                <w:rFonts w:hint="eastAsia"/>
                <w:color w:val="auto"/>
                <w:szCs w:val="21"/>
              </w:rPr>
              <w:t>cm/s。一般防渗区达到等效黏土防渗层Mb≥1.5m，K≤1×10</w:t>
            </w:r>
            <w:r>
              <w:rPr>
                <w:rFonts w:hint="eastAsia"/>
                <w:color w:val="auto"/>
                <w:szCs w:val="21"/>
                <w:vertAlign w:val="superscript"/>
              </w:rPr>
              <w:t>-7</w:t>
            </w:r>
            <w:r>
              <w:rPr>
                <w:rFonts w:hint="eastAsia"/>
                <w:color w:val="auto"/>
                <w:szCs w:val="21"/>
              </w:rPr>
              <w:t>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486"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声环境</w:t>
            </w:r>
          </w:p>
        </w:tc>
        <w:tc>
          <w:tcPr>
            <w:tcW w:w="1675" w:type="pct"/>
            <w:noWrap w:val="0"/>
            <w:vAlign w:val="center"/>
          </w:tcPr>
          <w:p>
            <w:pPr>
              <w:adjustRightInd w:val="0"/>
              <w:snapToGrid w:val="0"/>
              <w:rPr>
                <w:rFonts w:hint="default" w:ascii="Times New Roman" w:hAnsi="Times New Roman" w:eastAsia="宋体" w:cs="Times New Roman"/>
                <w:color w:val="auto"/>
                <w:kern w:val="2"/>
                <w:sz w:val="24"/>
                <w:szCs w:val="21"/>
                <w:lang w:val="en-US" w:eastAsia="zh-CN" w:bidi="ar-SA"/>
              </w:rPr>
            </w:pPr>
            <w:r>
              <w:rPr>
                <w:rFonts w:hint="eastAsia"/>
                <w:color w:val="auto"/>
                <w:szCs w:val="21"/>
              </w:rPr>
              <w:t>合理安排施工作业时间；</w:t>
            </w:r>
            <w:r>
              <w:rPr>
                <w:color w:val="auto"/>
                <w:szCs w:val="21"/>
              </w:rPr>
              <w:t>对强噪声设备进行隔声减振处理</w:t>
            </w:r>
            <w:r>
              <w:rPr>
                <w:rFonts w:hint="eastAsia"/>
                <w:color w:val="auto"/>
                <w:szCs w:val="21"/>
              </w:rPr>
              <w:t>；靠近居民区一带设置临时隔声屏障。</w:t>
            </w:r>
          </w:p>
        </w:tc>
        <w:tc>
          <w:tcPr>
            <w:tcW w:w="718" w:type="pct"/>
            <w:noWrap w:val="0"/>
            <w:vAlign w:val="center"/>
          </w:tcPr>
          <w:p>
            <w:pPr>
              <w:adjustRightInd w:val="0"/>
              <w:snapToGrid w:val="0"/>
              <w:rPr>
                <w:rFonts w:hint="default" w:ascii="Times New Roman" w:hAnsi="Times New Roman" w:eastAsia="宋体" w:cs="Times New Roman"/>
                <w:color w:val="auto"/>
                <w:szCs w:val="21"/>
              </w:rPr>
            </w:pPr>
            <w:r>
              <w:rPr>
                <w:rFonts w:hint="eastAsia"/>
                <w:color w:val="auto"/>
                <w:szCs w:val="21"/>
              </w:rPr>
              <w:t>噪声满足</w:t>
            </w:r>
            <w:r>
              <w:rPr>
                <w:color w:val="auto"/>
                <w:szCs w:val="21"/>
              </w:rPr>
              <w:t>《建筑施工场界环境噪声排放标准》</w:t>
            </w:r>
            <w:r>
              <w:rPr>
                <w:rFonts w:hint="eastAsia"/>
                <w:color w:val="auto"/>
                <w:szCs w:val="21"/>
              </w:rPr>
              <w:t>的要求；未发生施工扰民现象。</w:t>
            </w:r>
          </w:p>
        </w:tc>
        <w:tc>
          <w:tcPr>
            <w:tcW w:w="1410" w:type="pct"/>
            <w:noWrap w:val="0"/>
            <w:vAlign w:val="center"/>
          </w:tcPr>
          <w:p>
            <w:pPr>
              <w:adjustRightInd w:val="0"/>
              <w:snapToGrid w:val="0"/>
              <w:rPr>
                <w:rFonts w:hint="default" w:ascii="Times New Roman" w:hAnsi="Times New Roman" w:eastAsia="宋体" w:cs="Times New Roman"/>
                <w:color w:val="auto"/>
                <w:szCs w:val="21"/>
              </w:rPr>
            </w:pPr>
            <w:r>
              <w:rPr>
                <w:rFonts w:hint="eastAsia"/>
                <w:color w:val="auto"/>
                <w:szCs w:val="21"/>
              </w:rPr>
              <w:t>选用低噪声设备，采取阻尼减震、隔声措施，加强场区绿化，定期进行</w:t>
            </w:r>
            <w:r>
              <w:rPr>
                <w:color w:val="auto"/>
                <w:szCs w:val="21"/>
              </w:rPr>
              <w:t>设备维护</w:t>
            </w:r>
            <w:r>
              <w:rPr>
                <w:rFonts w:hint="eastAsia"/>
                <w:color w:val="auto"/>
                <w:szCs w:val="21"/>
              </w:rPr>
              <w:t>。</w:t>
            </w:r>
          </w:p>
        </w:tc>
        <w:tc>
          <w:tcPr>
            <w:tcW w:w="708" w:type="pct"/>
            <w:noWrap w:val="0"/>
            <w:vAlign w:val="center"/>
          </w:tcPr>
          <w:p>
            <w:pPr>
              <w:adjustRightInd w:val="0"/>
              <w:snapToGrid w:val="0"/>
              <w:rPr>
                <w:rFonts w:hint="default" w:ascii="Times New Roman" w:hAnsi="Times New Roman" w:eastAsia="宋体" w:cs="Times New Roman"/>
                <w:color w:val="auto"/>
                <w:szCs w:val="21"/>
              </w:rPr>
            </w:pPr>
            <w:r>
              <w:rPr>
                <w:color w:val="auto"/>
                <w:szCs w:val="21"/>
              </w:rPr>
              <w:t>厂界噪声达GB12348-2008《工业企业厂界环境噪声排放标准》2类标准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486"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振动</w:t>
            </w:r>
          </w:p>
        </w:tc>
        <w:tc>
          <w:tcPr>
            <w:tcW w:w="1675" w:type="pct"/>
            <w:noWrap w:val="0"/>
            <w:vAlign w:val="center"/>
          </w:tcPr>
          <w:p>
            <w:pPr>
              <w:keepNext w:val="0"/>
              <w:keepLines w:val="0"/>
              <w:pageBreakBefore w:val="0"/>
              <w:kinsoku/>
              <w:wordWrap w:val="0"/>
              <w:overflowPunct/>
              <w:topLinePunct w:val="0"/>
              <w:autoSpaceDE/>
              <w:autoSpaceDN/>
              <w:bidi w:val="0"/>
              <w:adjustRightInd w:val="0"/>
              <w:snapToGrid w:val="0"/>
              <w:ind w:left="0" w:leftChars="0" w:right="0" w:rightChars="0" w:firstLine="0" w:firstLineChars="0"/>
              <w:jc w:val="center"/>
              <w:textAlignment w:val="auto"/>
              <w:outlineLvl w:val="9"/>
              <w:rPr>
                <w:rFonts w:hint="default" w:ascii="Times New Roman" w:hAnsi="Times New Roman" w:eastAsia="宋体" w:cs="Times New Roman"/>
                <w:color w:val="auto"/>
                <w:szCs w:val="21"/>
              </w:rPr>
            </w:pPr>
            <w:r>
              <w:rPr>
                <w:rFonts w:hint="eastAsia"/>
                <w:color w:val="auto"/>
                <w:szCs w:val="21"/>
              </w:rPr>
              <w:t>/</w:t>
            </w:r>
          </w:p>
        </w:tc>
        <w:tc>
          <w:tcPr>
            <w:tcW w:w="718" w:type="pct"/>
            <w:noWrap w:val="0"/>
            <w:vAlign w:val="center"/>
          </w:tcPr>
          <w:p>
            <w:pPr>
              <w:keepNext w:val="0"/>
              <w:keepLines w:val="0"/>
              <w:pageBreakBefore w:val="0"/>
              <w:kinsoku/>
              <w:wordWrap w:val="0"/>
              <w:overflowPunct/>
              <w:topLinePunct w:val="0"/>
              <w:autoSpaceDE/>
              <w:autoSpaceDN/>
              <w:bidi w:val="0"/>
              <w:adjustRightInd w:val="0"/>
              <w:snapToGrid w:val="0"/>
              <w:ind w:left="0" w:leftChars="0" w:right="0" w:rightChars="0" w:firstLine="0" w:firstLineChars="0"/>
              <w:jc w:val="center"/>
              <w:textAlignment w:val="auto"/>
              <w:outlineLvl w:val="9"/>
              <w:rPr>
                <w:rFonts w:hint="default" w:ascii="Times New Roman" w:hAnsi="Times New Roman" w:eastAsia="宋体" w:cs="Times New Roman"/>
                <w:color w:val="auto"/>
                <w:szCs w:val="21"/>
              </w:rPr>
            </w:pPr>
            <w:r>
              <w:rPr>
                <w:rFonts w:hint="eastAsia"/>
                <w:color w:val="auto"/>
                <w:szCs w:val="21"/>
              </w:rPr>
              <w:t>/</w:t>
            </w:r>
          </w:p>
        </w:tc>
        <w:tc>
          <w:tcPr>
            <w:tcW w:w="1410" w:type="pct"/>
            <w:noWrap w:val="0"/>
            <w:vAlign w:val="center"/>
          </w:tcPr>
          <w:p>
            <w:pPr>
              <w:keepNext w:val="0"/>
              <w:keepLines w:val="0"/>
              <w:pageBreakBefore w:val="0"/>
              <w:kinsoku/>
              <w:wordWrap w:val="0"/>
              <w:overflowPunct/>
              <w:topLinePunct w:val="0"/>
              <w:autoSpaceDE/>
              <w:autoSpaceDN/>
              <w:bidi w:val="0"/>
              <w:ind w:left="0" w:leftChars="0" w:right="0" w:rightChars="0" w:firstLine="0" w:firstLineChars="0"/>
              <w:jc w:val="center"/>
              <w:textAlignment w:val="auto"/>
              <w:outlineLvl w:val="9"/>
              <w:rPr>
                <w:rFonts w:hint="default" w:ascii="Times New Roman" w:hAnsi="Times New Roman" w:eastAsia="宋体" w:cs="Times New Roman"/>
                <w:color w:val="auto"/>
                <w:szCs w:val="21"/>
              </w:rPr>
            </w:pPr>
            <w:r>
              <w:rPr>
                <w:rFonts w:hint="eastAsia"/>
                <w:color w:val="auto"/>
                <w:szCs w:val="21"/>
              </w:rPr>
              <w:t>/</w:t>
            </w:r>
          </w:p>
        </w:tc>
        <w:tc>
          <w:tcPr>
            <w:tcW w:w="708" w:type="pct"/>
            <w:noWrap w:val="0"/>
            <w:vAlign w:val="center"/>
          </w:tcPr>
          <w:p>
            <w:pPr>
              <w:keepNext w:val="0"/>
              <w:keepLines w:val="0"/>
              <w:pageBreakBefore w:val="0"/>
              <w:kinsoku/>
              <w:wordWrap w:val="0"/>
              <w:overflowPunct/>
              <w:topLinePunct w:val="0"/>
              <w:autoSpaceDE/>
              <w:autoSpaceDN/>
              <w:bidi w:val="0"/>
              <w:adjustRightInd w:val="0"/>
              <w:snapToGrid w:val="0"/>
              <w:ind w:left="0" w:leftChars="0" w:right="0" w:rightChars="0" w:firstLine="0" w:firstLineChars="0"/>
              <w:jc w:val="center"/>
              <w:textAlignment w:val="auto"/>
              <w:outlineLvl w:val="9"/>
              <w:rPr>
                <w:rFonts w:hint="default" w:ascii="Times New Roman" w:hAnsi="Times New Roman" w:eastAsia="宋体" w:cs="Times New Roman"/>
                <w:color w:val="auto"/>
                <w:szCs w:val="21"/>
              </w:rPr>
            </w:pP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86"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大气环境</w:t>
            </w:r>
          </w:p>
        </w:tc>
        <w:tc>
          <w:tcPr>
            <w:tcW w:w="1675" w:type="pct"/>
            <w:noWrap w:val="0"/>
            <w:vAlign w:val="center"/>
          </w:tcPr>
          <w:p>
            <w:pPr>
              <w:adjustRightInd w:val="0"/>
              <w:snapToGrid w:val="0"/>
              <w:rPr>
                <w:rFonts w:hint="default" w:ascii="Times New Roman" w:hAnsi="Times New Roman" w:eastAsia="宋体" w:cs="Times New Roman"/>
                <w:color w:val="auto"/>
                <w:kern w:val="2"/>
                <w:sz w:val="24"/>
                <w:szCs w:val="21"/>
                <w:lang w:val="en-US" w:eastAsia="zh-CN" w:bidi="ar-SA"/>
              </w:rPr>
            </w:pPr>
            <w:r>
              <w:rPr>
                <w:rFonts w:hint="eastAsia"/>
                <w:color w:val="auto"/>
                <w:szCs w:val="21"/>
              </w:rPr>
              <w:t>采用商品混凝土；施工场地设临时围挡防护措施；湿法作业、洒水降尘；建筑材料通过袋装、遮挡覆盖等防尘；封闭运输；保持出场车辆清洁、运输道路清洁；临时土石方堆存适当压实覆盖遮挡；加强设备及运输车辆维护保养。</w:t>
            </w:r>
          </w:p>
        </w:tc>
        <w:tc>
          <w:tcPr>
            <w:tcW w:w="718" w:type="pct"/>
            <w:noWrap w:val="0"/>
            <w:vAlign w:val="center"/>
          </w:tcPr>
          <w:p>
            <w:pPr>
              <w:adjustRightInd w:val="0"/>
              <w:snapToGrid w:val="0"/>
              <w:rPr>
                <w:rFonts w:hint="default" w:ascii="Times New Roman" w:hAnsi="Times New Roman" w:eastAsia="宋体" w:cs="Times New Roman"/>
                <w:color w:val="auto"/>
                <w:szCs w:val="21"/>
              </w:rPr>
            </w:pPr>
            <w:r>
              <w:rPr>
                <w:color w:val="auto"/>
                <w:szCs w:val="21"/>
              </w:rPr>
              <w:t>施工</w:t>
            </w:r>
            <w:r>
              <w:rPr>
                <w:rFonts w:hint="eastAsia"/>
                <w:color w:val="auto"/>
                <w:szCs w:val="21"/>
              </w:rPr>
              <w:t>扬尘达到</w:t>
            </w:r>
            <w:r>
              <w:rPr>
                <w:color w:val="auto"/>
                <w:szCs w:val="21"/>
              </w:rPr>
              <w:t>《大气污染物综合排放标准》（GB16297-1996）</w:t>
            </w:r>
            <w:r>
              <w:rPr>
                <w:rFonts w:hint="eastAsia"/>
                <w:color w:val="auto"/>
                <w:szCs w:val="21"/>
              </w:rPr>
              <w:t>要求</w:t>
            </w:r>
          </w:p>
        </w:tc>
        <w:tc>
          <w:tcPr>
            <w:tcW w:w="1410" w:type="pct"/>
            <w:noWrap w:val="0"/>
            <w:vAlign w:val="center"/>
          </w:tcPr>
          <w:p>
            <w:pPr>
              <w:adjustRightInd w:val="0"/>
              <w:snapToGrid w:val="0"/>
              <w:rPr>
                <w:rFonts w:hint="default" w:ascii="Times New Roman" w:hAnsi="Times New Roman" w:eastAsia="宋体" w:cs="Times New Roman"/>
                <w:color w:val="auto"/>
                <w:szCs w:val="21"/>
              </w:rPr>
            </w:pPr>
            <w:r>
              <w:rPr>
                <w:rFonts w:hint="eastAsia"/>
                <w:color w:val="auto"/>
                <w:szCs w:val="21"/>
              </w:rPr>
              <w:t>升压站内</w:t>
            </w:r>
            <w:r>
              <w:rPr>
                <w:color w:val="auto"/>
                <w:szCs w:val="21"/>
              </w:rPr>
              <w:t>使用清洁能源，</w:t>
            </w:r>
            <w:r>
              <w:rPr>
                <w:rFonts w:hint="eastAsia"/>
                <w:color w:val="auto"/>
                <w:szCs w:val="21"/>
              </w:rPr>
              <w:t>食堂设置有烟抽牌及净化系统，处理效率不低于6</w:t>
            </w:r>
            <w:r>
              <w:rPr>
                <w:color w:val="auto"/>
                <w:szCs w:val="21"/>
              </w:rPr>
              <w:t>0%</w:t>
            </w:r>
            <w:r>
              <w:rPr>
                <w:rFonts w:hint="eastAsia"/>
                <w:color w:val="auto"/>
                <w:szCs w:val="21"/>
              </w:rPr>
              <w:t>，处理后的</w:t>
            </w:r>
            <w:r>
              <w:rPr>
                <w:color w:val="auto"/>
                <w:kern w:val="0"/>
                <w:szCs w:val="21"/>
              </w:rPr>
              <w:t>油烟</w:t>
            </w:r>
            <w:r>
              <w:rPr>
                <w:rFonts w:hint="eastAsia"/>
                <w:color w:val="auto"/>
                <w:kern w:val="0"/>
                <w:szCs w:val="21"/>
              </w:rPr>
              <w:t>通高于屋顶</w:t>
            </w:r>
            <w:r>
              <w:rPr>
                <w:color w:val="auto"/>
                <w:kern w:val="0"/>
                <w:szCs w:val="21"/>
              </w:rPr>
              <w:t>3</w:t>
            </w:r>
            <w:r>
              <w:rPr>
                <w:rFonts w:hint="eastAsia"/>
                <w:color w:val="auto"/>
                <w:kern w:val="0"/>
                <w:szCs w:val="21"/>
              </w:rPr>
              <w:t>m的排气装置排放。</w:t>
            </w:r>
          </w:p>
        </w:tc>
        <w:tc>
          <w:tcPr>
            <w:tcW w:w="708" w:type="pct"/>
            <w:noWrap w:val="0"/>
            <w:vAlign w:val="center"/>
          </w:tcPr>
          <w:p>
            <w:pPr>
              <w:adjustRightInd w:val="0"/>
              <w:snapToGrid w:val="0"/>
              <w:rPr>
                <w:rFonts w:hint="default" w:ascii="Times New Roman" w:hAnsi="Times New Roman" w:eastAsia="宋体" w:cs="Times New Roman"/>
                <w:color w:val="auto"/>
                <w:szCs w:val="21"/>
              </w:rPr>
            </w:pPr>
            <w:r>
              <w:rPr>
                <w:rFonts w:hint="eastAsia"/>
                <w:color w:val="auto"/>
                <w:szCs w:val="21"/>
              </w:rPr>
              <w:t>油烟排放达到</w:t>
            </w:r>
            <w:r>
              <w:rPr>
                <w:color w:val="auto"/>
                <w:szCs w:val="21"/>
              </w:rPr>
              <w:t>《饮食业油烟排放标准》（GB18483-2001）表2</w:t>
            </w:r>
            <w:r>
              <w:rPr>
                <w:rFonts w:hint="eastAsia"/>
                <w:color w:val="auto"/>
                <w:szCs w:val="21"/>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486"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固体废物</w:t>
            </w:r>
          </w:p>
        </w:tc>
        <w:tc>
          <w:tcPr>
            <w:tcW w:w="1675" w:type="pct"/>
            <w:noWrap w:val="0"/>
            <w:vAlign w:val="center"/>
          </w:tcPr>
          <w:p>
            <w:pPr>
              <w:adjustRightInd w:val="0"/>
              <w:snapToGrid w:val="0"/>
              <w:rPr>
                <w:color w:val="auto"/>
                <w:szCs w:val="21"/>
              </w:rPr>
            </w:pPr>
            <w:r>
              <w:rPr>
                <w:rFonts w:hint="eastAsia"/>
                <w:color w:val="auto"/>
                <w:szCs w:val="21"/>
              </w:rPr>
              <w:t>1、弃渣：开挖土石方尽量场内回用；弃渣场规范化设置，做好弃渣堆存挡护，施工结束后及时覆土恢复植被；</w:t>
            </w:r>
          </w:p>
          <w:p>
            <w:pPr>
              <w:adjustRightInd w:val="0"/>
              <w:snapToGrid w:val="0"/>
              <w:rPr>
                <w:color w:val="auto"/>
                <w:szCs w:val="21"/>
              </w:rPr>
            </w:pPr>
            <w:r>
              <w:rPr>
                <w:color w:val="auto"/>
                <w:szCs w:val="21"/>
              </w:rPr>
              <w:t>2</w:t>
            </w:r>
            <w:r>
              <w:rPr>
                <w:rFonts w:hint="eastAsia"/>
                <w:color w:val="auto"/>
                <w:szCs w:val="21"/>
              </w:rPr>
              <w:t>、</w:t>
            </w:r>
            <w:r>
              <w:rPr>
                <w:color w:val="auto"/>
                <w:szCs w:val="21"/>
              </w:rPr>
              <w:t>建筑垃圾</w:t>
            </w:r>
            <w:r>
              <w:rPr>
                <w:rFonts w:hint="eastAsia"/>
                <w:color w:val="auto"/>
                <w:szCs w:val="21"/>
              </w:rPr>
              <w:t>：尽量分类回收利用，利用不完的送渣场统一堆存压填</w:t>
            </w:r>
            <w:r>
              <w:rPr>
                <w:color w:val="auto"/>
                <w:szCs w:val="21"/>
              </w:rPr>
              <w:t>。</w:t>
            </w:r>
          </w:p>
          <w:p>
            <w:pPr>
              <w:adjustRightInd w:val="0"/>
              <w:snapToGrid w:val="0"/>
              <w:rPr>
                <w:color w:val="auto"/>
                <w:szCs w:val="21"/>
              </w:rPr>
            </w:pPr>
            <w:r>
              <w:rPr>
                <w:rFonts w:hint="eastAsia"/>
                <w:color w:val="auto"/>
                <w:szCs w:val="21"/>
              </w:rPr>
              <w:t>3、</w:t>
            </w:r>
            <w:r>
              <w:rPr>
                <w:color w:val="auto"/>
                <w:szCs w:val="21"/>
              </w:rPr>
              <w:t>生活垃圾</w:t>
            </w:r>
            <w:r>
              <w:rPr>
                <w:rFonts w:hint="eastAsia"/>
                <w:color w:val="auto"/>
                <w:szCs w:val="21"/>
              </w:rPr>
              <w:t>：设垃圾桶集中收集，</w:t>
            </w:r>
            <w:r>
              <w:rPr>
                <w:color w:val="auto"/>
                <w:szCs w:val="21"/>
              </w:rPr>
              <w:t>日产日清</w:t>
            </w:r>
            <w:r>
              <w:rPr>
                <w:rFonts w:hint="eastAsia"/>
                <w:color w:val="auto"/>
                <w:szCs w:val="21"/>
              </w:rPr>
              <w:t>送周边村庄垃圾集中收集点统一处置。</w:t>
            </w:r>
          </w:p>
          <w:p>
            <w:pPr>
              <w:adjustRightInd w:val="0"/>
              <w:snapToGrid w:val="0"/>
              <w:rPr>
                <w:color w:val="auto"/>
                <w:szCs w:val="21"/>
              </w:rPr>
            </w:pPr>
            <w:r>
              <w:rPr>
                <w:color w:val="auto"/>
                <w:szCs w:val="21"/>
              </w:rPr>
              <w:t>4</w:t>
            </w:r>
            <w:r>
              <w:rPr>
                <w:rFonts w:hint="eastAsia"/>
                <w:color w:val="auto"/>
                <w:szCs w:val="21"/>
              </w:rPr>
              <w:t>、污泥：旱厕定期</w:t>
            </w:r>
            <w:r>
              <w:rPr>
                <w:color w:val="auto"/>
                <w:szCs w:val="21"/>
              </w:rPr>
              <w:t>清掏</w:t>
            </w:r>
            <w:r>
              <w:rPr>
                <w:rFonts w:hint="eastAsia"/>
                <w:color w:val="auto"/>
                <w:szCs w:val="21"/>
              </w:rPr>
              <w:t>用于周围绿化施肥。</w:t>
            </w:r>
          </w:p>
          <w:p>
            <w:pPr>
              <w:adjustRightInd w:val="0"/>
              <w:snapToGrid w:val="0"/>
              <w:rPr>
                <w:rFonts w:hint="default" w:ascii="Times New Roman" w:hAnsi="Times New Roman" w:eastAsia="宋体" w:cs="Times New Roman"/>
                <w:color w:val="auto"/>
                <w:szCs w:val="21"/>
              </w:rPr>
            </w:pPr>
            <w:r>
              <w:rPr>
                <w:rFonts w:hint="eastAsia"/>
                <w:color w:val="auto"/>
                <w:szCs w:val="21"/>
              </w:rPr>
              <w:t>5、</w:t>
            </w:r>
            <w:r>
              <w:rPr>
                <w:color w:val="auto"/>
                <w:szCs w:val="21"/>
              </w:rPr>
              <w:t>临时</w:t>
            </w:r>
            <w:r>
              <w:rPr>
                <w:rFonts w:hint="eastAsia"/>
                <w:color w:val="auto"/>
                <w:szCs w:val="21"/>
              </w:rPr>
              <w:t>堆</w:t>
            </w:r>
            <w:r>
              <w:rPr>
                <w:color w:val="auto"/>
                <w:szCs w:val="21"/>
              </w:rPr>
              <w:t>土</w:t>
            </w:r>
            <w:r>
              <w:rPr>
                <w:rFonts w:hint="eastAsia"/>
                <w:color w:val="auto"/>
                <w:szCs w:val="21"/>
              </w:rPr>
              <w:t>：送入临时堆土场集中堆存，先挡后堆，做好水土流失防治。</w:t>
            </w:r>
          </w:p>
        </w:tc>
        <w:tc>
          <w:tcPr>
            <w:tcW w:w="718" w:type="pct"/>
            <w:noWrap w:val="0"/>
            <w:vAlign w:val="center"/>
          </w:tcPr>
          <w:p>
            <w:pPr>
              <w:adjustRightInd w:val="0"/>
              <w:snapToGrid w:val="0"/>
              <w:rPr>
                <w:rFonts w:hint="default" w:ascii="Times New Roman" w:hAnsi="Times New Roman" w:eastAsia="宋体" w:cs="Times New Roman"/>
                <w:color w:val="auto"/>
                <w:szCs w:val="21"/>
              </w:rPr>
            </w:pPr>
            <w:r>
              <w:rPr>
                <w:color w:val="auto"/>
                <w:szCs w:val="21"/>
              </w:rPr>
              <w:t>固废处置率100%</w:t>
            </w:r>
          </w:p>
        </w:tc>
        <w:tc>
          <w:tcPr>
            <w:tcW w:w="1410" w:type="pct"/>
            <w:noWrap w:val="0"/>
            <w:vAlign w:val="center"/>
          </w:tcPr>
          <w:p>
            <w:pPr>
              <w:adjustRightInd w:val="0"/>
              <w:snapToGrid w:val="0"/>
              <w:rPr>
                <w:color w:val="auto"/>
                <w:szCs w:val="21"/>
              </w:rPr>
            </w:pPr>
            <w:r>
              <w:rPr>
                <w:rFonts w:hint="eastAsia"/>
                <w:color w:val="auto"/>
                <w:szCs w:val="21"/>
              </w:rPr>
              <w:t>1、废弃组件由厂家回收处置。</w:t>
            </w:r>
          </w:p>
          <w:p>
            <w:pPr>
              <w:adjustRightInd w:val="0"/>
              <w:snapToGrid w:val="0"/>
              <w:rPr>
                <w:color w:val="auto"/>
                <w:szCs w:val="21"/>
              </w:rPr>
            </w:pPr>
            <w:r>
              <w:rPr>
                <w:color w:val="auto"/>
                <w:szCs w:val="21"/>
              </w:rPr>
              <w:t>2</w:t>
            </w:r>
            <w:r>
              <w:rPr>
                <w:rFonts w:hint="eastAsia"/>
                <w:color w:val="auto"/>
                <w:szCs w:val="21"/>
              </w:rPr>
              <w:t>、</w:t>
            </w:r>
            <w:r>
              <w:rPr>
                <w:color w:val="auto"/>
                <w:szCs w:val="21"/>
              </w:rPr>
              <w:t>生活垃圾</w:t>
            </w:r>
            <w:r>
              <w:rPr>
                <w:rFonts w:hint="eastAsia"/>
                <w:color w:val="auto"/>
                <w:szCs w:val="21"/>
              </w:rPr>
              <w:t>：设垃圾桶集中收集，</w:t>
            </w:r>
            <w:r>
              <w:rPr>
                <w:color w:val="auto"/>
                <w:szCs w:val="21"/>
              </w:rPr>
              <w:t>日产日清</w:t>
            </w:r>
            <w:r>
              <w:rPr>
                <w:rFonts w:hint="eastAsia"/>
                <w:color w:val="auto"/>
                <w:szCs w:val="21"/>
              </w:rPr>
              <w:t>送周边村庄垃圾集中收集点统一处置。</w:t>
            </w:r>
          </w:p>
          <w:p>
            <w:pPr>
              <w:adjustRightInd w:val="0"/>
              <w:snapToGrid w:val="0"/>
              <w:rPr>
                <w:color w:val="auto"/>
                <w:szCs w:val="21"/>
              </w:rPr>
            </w:pPr>
            <w:r>
              <w:rPr>
                <w:color w:val="auto"/>
                <w:szCs w:val="21"/>
              </w:rPr>
              <w:t>3</w:t>
            </w:r>
            <w:r>
              <w:rPr>
                <w:rFonts w:hint="eastAsia"/>
                <w:color w:val="auto"/>
                <w:szCs w:val="21"/>
              </w:rPr>
              <w:t>、化粪池及污水处理系统污泥定期</w:t>
            </w:r>
            <w:r>
              <w:rPr>
                <w:color w:val="auto"/>
                <w:szCs w:val="21"/>
              </w:rPr>
              <w:t>清掏</w:t>
            </w:r>
            <w:r>
              <w:rPr>
                <w:rFonts w:hint="eastAsia"/>
                <w:color w:val="auto"/>
                <w:szCs w:val="21"/>
              </w:rPr>
              <w:t>用于周围绿化施肥。。</w:t>
            </w:r>
          </w:p>
          <w:p>
            <w:pPr>
              <w:adjustRightInd w:val="0"/>
              <w:snapToGrid w:val="0"/>
              <w:rPr>
                <w:rFonts w:hint="default" w:ascii="Times New Roman" w:hAnsi="Times New Roman" w:eastAsia="宋体" w:cs="Times New Roman"/>
                <w:color w:val="auto"/>
                <w:szCs w:val="21"/>
              </w:rPr>
            </w:pPr>
            <w:r>
              <w:rPr>
                <w:color w:val="auto"/>
                <w:szCs w:val="21"/>
              </w:rPr>
              <w:t>4</w:t>
            </w:r>
            <w:r>
              <w:rPr>
                <w:rFonts w:hint="eastAsia"/>
                <w:color w:val="auto"/>
                <w:szCs w:val="21"/>
              </w:rPr>
              <w:t>、废矿物油采用适当容积盛装，与废铅蓄电池等危废分区暂存于</w:t>
            </w:r>
            <w:r>
              <w:rPr>
                <w:color w:val="auto"/>
                <w:szCs w:val="21"/>
              </w:rPr>
              <w:t>危废暂存间</w:t>
            </w:r>
            <w:r>
              <w:rPr>
                <w:rFonts w:hint="eastAsia"/>
                <w:color w:val="auto"/>
                <w:szCs w:val="21"/>
              </w:rPr>
              <w:t>，定期</w:t>
            </w:r>
            <w:r>
              <w:rPr>
                <w:color w:val="auto"/>
                <w:szCs w:val="21"/>
              </w:rPr>
              <w:t>委托有资质单位进行处理</w:t>
            </w:r>
            <w:r>
              <w:rPr>
                <w:rFonts w:hint="eastAsia"/>
                <w:color w:val="auto"/>
                <w:szCs w:val="21"/>
              </w:rPr>
              <w:t>、处置，执行危废转移联单制度。</w:t>
            </w:r>
          </w:p>
        </w:tc>
        <w:tc>
          <w:tcPr>
            <w:tcW w:w="708" w:type="pct"/>
            <w:noWrap w:val="0"/>
            <w:vAlign w:val="center"/>
          </w:tcPr>
          <w:p>
            <w:pPr>
              <w:adjustRightInd w:val="0"/>
              <w:snapToGrid w:val="0"/>
              <w:rPr>
                <w:rFonts w:hint="default" w:ascii="Times New Roman" w:hAnsi="Times New Roman" w:eastAsia="宋体" w:cs="Times New Roman"/>
                <w:color w:val="auto"/>
                <w:szCs w:val="21"/>
              </w:rPr>
            </w:pPr>
            <w:r>
              <w:rPr>
                <w:color w:val="auto"/>
                <w:szCs w:val="21"/>
              </w:rPr>
              <w:t>固废处置率100%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486"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电磁环境</w:t>
            </w:r>
          </w:p>
        </w:tc>
        <w:tc>
          <w:tcPr>
            <w:tcW w:w="1675" w:type="pct"/>
            <w:noWrap w:val="0"/>
            <w:vAlign w:val="center"/>
          </w:tcPr>
          <w:p>
            <w:pPr>
              <w:adjustRightInd w:val="0"/>
              <w:snapToGrid w:val="0"/>
              <w:jc w:val="center"/>
              <w:rPr>
                <w:rFonts w:hint="default" w:ascii="Times New Roman" w:hAnsi="Times New Roman" w:eastAsia="宋体" w:cs="Times New Roman"/>
                <w:color w:val="auto"/>
                <w:szCs w:val="21"/>
              </w:rPr>
            </w:pPr>
            <w:r>
              <w:rPr>
                <w:rFonts w:hint="eastAsia"/>
                <w:color w:val="auto"/>
                <w:szCs w:val="21"/>
              </w:rPr>
              <w:t>/</w:t>
            </w:r>
          </w:p>
        </w:tc>
        <w:tc>
          <w:tcPr>
            <w:tcW w:w="718" w:type="pct"/>
            <w:noWrap w:val="0"/>
            <w:vAlign w:val="center"/>
          </w:tcPr>
          <w:p>
            <w:pPr>
              <w:adjustRightInd w:val="0"/>
              <w:snapToGrid w:val="0"/>
              <w:jc w:val="center"/>
              <w:rPr>
                <w:rFonts w:hint="default" w:ascii="Times New Roman" w:hAnsi="Times New Roman" w:eastAsia="宋体" w:cs="Times New Roman"/>
                <w:color w:val="auto"/>
                <w:szCs w:val="21"/>
              </w:rPr>
            </w:pPr>
            <w:r>
              <w:rPr>
                <w:rFonts w:hint="eastAsia"/>
                <w:color w:val="auto"/>
                <w:szCs w:val="21"/>
              </w:rPr>
              <w:t>/</w:t>
            </w:r>
          </w:p>
        </w:tc>
        <w:tc>
          <w:tcPr>
            <w:tcW w:w="1410" w:type="pct"/>
            <w:noWrap w:val="0"/>
            <w:vAlign w:val="center"/>
          </w:tcPr>
          <w:p>
            <w:pPr>
              <w:adjustRightInd w:val="0"/>
              <w:snapToGrid w:val="0"/>
              <w:rPr>
                <w:rFonts w:hint="default" w:ascii="Times New Roman" w:hAnsi="Times New Roman" w:eastAsia="宋体" w:cs="Times New Roman"/>
                <w:color w:val="auto"/>
                <w:szCs w:val="21"/>
                <w:lang w:bidi="zh-CN"/>
              </w:rPr>
            </w:pPr>
            <w:r>
              <w:rPr>
                <w:color w:val="auto"/>
                <w:szCs w:val="21"/>
              </w:rPr>
              <w:t>避免或减少电晕放电；选用低辐射设备；合理设计并保证设备及配件加工精良；做好绝缘工作；避免因接触不良或表面锈蚀而产生的火花放电；升压站附近高压危险区域应设置相应的警告牌；</w:t>
            </w:r>
          </w:p>
        </w:tc>
        <w:tc>
          <w:tcPr>
            <w:tcW w:w="708" w:type="pct"/>
            <w:noWrap w:val="0"/>
            <w:vAlign w:val="center"/>
          </w:tcPr>
          <w:p>
            <w:pPr>
              <w:adjustRightInd w:val="0"/>
              <w:snapToGrid w:val="0"/>
              <w:rPr>
                <w:rFonts w:hint="default" w:ascii="Times New Roman" w:hAnsi="Times New Roman" w:eastAsia="宋体" w:cs="Times New Roman"/>
                <w:color w:val="auto"/>
                <w:szCs w:val="21"/>
                <w:lang w:bidi="zh-CN"/>
              </w:rPr>
            </w:pPr>
            <w:r>
              <w:rPr>
                <w:color w:val="auto"/>
                <w:szCs w:val="21"/>
              </w:rPr>
              <w:t>满足《电磁环境控制限值》（GB8702-2014）中标准要求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486"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环境风险</w:t>
            </w:r>
          </w:p>
        </w:tc>
        <w:tc>
          <w:tcPr>
            <w:tcW w:w="1675" w:type="pct"/>
            <w:noWrap w:val="0"/>
            <w:vAlign w:val="center"/>
          </w:tcPr>
          <w:p>
            <w:pPr>
              <w:adjustRightInd w:val="0"/>
              <w:snapToGrid w:val="0"/>
              <w:jc w:val="center"/>
              <w:rPr>
                <w:rFonts w:hint="default" w:ascii="Times New Roman" w:hAnsi="Times New Roman" w:eastAsia="宋体" w:cs="Times New Roman"/>
                <w:color w:val="auto"/>
                <w:szCs w:val="21"/>
              </w:rPr>
            </w:pPr>
            <w:r>
              <w:rPr>
                <w:rFonts w:hint="eastAsia"/>
                <w:color w:val="auto"/>
                <w:szCs w:val="21"/>
              </w:rPr>
              <w:t>/</w:t>
            </w:r>
          </w:p>
        </w:tc>
        <w:tc>
          <w:tcPr>
            <w:tcW w:w="718" w:type="pct"/>
            <w:noWrap w:val="0"/>
            <w:vAlign w:val="center"/>
          </w:tcPr>
          <w:p>
            <w:pPr>
              <w:adjustRightInd w:val="0"/>
              <w:snapToGrid w:val="0"/>
              <w:jc w:val="center"/>
              <w:rPr>
                <w:rFonts w:hint="default" w:ascii="Times New Roman" w:hAnsi="Times New Roman" w:eastAsia="宋体" w:cs="Times New Roman"/>
                <w:color w:val="auto"/>
                <w:szCs w:val="21"/>
              </w:rPr>
            </w:pPr>
            <w:r>
              <w:rPr>
                <w:rFonts w:hint="eastAsia"/>
                <w:color w:val="auto"/>
                <w:szCs w:val="21"/>
              </w:rPr>
              <w:t>/</w:t>
            </w:r>
          </w:p>
        </w:tc>
        <w:tc>
          <w:tcPr>
            <w:tcW w:w="1410" w:type="pct"/>
            <w:noWrap w:val="0"/>
            <w:vAlign w:val="center"/>
          </w:tcPr>
          <w:p>
            <w:pPr>
              <w:adjustRightInd w:val="0"/>
              <w:snapToGrid w:val="0"/>
              <w:rPr>
                <w:rFonts w:ascii="Times New Roman" w:hAnsi="Times New Roman" w:eastAsia="宋体" w:cs="Times New Roman"/>
                <w:color w:val="auto"/>
                <w:szCs w:val="21"/>
              </w:rPr>
            </w:pPr>
            <w:r>
              <w:rPr>
                <w:rFonts w:hint="eastAsia"/>
                <w:color w:val="auto"/>
                <w:szCs w:val="21"/>
              </w:rPr>
              <w:t>升压站内主变压器设置集油池几1个容积</w:t>
            </w:r>
            <w:r>
              <w:rPr>
                <w:rFonts w:hint="eastAsia"/>
                <w:color w:val="auto"/>
                <w:szCs w:val="21"/>
                <w:lang w:val="en-US" w:eastAsia="zh-CN"/>
              </w:rPr>
              <w:t>30</w:t>
            </w:r>
            <w:r>
              <w:rPr>
                <w:color w:val="auto"/>
                <w:szCs w:val="21"/>
              </w:rPr>
              <w:t>m</w:t>
            </w:r>
            <w:r>
              <w:rPr>
                <w:color w:val="auto"/>
                <w:szCs w:val="21"/>
                <w:vertAlign w:val="superscript"/>
              </w:rPr>
              <w:t>3</w:t>
            </w:r>
            <w:r>
              <w:rPr>
                <w:rFonts w:hint="eastAsia"/>
                <w:color w:val="auto"/>
                <w:szCs w:val="21"/>
              </w:rPr>
              <w:t>的事故油池；光伏场区各箱变配套设置事故油池。</w:t>
            </w:r>
          </w:p>
        </w:tc>
        <w:tc>
          <w:tcPr>
            <w:tcW w:w="708" w:type="pct"/>
            <w:noWrap w:val="0"/>
            <w:vAlign w:val="center"/>
          </w:tcPr>
          <w:p>
            <w:pPr>
              <w:adjustRightInd w:val="0"/>
              <w:snapToGrid w:val="0"/>
              <w:rPr>
                <w:rFonts w:hint="default" w:ascii="Times New Roman" w:hAnsi="Times New Roman" w:eastAsia="宋体" w:cs="Times New Roman"/>
                <w:color w:val="auto"/>
                <w:szCs w:val="21"/>
              </w:rPr>
            </w:pPr>
            <w:r>
              <w:rPr>
                <w:rFonts w:hint="eastAsia"/>
                <w:color w:val="auto"/>
                <w:szCs w:val="21"/>
              </w:rPr>
              <w:t>变压器事故情况下，油料妥善收集不外泄。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486" w:type="pct"/>
            <w:vMerge w:val="restar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环境监测</w:t>
            </w:r>
          </w:p>
        </w:tc>
        <w:tc>
          <w:tcPr>
            <w:tcW w:w="1675" w:type="pct"/>
            <w:vMerge w:val="restart"/>
            <w:noWrap w:val="0"/>
            <w:vAlign w:val="center"/>
          </w:tcPr>
          <w:p>
            <w:pPr>
              <w:adjustRightInd w:val="0"/>
              <w:snapToGrid w:val="0"/>
              <w:jc w:val="center"/>
              <w:rPr>
                <w:rFonts w:hint="default" w:ascii="Times New Roman" w:hAnsi="Times New Roman" w:eastAsia="宋体" w:cs="Times New Roman"/>
                <w:color w:val="auto"/>
                <w:szCs w:val="21"/>
              </w:rPr>
            </w:pPr>
            <w:r>
              <w:rPr>
                <w:rFonts w:hint="eastAsia"/>
                <w:color w:val="auto"/>
                <w:szCs w:val="21"/>
              </w:rPr>
              <w:t>/</w:t>
            </w:r>
          </w:p>
        </w:tc>
        <w:tc>
          <w:tcPr>
            <w:tcW w:w="718" w:type="pct"/>
            <w:vMerge w:val="restart"/>
            <w:noWrap w:val="0"/>
            <w:vAlign w:val="center"/>
          </w:tcPr>
          <w:p>
            <w:pPr>
              <w:adjustRightInd w:val="0"/>
              <w:snapToGrid w:val="0"/>
              <w:jc w:val="center"/>
              <w:rPr>
                <w:rFonts w:hint="default" w:ascii="Times New Roman" w:hAnsi="Times New Roman" w:eastAsia="宋体" w:cs="Times New Roman"/>
                <w:color w:val="auto"/>
                <w:szCs w:val="21"/>
              </w:rPr>
            </w:pPr>
            <w:r>
              <w:rPr>
                <w:rFonts w:hint="eastAsia"/>
                <w:color w:val="auto"/>
                <w:szCs w:val="21"/>
              </w:rPr>
              <w:t>/</w:t>
            </w:r>
          </w:p>
        </w:tc>
        <w:tc>
          <w:tcPr>
            <w:tcW w:w="1410" w:type="pct"/>
            <w:noWrap w:val="0"/>
            <w:vAlign w:val="center"/>
          </w:tcPr>
          <w:p>
            <w:pPr>
              <w:adjustRightInd w:val="0"/>
              <w:snapToGrid w:val="0"/>
              <w:rPr>
                <w:color w:val="auto"/>
                <w:szCs w:val="21"/>
              </w:rPr>
            </w:pPr>
            <w:r>
              <w:rPr>
                <w:rFonts w:hint="eastAsia"/>
                <w:color w:val="auto"/>
                <w:szCs w:val="21"/>
              </w:rPr>
              <w:t>1、</w:t>
            </w:r>
            <w:r>
              <w:rPr>
                <w:color w:val="auto"/>
                <w:szCs w:val="21"/>
              </w:rPr>
              <w:t>厂界噪声：</w:t>
            </w:r>
          </w:p>
          <w:p>
            <w:pPr>
              <w:adjustRightInd w:val="0"/>
              <w:snapToGrid w:val="0"/>
              <w:rPr>
                <w:color w:val="auto"/>
                <w:szCs w:val="21"/>
              </w:rPr>
            </w:pPr>
            <w:r>
              <w:rPr>
                <w:rFonts w:hint="eastAsia"/>
                <w:color w:val="auto"/>
                <w:szCs w:val="21"/>
              </w:rPr>
              <w:t>监测地点：</w:t>
            </w:r>
            <w:r>
              <w:rPr>
                <w:rFonts w:hint="eastAsia" w:ascii="Times New Roman" w:hAnsi="Times New Roman" w:eastAsia="宋体" w:cs="Times New Roman"/>
                <w:color w:val="auto"/>
              </w:rPr>
              <w:t>升压站</w:t>
            </w:r>
            <w:r>
              <w:rPr>
                <w:rFonts w:ascii="Times New Roman" w:hAnsi="Times New Roman" w:eastAsia="宋体" w:cs="Times New Roman"/>
                <w:color w:val="auto"/>
              </w:rPr>
              <w:t>东、南、西、北</w:t>
            </w:r>
            <w:r>
              <w:rPr>
                <w:rFonts w:hint="eastAsia" w:ascii="Times New Roman" w:hAnsi="Times New Roman" w:eastAsia="宋体" w:cs="Times New Roman"/>
                <w:color w:val="auto"/>
              </w:rPr>
              <w:t>厂</w:t>
            </w:r>
            <w:r>
              <w:rPr>
                <w:rFonts w:ascii="Times New Roman" w:hAnsi="Times New Roman" w:eastAsia="宋体" w:cs="Times New Roman"/>
                <w:color w:val="auto"/>
              </w:rPr>
              <w:t>界</w:t>
            </w:r>
            <w:r>
              <w:rPr>
                <w:rFonts w:hint="eastAsia" w:cs="Times New Roman"/>
                <w:color w:val="auto"/>
                <w:lang w:eastAsia="zh-CN"/>
              </w:rPr>
              <w:t>；</w:t>
            </w:r>
            <w:r>
              <w:rPr>
                <w:rFonts w:hint="eastAsia" w:cs="Times New Roman"/>
                <w:color w:val="auto"/>
                <w:lang w:val="en-US" w:eastAsia="zh-CN"/>
              </w:rPr>
              <w:t>丙令哨</w:t>
            </w:r>
            <w:r>
              <w:rPr>
                <w:rFonts w:ascii="Times New Roman" w:hAnsi="Times New Roman" w:eastAsia="宋体" w:cs="Times New Roman"/>
                <w:color w:val="auto"/>
              </w:rPr>
              <w:t>村</w:t>
            </w:r>
            <w:r>
              <w:rPr>
                <w:rFonts w:hint="eastAsia" w:ascii="Times New Roman" w:hAnsi="Times New Roman" w:eastAsia="宋体" w:cs="Times New Roman"/>
                <w:color w:val="auto"/>
              </w:rPr>
              <w:t>、</w:t>
            </w:r>
            <w:r>
              <w:rPr>
                <w:rFonts w:hint="eastAsia" w:cs="Times New Roman"/>
                <w:color w:val="auto"/>
                <w:lang w:val="en-US" w:eastAsia="zh-CN"/>
              </w:rPr>
              <w:t>路古么</w:t>
            </w:r>
            <w:r>
              <w:rPr>
                <w:rFonts w:ascii="Times New Roman" w:hAnsi="Times New Roman" w:eastAsia="宋体" w:cs="Times New Roman"/>
                <w:color w:val="auto"/>
              </w:rPr>
              <w:t>村</w:t>
            </w:r>
            <w:r>
              <w:rPr>
                <w:rFonts w:hint="eastAsia" w:cs="Times New Roman"/>
                <w:color w:val="auto"/>
                <w:lang w:eastAsia="zh-CN"/>
              </w:rPr>
              <w:t>、</w:t>
            </w:r>
            <w:r>
              <w:rPr>
                <w:rFonts w:hint="eastAsia" w:cs="Times New Roman"/>
                <w:color w:val="auto"/>
                <w:lang w:val="en-US" w:eastAsia="zh-CN"/>
              </w:rPr>
              <w:t>山后村、小月旧村；</w:t>
            </w:r>
          </w:p>
          <w:p>
            <w:pPr>
              <w:adjustRightInd w:val="0"/>
              <w:snapToGrid w:val="0"/>
              <w:rPr>
                <w:color w:val="auto"/>
                <w:szCs w:val="21"/>
              </w:rPr>
            </w:pPr>
            <w:r>
              <w:rPr>
                <w:rFonts w:hint="eastAsia"/>
                <w:color w:val="auto"/>
                <w:szCs w:val="21"/>
              </w:rPr>
              <w:t>监测因子：L</w:t>
            </w:r>
            <w:r>
              <w:rPr>
                <w:color w:val="auto"/>
                <w:szCs w:val="21"/>
              </w:rPr>
              <w:t>eq</w:t>
            </w:r>
          </w:p>
          <w:p>
            <w:pPr>
              <w:adjustRightInd w:val="0"/>
              <w:snapToGrid w:val="0"/>
              <w:rPr>
                <w:rFonts w:hint="eastAsia" w:ascii="Times New Roman" w:hAnsi="Times New Roman" w:eastAsia="宋体" w:cs="Times New Roman"/>
                <w:color w:val="auto"/>
                <w:szCs w:val="21"/>
                <w:lang w:eastAsia="zh-CN"/>
              </w:rPr>
            </w:pPr>
            <w:r>
              <w:rPr>
                <w:rFonts w:hint="eastAsia"/>
                <w:color w:val="auto"/>
                <w:szCs w:val="21"/>
              </w:rPr>
              <w:t>监测频率：</w:t>
            </w:r>
            <w:r>
              <w:rPr>
                <w:rFonts w:hint="eastAsia"/>
                <w:color w:val="auto"/>
              </w:rPr>
              <w:t>环保竣工验收时监测一次，运行后每年1次，每次昼、夜间各测一次</w:t>
            </w:r>
            <w:r>
              <w:rPr>
                <w:rFonts w:hint="eastAsia"/>
                <w:color w:val="auto"/>
                <w:lang w:eastAsia="zh-CN"/>
              </w:rPr>
              <w:t>，</w:t>
            </w:r>
            <w:r>
              <w:rPr>
                <w:rFonts w:hint="eastAsia"/>
                <w:color w:val="auto"/>
                <w:lang w:val="en-US" w:eastAsia="zh-CN"/>
              </w:rPr>
              <w:t>运行期间存在投诉或纠纷时进行监测；例行环境监测计划或生态环境主管部门要求时进行监测。</w:t>
            </w:r>
          </w:p>
        </w:tc>
        <w:tc>
          <w:tcPr>
            <w:tcW w:w="708" w:type="pct"/>
            <w:noWrap w:val="0"/>
            <w:vAlign w:val="center"/>
          </w:tcPr>
          <w:p>
            <w:pPr>
              <w:adjustRightInd w:val="0"/>
              <w:snapToGrid w:val="0"/>
              <w:rPr>
                <w:rFonts w:hint="default" w:ascii="Times New Roman" w:hAnsi="Times New Roman" w:eastAsia="宋体" w:cs="Times New Roman"/>
                <w:color w:val="auto"/>
                <w:szCs w:val="21"/>
              </w:rPr>
            </w:pPr>
            <w:r>
              <w:rPr>
                <w:color w:val="auto"/>
                <w:szCs w:val="21"/>
              </w:rPr>
              <w:t>厂界噪声达GB12348-2008《工业企业厂界环境噪声排放标准》2类</w:t>
            </w:r>
            <w:r>
              <w:rPr>
                <w:rFonts w:hint="eastAsia"/>
                <w:color w:val="auto"/>
                <w:szCs w:val="21"/>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486" w:type="pct"/>
            <w:vMerge w:val="continue"/>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Cs w:val="21"/>
              </w:rPr>
            </w:pPr>
          </w:p>
        </w:tc>
        <w:tc>
          <w:tcPr>
            <w:tcW w:w="1675" w:type="pct"/>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718" w:type="pct"/>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1410" w:type="pct"/>
            <w:noWrap w:val="0"/>
            <w:vAlign w:val="center"/>
          </w:tcPr>
          <w:p>
            <w:pPr>
              <w:adjustRightInd w:val="0"/>
              <w:snapToGrid w:val="0"/>
              <w:rPr>
                <w:color w:val="auto"/>
                <w:szCs w:val="21"/>
              </w:rPr>
            </w:pPr>
            <w:r>
              <w:rPr>
                <w:color w:val="auto"/>
                <w:szCs w:val="21"/>
              </w:rPr>
              <w:t>2、电磁环境</w:t>
            </w:r>
          </w:p>
          <w:p>
            <w:pPr>
              <w:adjustRightInd w:val="0"/>
              <w:snapToGrid w:val="0"/>
              <w:rPr>
                <w:color w:val="auto"/>
                <w:szCs w:val="21"/>
              </w:rPr>
            </w:pPr>
            <w:r>
              <w:rPr>
                <w:color w:val="auto"/>
                <w:szCs w:val="21"/>
              </w:rPr>
              <w:t>监测位置：升压站四周厂界外5m</w:t>
            </w:r>
          </w:p>
          <w:p>
            <w:pPr>
              <w:adjustRightInd w:val="0"/>
              <w:snapToGrid w:val="0"/>
              <w:rPr>
                <w:color w:val="auto"/>
                <w:szCs w:val="21"/>
              </w:rPr>
            </w:pPr>
            <w:r>
              <w:rPr>
                <w:color w:val="auto"/>
                <w:szCs w:val="21"/>
              </w:rPr>
              <w:t>监测因子：工频电场强度（V/m）、工频磁感应强度（μT）</w:t>
            </w:r>
          </w:p>
          <w:p>
            <w:pPr>
              <w:adjustRightInd w:val="0"/>
              <w:snapToGrid w:val="0"/>
              <w:rPr>
                <w:rFonts w:hint="eastAsia"/>
                <w:color w:val="auto"/>
                <w:szCs w:val="21"/>
              </w:rPr>
            </w:pPr>
            <w:r>
              <w:rPr>
                <w:color w:val="auto"/>
                <w:szCs w:val="21"/>
              </w:rPr>
              <w:t>监测频率：环保竣工验收时监测一次，其余</w:t>
            </w:r>
            <w:r>
              <w:rPr>
                <w:rFonts w:hint="eastAsia"/>
                <w:color w:val="auto"/>
                <w:szCs w:val="21"/>
                <w:lang w:val="en-US" w:eastAsia="zh-CN"/>
              </w:rPr>
              <w:t>运行期间存在投诉或纠纷时进行监测；例行环境监测计划或生态环境主管部门要求时进行监测。</w:t>
            </w:r>
          </w:p>
        </w:tc>
        <w:tc>
          <w:tcPr>
            <w:tcW w:w="708" w:type="pct"/>
            <w:noWrap w:val="0"/>
            <w:vAlign w:val="center"/>
          </w:tcPr>
          <w:p>
            <w:pPr>
              <w:adjustRightInd w:val="0"/>
              <w:snapToGrid w:val="0"/>
              <w:rPr>
                <w:color w:val="auto"/>
                <w:szCs w:val="21"/>
              </w:rPr>
            </w:pPr>
            <w:r>
              <w:rPr>
                <w:rFonts w:hint="eastAsia"/>
                <w:color w:val="auto"/>
                <w:szCs w:val="21"/>
              </w:rPr>
              <w:t>《电磁环境控制限值》(GB8702-2014)；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486" w:type="pct"/>
            <w:vMerge w:val="continue"/>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szCs w:val="21"/>
              </w:rPr>
            </w:pPr>
          </w:p>
        </w:tc>
        <w:tc>
          <w:tcPr>
            <w:tcW w:w="1675" w:type="pct"/>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718" w:type="pct"/>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1410" w:type="pct"/>
            <w:noWrap w:val="0"/>
            <w:vAlign w:val="center"/>
          </w:tcPr>
          <w:p>
            <w:pPr>
              <w:adjustRightInd w:val="0"/>
              <w:snapToGrid w:val="0"/>
              <w:rPr>
                <w:color w:val="auto"/>
                <w:szCs w:val="21"/>
              </w:rPr>
            </w:pPr>
            <w:r>
              <w:rPr>
                <w:rFonts w:hint="eastAsia"/>
                <w:color w:val="auto"/>
                <w:szCs w:val="21"/>
                <w:lang w:val="en-US" w:eastAsia="zh-CN"/>
              </w:rPr>
              <w:t>3、</w:t>
            </w:r>
            <w:r>
              <w:rPr>
                <w:color w:val="auto"/>
                <w:szCs w:val="21"/>
              </w:rPr>
              <w:t>废水</w:t>
            </w:r>
          </w:p>
          <w:p>
            <w:pPr>
              <w:adjustRightInd w:val="0"/>
              <w:snapToGrid w:val="0"/>
              <w:rPr>
                <w:color w:val="auto"/>
                <w:szCs w:val="21"/>
              </w:rPr>
            </w:pPr>
            <w:r>
              <w:rPr>
                <w:color w:val="auto"/>
                <w:szCs w:val="21"/>
              </w:rPr>
              <w:t>监测位置：</w:t>
            </w:r>
            <w:r>
              <w:rPr>
                <w:rFonts w:hint="eastAsia"/>
                <w:color w:val="auto"/>
                <w:szCs w:val="21"/>
                <w:lang w:val="en-US" w:eastAsia="zh-CN"/>
              </w:rPr>
              <w:t>升压站污水处理设施进、出水口；</w:t>
            </w:r>
          </w:p>
          <w:p>
            <w:pPr>
              <w:adjustRightInd w:val="0"/>
              <w:snapToGrid w:val="0"/>
              <w:rPr>
                <w:rFonts w:hint="eastAsia"/>
                <w:color w:val="auto"/>
                <w:szCs w:val="21"/>
                <w:lang w:eastAsia="zh-CN"/>
              </w:rPr>
            </w:pPr>
            <w:r>
              <w:rPr>
                <w:color w:val="auto"/>
                <w:szCs w:val="21"/>
              </w:rPr>
              <w:t>监测因子：pH、SS、COD、BOD5 、NH3-N、动植物油</w:t>
            </w:r>
            <w:r>
              <w:rPr>
                <w:rFonts w:hint="eastAsia"/>
                <w:color w:val="auto"/>
                <w:szCs w:val="21"/>
                <w:lang w:eastAsia="zh-CN"/>
              </w:rPr>
              <w:t>；</w:t>
            </w:r>
          </w:p>
          <w:p>
            <w:pPr>
              <w:adjustRightInd w:val="0"/>
              <w:snapToGrid w:val="0"/>
              <w:rPr>
                <w:color w:val="auto"/>
                <w:szCs w:val="21"/>
              </w:rPr>
            </w:pPr>
            <w:r>
              <w:rPr>
                <w:color w:val="auto"/>
                <w:szCs w:val="21"/>
              </w:rPr>
              <w:t>监测频率：</w:t>
            </w:r>
            <w:r>
              <w:rPr>
                <w:rFonts w:hint="default"/>
                <w:color w:val="auto"/>
                <w:szCs w:val="21"/>
              </w:rPr>
              <w:t>环保竣工验收时监测一次</w:t>
            </w:r>
          </w:p>
        </w:tc>
        <w:tc>
          <w:tcPr>
            <w:tcW w:w="708" w:type="pct"/>
            <w:noWrap w:val="0"/>
            <w:vAlign w:val="center"/>
          </w:tcPr>
          <w:p>
            <w:pPr>
              <w:adjustRightInd w:val="0"/>
              <w:snapToGrid w:val="0"/>
              <w:rPr>
                <w:rFonts w:hint="eastAsia"/>
                <w:color w:val="auto"/>
                <w:szCs w:val="21"/>
              </w:rPr>
            </w:pPr>
            <w:r>
              <w:rPr>
                <w:rFonts w:hint="eastAsia"/>
                <w:color w:val="auto"/>
                <w:szCs w:val="21"/>
              </w:rPr>
              <w:t>《城市污水再生利用城市杂用水水质》（GB/T18920-2020）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6" w:type="pct"/>
            <w:noWrap w:val="0"/>
            <w:vAlign w:val="center"/>
          </w:tcPr>
          <w:p>
            <w:pPr>
              <w:keepNext w:val="0"/>
              <w:keepLines w:val="0"/>
              <w:pageBreakBefore w:val="0"/>
              <w:kinsoku/>
              <w:wordWrap w:val="0"/>
              <w:overflowPunct/>
              <w:topLinePunct w:val="0"/>
              <w:autoSpaceDE/>
              <w:autoSpaceDN/>
              <w:bidi w:val="0"/>
              <w:adjustRightInd w:val="0"/>
              <w:snapToGrid w:val="0"/>
              <w:textAlignment w:val="auto"/>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其他</w:t>
            </w:r>
          </w:p>
        </w:tc>
        <w:tc>
          <w:tcPr>
            <w:tcW w:w="1675" w:type="pct"/>
            <w:noWrap w:val="0"/>
            <w:vAlign w:val="center"/>
          </w:tcPr>
          <w:p>
            <w:pPr>
              <w:keepNext w:val="0"/>
              <w:keepLines w:val="0"/>
              <w:pageBreakBefore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i w:val="0"/>
                <w:color w:val="auto"/>
                <w:sz w:val="21"/>
                <w:szCs w:val="21"/>
              </w:rPr>
              <w:t>/</w:t>
            </w:r>
          </w:p>
        </w:tc>
        <w:tc>
          <w:tcPr>
            <w:tcW w:w="718" w:type="pct"/>
            <w:noWrap w:val="0"/>
            <w:vAlign w:val="center"/>
          </w:tcPr>
          <w:p>
            <w:pPr>
              <w:keepNext w:val="0"/>
              <w:keepLines w:val="0"/>
              <w:pageBreakBefore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i w:val="0"/>
                <w:color w:val="auto"/>
                <w:sz w:val="21"/>
                <w:szCs w:val="21"/>
              </w:rPr>
              <w:t>/</w:t>
            </w:r>
          </w:p>
        </w:tc>
        <w:tc>
          <w:tcPr>
            <w:tcW w:w="1410" w:type="pct"/>
            <w:noWrap w:val="0"/>
            <w:vAlign w:val="center"/>
          </w:tcPr>
          <w:p>
            <w:pPr>
              <w:keepNext w:val="0"/>
              <w:keepLines w:val="0"/>
              <w:pageBreakBefore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i w:val="0"/>
                <w:color w:val="auto"/>
                <w:sz w:val="21"/>
                <w:szCs w:val="21"/>
              </w:rPr>
              <w:t>/</w:t>
            </w:r>
          </w:p>
        </w:tc>
        <w:tc>
          <w:tcPr>
            <w:tcW w:w="708" w:type="pct"/>
            <w:noWrap w:val="0"/>
            <w:vAlign w:val="center"/>
          </w:tcPr>
          <w:p>
            <w:pPr>
              <w:keepNext w:val="0"/>
              <w:keepLines w:val="0"/>
              <w:pageBreakBefore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i w:val="0"/>
                <w:color w:val="auto"/>
                <w:sz w:val="21"/>
                <w:szCs w:val="21"/>
              </w:rPr>
              <w:t>/</w:t>
            </w:r>
          </w:p>
        </w:tc>
      </w:tr>
    </w:tbl>
    <w:p>
      <w:pPr>
        <w:rPr>
          <w:rFonts w:hint="default"/>
          <w:lang w:val="en-US" w:eastAsia="zh-CN"/>
        </w:rPr>
      </w:pPr>
    </w:p>
    <w:p>
      <w:pPr>
        <w:pStyle w:val="14"/>
        <w:rPr>
          <w:rFonts w:hint="default"/>
          <w:lang w:val="en-US" w:eastAsia="zh-CN"/>
        </w:rPr>
      </w:pPr>
    </w:p>
    <w:p>
      <w:pPr>
        <w:rPr>
          <w:rFonts w:hint="default"/>
          <w:lang w:val="en-US" w:eastAsia="zh-CN"/>
        </w:rPr>
      </w:pPr>
    </w:p>
    <w:p>
      <w:pPr>
        <w:pStyle w:val="14"/>
        <w:rPr>
          <w:rFonts w:hint="default"/>
          <w:lang w:val="en-US" w:eastAsia="zh-CN"/>
        </w:rPr>
        <w:sectPr>
          <w:pgSz w:w="16838" w:h="11906" w:orient="landscape"/>
          <w:pgMar w:top="1531" w:right="1701" w:bottom="1531" w:left="1701"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spacing w:before="192" w:beforeLines="80" w:beforeAutospacing="0" w:after="100" w:afterAutospacing="1"/>
        <w:jc w:val="center"/>
        <w:outlineLvl w:val="0"/>
        <w:rPr>
          <w:rFonts w:hint="eastAsia" w:ascii="黑体" w:hAnsi="黑体" w:eastAsia="黑体" w:cs="Times New Roman"/>
          <w:snapToGrid w:val="0"/>
          <w:color w:val="auto"/>
          <w:kern w:val="0"/>
          <w:sz w:val="30"/>
          <w:szCs w:val="30"/>
          <w:lang w:val="en-US" w:eastAsia="zh-CN" w:bidi="ar-SA"/>
        </w:rPr>
      </w:pPr>
      <w:bookmarkStart w:id="57" w:name="_Toc10866"/>
      <w:bookmarkStart w:id="58" w:name="_Toc638"/>
      <w:r>
        <w:rPr>
          <w:rFonts w:hint="eastAsia" w:ascii="黑体" w:hAnsi="黑体" w:eastAsia="黑体" w:cs="Times New Roman"/>
          <w:snapToGrid w:val="0"/>
          <w:color w:val="auto"/>
          <w:kern w:val="0"/>
          <w:sz w:val="30"/>
          <w:szCs w:val="30"/>
          <w:lang w:val="en-US" w:eastAsia="zh-CN" w:bidi="ar-SA"/>
        </w:rPr>
        <w:t>七、结论</w:t>
      </w:r>
      <w:bookmarkEnd w:id="57"/>
      <w:bookmarkEnd w:id="58"/>
    </w:p>
    <w:tbl>
      <w:tblPr>
        <w:tblStyle w:val="18"/>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126" w:hRule="atLeast"/>
          <w:jc w:val="center"/>
        </w:trPr>
        <w:tc>
          <w:tcPr>
            <w:tcW w:w="9289" w:type="dxa"/>
            <w:noWrap w:val="0"/>
            <w:vAlign w:val="center"/>
          </w:tcPr>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符合国家产业政策、光伏用地意见要求、云南省新能源规划要求、环保政策要求。项目不涉及生态保护红线、基本农田、公益林、水源地等环境敏感区，用地为政府可供用地，无重大环境制约因素，选址合理。项目为光伏发电项目，采用的技术成熟、可靠，为清洁能源。项目在设计和施工过程中按环评及水土保持方案提出的生态保护和污染防治措施落实后，产生的环境影响满足相应环境保护标准要求，对当地生态环境、声环境、大气环境、水环境等的影响很小，不会改变项目所在区域环境现有功能。从环保角度分析，项目建设是可行的。</w:t>
            </w: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p>
          <w:p>
            <w:pPr>
              <w:widowControl w:val="0"/>
              <w:spacing w:beforeLines="0" w:afterLines="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p>
          <w:p>
            <w:pPr>
              <w:adjustRightInd w:val="0"/>
              <w:snapToGrid w:val="0"/>
              <w:rPr>
                <w:rFonts w:hint="eastAsia" w:ascii="宋体" w:hAnsi="宋体" w:eastAsia="宋体" w:cs="宋体"/>
                <w:color w:val="auto"/>
                <w:szCs w:val="21"/>
                <w:lang w:val="en-US" w:eastAsia="zh-CN"/>
              </w:rPr>
            </w:pPr>
          </w:p>
        </w:tc>
      </w:tr>
    </w:tbl>
    <w:p>
      <w:pPr>
        <w:rPr>
          <w:rFonts w:hint="default"/>
          <w:lang w:val="en-US" w:eastAsia="zh-CN"/>
        </w:rPr>
      </w:pPr>
    </w:p>
    <w:sectPr>
      <w:pgSz w:w="11906" w:h="16838"/>
      <w:pgMar w:top="1701" w:right="1531" w:bottom="1701" w:left="1531"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roman"/>
    <w:pitch w:val="default"/>
    <w:sig w:usb0="00000000" w:usb1="00000000" w:usb2="00000010" w:usb3="00000000" w:csb0="00060001" w:csb1="00000000"/>
  </w:font>
  <w:font w:name="Segoe UI Symbol">
    <w:panose1 w:val="020B0502040204020203"/>
    <w:charset w:val="00"/>
    <w:family w:val="auto"/>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rPr>
        <w:rFonts w:ascii="Times New Roman" w:hAnsi="Times New Roman" w:eastAsia="宋体"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rPr>
        <w:rStyle w:val="21"/>
        <w:rFonts w:ascii="Times New Roman" w:hAnsi="Times New Roman" w:eastAsia="宋体" w:cs="Times New Roman"/>
      </w:rPr>
    </w:pPr>
    <w:r>
      <w:rPr>
        <w:rStyle w:val="21"/>
        <w:rFonts w:ascii="Times New Roman" w:hAnsi="Times New Roman" w:eastAsia="宋体" w:cs="Times New Roman"/>
        <w:sz w:val="21"/>
        <w:szCs w:val="24"/>
      </w:rPr>
      <w:fldChar w:fldCharType="begin"/>
    </w:r>
    <w:r>
      <w:rPr>
        <w:rStyle w:val="21"/>
        <w:rFonts w:ascii="Times New Roman" w:hAnsi="Times New Roman" w:eastAsia="宋体" w:cs="Times New Roman"/>
        <w:sz w:val="21"/>
        <w:szCs w:val="24"/>
      </w:rPr>
      <w:instrText xml:space="preserve">PAGE  </w:instrText>
    </w:r>
    <w:r>
      <w:rPr>
        <w:rStyle w:val="21"/>
        <w:rFonts w:ascii="Times New Roman" w:hAnsi="Times New Roman" w:eastAsia="宋体" w:cs="Times New Roman"/>
        <w:sz w:val="21"/>
        <w:szCs w:val="24"/>
      </w:rPr>
      <w:fldChar w:fldCharType="end"/>
    </w:r>
  </w:p>
  <w:p>
    <w:pPr>
      <w:pStyle w:val="11"/>
      <w:ind w:right="360" w:firstLine="360"/>
      <w:rPr>
        <w:rFonts w:ascii="Times New Roman" w:hAnsi="Times New Roman" w:eastAsia="宋体"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rPr>
        <w:rFonts w:ascii="Times New Roman" w:hAnsi="Times New Roman" w:eastAsia="宋体" w:cs="Times New Roma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rPr>
        <w:rFonts w:ascii="Times New Roman" w:hAnsi="Times New Roman" w:eastAsia="宋体" w:cs="Times New Roma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decimal"/>
      <w:suff w:val="space"/>
      <w:lvlText w:val="%1"/>
      <w:lvlJc w:val="center"/>
      <w:pPr>
        <w:ind w:left="0" w:firstLine="0"/>
      </w:pPr>
    </w:lvl>
    <w:lvl w:ilvl="1" w:tentative="0">
      <w:start w:val="1"/>
      <w:numFmt w:val="decimal"/>
      <w:suff w:val="space"/>
      <w:lvlText w:val="%1.%2"/>
      <w:lvlJc w:val="left"/>
      <w:pPr>
        <w:ind w:left="142" w:firstLine="0"/>
      </w:pPr>
      <w:rPr>
        <w:rFonts w:ascii="Times New Roman" w:hAnsi="Times New Roman" w:cs="Times New Roman"/>
        <w:b w:val="0"/>
        <w:bCs w:val="0"/>
        <w:i w:val="0"/>
        <w:iCs w:val="0"/>
        <w:caps w:val="0"/>
        <w:smallCaps w:val="0"/>
        <w:strike w:val="0"/>
        <w:dstrike w:val="0"/>
        <w:vanish w:val="0"/>
        <w:color w:val="000000"/>
        <w:spacing w:val="0"/>
        <w:w w:val="1"/>
        <w:kern w:val="0"/>
        <w:position w:val="0"/>
        <w:szCs w:val="2"/>
        <w:u w:val="none"/>
        <w:vertAlign w:val="baseline"/>
      </w:rPr>
    </w:lvl>
    <w:lvl w:ilvl="2" w:tentative="0">
      <w:start w:val="1"/>
      <w:numFmt w:val="decimal"/>
      <w:pStyle w:val="2"/>
      <w:suff w:val="space"/>
      <w:lvlText w:val="%1.%2.%3"/>
      <w:lvlJc w:val="left"/>
      <w:pPr>
        <w:ind w:left="284" w:firstLine="0"/>
      </w:pPr>
      <w:rPr>
        <w:rFonts w:ascii="Times New Roman" w:hAnsi="Times New Roman" w:cs="Times New Roman"/>
        <w:b w:val="0"/>
        <w:bCs w:val="0"/>
        <w:i w:val="0"/>
        <w:iCs w:val="0"/>
        <w:caps w:val="0"/>
        <w:smallCaps w:val="0"/>
        <w:strike w:val="0"/>
        <w:dstrike w:val="0"/>
        <w:vanish w:val="0"/>
        <w:color w:val="000000"/>
        <w:spacing w:val="0"/>
        <w:w w:val="1"/>
        <w:kern w:val="0"/>
        <w:position w:val="0"/>
        <w:szCs w:val="2"/>
        <w:u w:val="none"/>
        <w:vertAlign w:val="baseline"/>
      </w:rPr>
    </w:lvl>
    <w:lvl w:ilvl="3" w:tentative="0">
      <w:start w:val="1"/>
      <w:numFmt w:val="decimal"/>
      <w:suff w:val="space"/>
      <w:lvlText w:val="%1.%2.%3.%4"/>
      <w:lvlJc w:val="left"/>
      <w:pPr>
        <w:ind w:left="0" w:firstLine="0"/>
      </w:pPr>
      <w:rPr>
        <w:sz w:val="28"/>
        <w:szCs w:val="28"/>
      </w:r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mYzMzYTZmOGM5ZWVlMWViM2MwYjNhNjI0N2YwM2YifQ=="/>
  </w:docVars>
  <w:rsids>
    <w:rsidRoot w:val="22051A9B"/>
    <w:rsid w:val="0AFA7229"/>
    <w:rsid w:val="0C9F7E45"/>
    <w:rsid w:val="0D790698"/>
    <w:rsid w:val="1044017C"/>
    <w:rsid w:val="124B4C03"/>
    <w:rsid w:val="128C5EA4"/>
    <w:rsid w:val="181843B4"/>
    <w:rsid w:val="18D32418"/>
    <w:rsid w:val="1BBA4825"/>
    <w:rsid w:val="1EB0399E"/>
    <w:rsid w:val="20D034E8"/>
    <w:rsid w:val="22051A9B"/>
    <w:rsid w:val="265F59F5"/>
    <w:rsid w:val="277A49A8"/>
    <w:rsid w:val="282B4C6D"/>
    <w:rsid w:val="289A7712"/>
    <w:rsid w:val="295E34FB"/>
    <w:rsid w:val="2AED3A46"/>
    <w:rsid w:val="30605BD5"/>
    <w:rsid w:val="30792081"/>
    <w:rsid w:val="30E1646B"/>
    <w:rsid w:val="30E66146"/>
    <w:rsid w:val="3216583E"/>
    <w:rsid w:val="37A47118"/>
    <w:rsid w:val="3E7F2436"/>
    <w:rsid w:val="4007280C"/>
    <w:rsid w:val="442532D8"/>
    <w:rsid w:val="4AD95DF8"/>
    <w:rsid w:val="4BDC36B5"/>
    <w:rsid w:val="53AE542D"/>
    <w:rsid w:val="555E5CE5"/>
    <w:rsid w:val="57F075D6"/>
    <w:rsid w:val="58FE0DF1"/>
    <w:rsid w:val="5F1521C3"/>
    <w:rsid w:val="5F480C4E"/>
    <w:rsid w:val="5FF13CC0"/>
    <w:rsid w:val="66B617C0"/>
    <w:rsid w:val="6B2D5DC9"/>
    <w:rsid w:val="6D5C25A4"/>
    <w:rsid w:val="6FA94F73"/>
    <w:rsid w:val="722C54FD"/>
    <w:rsid w:val="744D2866"/>
    <w:rsid w:val="74D15458"/>
    <w:rsid w:val="761402B1"/>
    <w:rsid w:val="77BC475C"/>
    <w:rsid w:val="7B117027"/>
    <w:rsid w:val="7C7C095E"/>
    <w:rsid w:val="7D7475DF"/>
    <w:rsid w:val="7F753E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next w:val="1"/>
    <w:link w:val="34"/>
    <w:autoRedefine/>
    <w:qFormat/>
    <w:uiPriority w:val="0"/>
    <w:pPr>
      <w:keepNext/>
      <w:keepLines/>
      <w:widowControl w:val="0"/>
      <w:numPr>
        <w:ilvl w:val="2"/>
        <w:numId w:val="1"/>
      </w:numPr>
      <w:spacing w:before="120" w:after="120"/>
      <w:ind w:right="100" w:rightChars="100"/>
      <w:jc w:val="left"/>
      <w:outlineLvl w:val="2"/>
    </w:pPr>
    <w:rPr>
      <w:rFonts w:ascii="Times New Roman" w:hAnsi="Times New Roman" w:eastAsia="宋体" w:cs="Times New Roman"/>
      <w:b/>
      <w:bCs/>
      <w:kern w:val="2"/>
      <w:sz w:val="28"/>
      <w:szCs w:val="24"/>
      <w:lang w:val="en-US" w:eastAsia="zh-CN" w:bidi="ar-SA"/>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3">
    <w:name w:val="List 3"/>
    <w:autoRedefine/>
    <w:qFormat/>
    <w:uiPriority w:val="0"/>
    <w:pPr>
      <w:keepLines/>
      <w:widowControl w:val="0"/>
      <w:kinsoku w:val="0"/>
      <w:overflowPunct w:val="0"/>
      <w:jc w:val="center"/>
      <w:textAlignment w:val="center"/>
    </w:pPr>
    <w:rPr>
      <w:rFonts w:ascii="Times New Roman" w:hAnsi="Times New Roman" w:eastAsia="仿宋_GB2312" w:cs="Times New Roman"/>
      <w:kern w:val="2"/>
      <w:sz w:val="21"/>
      <w:szCs w:val="24"/>
      <w:lang w:val="en-US" w:eastAsia="zh-CN" w:bidi="ar-SA"/>
    </w:rPr>
  </w:style>
  <w:style w:type="paragraph" w:styleId="4">
    <w:name w:val="Normal Indent"/>
    <w:next w:val="5"/>
    <w:qFormat/>
    <w:uiPriority w:val="0"/>
    <w:pPr>
      <w:widowControl w:val="0"/>
      <w:ind w:firstLine="420" w:firstLineChars="200"/>
      <w:jc w:val="both"/>
    </w:pPr>
    <w:rPr>
      <w:rFonts w:ascii="Times New Roman" w:hAnsi="Times New Roman" w:eastAsia="宋体" w:cs="Times New Roman"/>
      <w:kern w:val="2"/>
      <w:sz w:val="21"/>
      <w:szCs w:val="24"/>
      <w:lang w:val="en-US" w:eastAsia="zh-CN" w:bidi="ar-SA"/>
    </w:rPr>
  </w:style>
  <w:style w:type="paragraph" w:customStyle="1" w:styleId="5">
    <w:name w:val="Char Char Char Char Char Char Char Char Char Char Char Char Char Char"/>
    <w:autoRedefine/>
    <w:qFormat/>
    <w:uiPriority w:val="99"/>
    <w:pPr>
      <w:widowControl w:val="0"/>
      <w:spacing w:line="360" w:lineRule="auto"/>
      <w:ind w:firstLine="200"/>
      <w:jc w:val="both"/>
    </w:pPr>
    <w:rPr>
      <w:rFonts w:ascii="Times New Roman" w:hAnsi="Times New Roman" w:eastAsia="宋体" w:cs="宋体"/>
      <w:kern w:val="2"/>
      <w:sz w:val="21"/>
      <w:szCs w:val="24"/>
      <w:lang w:val="en-US" w:eastAsia="zh-CN" w:bidi="ar-SA"/>
    </w:rPr>
  </w:style>
  <w:style w:type="paragraph" w:styleId="6">
    <w:name w:val="Body Text"/>
    <w:basedOn w:val="1"/>
    <w:next w:val="7"/>
    <w:autoRedefine/>
    <w:qFormat/>
    <w:uiPriority w:val="0"/>
    <w:pPr>
      <w:widowControl/>
      <w:snapToGrid w:val="0"/>
      <w:spacing w:before="60" w:after="160" w:line="259" w:lineRule="auto"/>
      <w:ind w:right="113"/>
      <w:jc w:val="both"/>
    </w:pPr>
    <w:rPr>
      <w:rFonts w:ascii="Times New Roman" w:hAnsi="Times New Roman" w:eastAsia="宋体" w:cs="Times New Roman"/>
      <w:kern w:val="0"/>
      <w:sz w:val="18"/>
      <w:szCs w:val="18"/>
      <w:lang w:val="en-US" w:eastAsia="zh-CN" w:bidi="ar-SA"/>
    </w:rPr>
  </w:style>
  <w:style w:type="paragraph" w:customStyle="1" w:styleId="7">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8">
    <w:name w:val="Body Text Indent"/>
    <w:autoRedefine/>
    <w:semiHidden/>
    <w:qFormat/>
    <w:uiPriority w:val="0"/>
    <w:pPr>
      <w:widowControl w:val="0"/>
      <w:spacing w:after="120"/>
      <w:ind w:left="420" w:leftChars="200"/>
      <w:jc w:val="both"/>
    </w:pPr>
    <w:rPr>
      <w:rFonts w:ascii="Times New Roman" w:hAnsi="Times New Roman" w:eastAsia="宋体" w:cs="Times New Roman"/>
      <w:kern w:val="2"/>
      <w:sz w:val="21"/>
      <w:szCs w:val="24"/>
      <w:lang w:val="en-US" w:eastAsia="zh-CN" w:bidi="ar-SA"/>
    </w:rPr>
  </w:style>
  <w:style w:type="paragraph" w:styleId="9">
    <w:name w:val="Plain Text"/>
    <w:basedOn w:val="1"/>
    <w:next w:val="1"/>
    <w:autoRedefine/>
    <w:qFormat/>
    <w:uiPriority w:val="0"/>
    <w:pPr>
      <w:widowControl w:val="0"/>
      <w:jc w:val="both"/>
    </w:pPr>
    <w:rPr>
      <w:rFonts w:ascii="宋体" w:hAnsi="Courier New" w:eastAsia="宋体" w:cs="Times New Roman"/>
      <w:kern w:val="2"/>
      <w:sz w:val="21"/>
      <w:szCs w:val="21"/>
      <w:lang w:val="en-US" w:eastAsia="zh-CN" w:bidi="ar-SA"/>
    </w:rPr>
  </w:style>
  <w:style w:type="paragraph" w:styleId="10">
    <w:name w:val="Body Text Indent 2"/>
    <w:basedOn w:val="1"/>
    <w:next w:val="1"/>
    <w:autoRedefine/>
    <w:qFormat/>
    <w:uiPriority w:val="0"/>
    <w:pPr>
      <w:widowControl w:val="0"/>
      <w:adjustRightInd w:val="0"/>
      <w:snapToGrid w:val="0"/>
      <w:spacing w:line="420" w:lineRule="exact"/>
      <w:ind w:firstLine="425"/>
      <w:jc w:val="both"/>
    </w:pPr>
    <w:rPr>
      <w:rFonts w:ascii="Times New Roman" w:hAnsi="Times New Roman" w:eastAsia="宋体" w:cs="Times New Roman"/>
      <w:kern w:val="2"/>
      <w:sz w:val="24"/>
      <w:szCs w:val="24"/>
      <w:lang w:val="en-US" w:eastAsia="zh-CN" w:bidi="ar-SA"/>
    </w:rPr>
  </w:style>
  <w:style w:type="paragraph" w:styleId="11">
    <w:name w:val="footer"/>
    <w:autoRedefine/>
    <w:qFormat/>
    <w:uiPriority w:val="0"/>
    <w:pPr>
      <w:widowControl w:val="0"/>
      <w:tabs>
        <w:tab w:val="center" w:pos="4153"/>
        <w:tab w:val="right" w:pos="8306"/>
      </w:tabs>
      <w:snapToGrid w:val="0"/>
      <w:jc w:val="left"/>
    </w:pPr>
    <w:rPr>
      <w:rFonts w:ascii="Times New Roman" w:hAnsi="Times New Roman" w:eastAsia="宋体" w:cs="Times New Roman"/>
      <w:kern w:val="2"/>
      <w:sz w:val="18"/>
      <w:szCs w:val="18"/>
      <w:lang w:val="en-US" w:eastAsia="zh-CN" w:bidi="ar-SA"/>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next w:val="1"/>
    <w:autoRedefine/>
    <w:semiHidden/>
    <w:qFormat/>
    <w:uiPriority w:val="0"/>
    <w:pPr>
      <w:widowControl w:val="0"/>
      <w:tabs>
        <w:tab w:val="right" w:leader="dot" w:pos="8834"/>
      </w:tabs>
      <w:jc w:val="center"/>
    </w:pPr>
    <w:rPr>
      <w:rFonts w:ascii="Times New Roman" w:hAnsi="Times New Roman" w:eastAsia="宋体" w:cs="Times New Roman"/>
      <w:kern w:val="2"/>
      <w:sz w:val="21"/>
      <w:szCs w:val="24"/>
      <w:lang w:val="en-US" w:eastAsia="zh-CN" w:bidi="ar-SA"/>
    </w:rPr>
  </w:style>
  <w:style w:type="paragraph" w:styleId="14">
    <w:name w:val="toc 2"/>
    <w:basedOn w:val="1"/>
    <w:next w:val="1"/>
    <w:autoRedefine/>
    <w:qFormat/>
    <w:uiPriority w:val="39"/>
    <w:pPr>
      <w:widowControl w:val="0"/>
      <w:ind w:left="420" w:leftChars="200"/>
      <w:jc w:val="both"/>
    </w:pPr>
    <w:rPr>
      <w:rFonts w:ascii="Times New Roman" w:hAnsi="Times New Roman" w:eastAsia="宋体" w:cs="Times New Roman"/>
      <w:kern w:val="2"/>
      <w:sz w:val="21"/>
      <w:szCs w:val="24"/>
      <w:lang w:val="en-US" w:eastAsia="zh-CN" w:bidi="ar-SA"/>
    </w:rPr>
  </w:style>
  <w:style w:type="paragraph" w:styleId="15">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4"/>
      <w:lang w:val="en-US" w:eastAsia="zh-CN" w:bidi="ar-SA"/>
    </w:rPr>
  </w:style>
  <w:style w:type="paragraph" w:styleId="16">
    <w:name w:val="Body Text First Indent"/>
    <w:next w:val="1"/>
    <w:autoRedefine/>
    <w:qFormat/>
    <w:uiPriority w:val="0"/>
    <w:pPr>
      <w:widowControl w:val="0"/>
      <w:snapToGrid/>
      <w:spacing w:before="0" w:after="120" w:line="240" w:lineRule="auto"/>
      <w:ind w:right="0" w:firstLine="420" w:firstLineChars="100"/>
      <w:jc w:val="both"/>
    </w:pPr>
    <w:rPr>
      <w:rFonts w:ascii="Times New Roman" w:hAnsi="Times New Roman" w:eastAsia="宋体" w:cs="Times New Roman"/>
      <w:kern w:val="2"/>
      <w:sz w:val="21"/>
      <w:szCs w:val="24"/>
      <w:lang w:val="en-US" w:eastAsia="zh-CN" w:bidi="ar-SA"/>
    </w:rPr>
  </w:style>
  <w:style w:type="paragraph" w:styleId="17">
    <w:name w:val="Body Text First Indent 2"/>
    <w:next w:val="16"/>
    <w:autoRedefine/>
    <w:qFormat/>
    <w:uiPriority w:val="0"/>
    <w:pPr>
      <w:widowControl w:val="0"/>
      <w:spacing w:after="120"/>
      <w:ind w:left="420" w:leftChars="200" w:firstLine="420" w:firstLineChars="200"/>
      <w:jc w:val="both"/>
    </w:pPr>
    <w:rPr>
      <w:rFonts w:ascii="Times New Roman" w:hAnsi="Times New Roman" w:eastAsia="宋体" w:cs="Times New Roman"/>
      <w:kern w:val="2"/>
      <w:sz w:val="21"/>
      <w:szCs w:val="24"/>
      <w:lang w:val="en-US" w:eastAsia="zh-CN" w:bidi="ar-SA"/>
    </w:rPr>
  </w:style>
  <w:style w:type="table" w:styleId="19">
    <w:name w:val="Table Grid"/>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autoRedefine/>
    <w:qFormat/>
    <w:uiPriority w:val="0"/>
  </w:style>
  <w:style w:type="character" w:styleId="22">
    <w:name w:val="Emphasis"/>
    <w:autoRedefine/>
    <w:qFormat/>
    <w:uiPriority w:val="20"/>
    <w:rPr>
      <w:color w:val="CC0033"/>
    </w:rPr>
  </w:style>
  <w:style w:type="paragraph" w:customStyle="1" w:styleId="23">
    <w:name w:val="Table Paragraph"/>
    <w:basedOn w:val="1"/>
    <w:autoRedefine/>
    <w:qFormat/>
    <w:uiPriority w:val="1"/>
    <w:pPr>
      <w:jc w:val="center"/>
    </w:pPr>
    <w:rPr>
      <w:rFonts w:ascii="宋体" w:hAnsi="宋体" w:eastAsia="宋体" w:cs="宋体"/>
      <w:lang w:val="zh-CN" w:eastAsia="zh-CN" w:bidi="zh-CN"/>
    </w:rPr>
  </w:style>
  <w:style w:type="paragraph" w:customStyle="1" w:styleId="24">
    <w:name w:val="表格正文"/>
    <w:basedOn w:val="1"/>
    <w:autoRedefine/>
    <w:qFormat/>
    <w:uiPriority w:val="0"/>
    <w:pPr>
      <w:widowControl/>
      <w:adjustRightInd w:val="0"/>
      <w:snapToGrid w:val="0"/>
      <w:spacing w:line="240" w:lineRule="exact"/>
    </w:pPr>
    <w:rPr>
      <w:rFonts w:eastAsia="宋体"/>
    </w:rPr>
  </w:style>
  <w:style w:type="paragraph" w:customStyle="1" w:styleId="25">
    <w:name w:val="pra"/>
    <w:basedOn w:val="1"/>
    <w:autoRedefine/>
    <w:qFormat/>
    <w:uiPriority w:val="0"/>
    <w:pPr>
      <w:widowControl/>
      <w:spacing w:line="360" w:lineRule="auto"/>
      <w:ind w:firstLine="420"/>
      <w:jc w:val="left"/>
    </w:pPr>
    <w:rPr>
      <w:rFonts w:ascii="宋体" w:hAnsi="宋体" w:eastAsia="宋体" w:cs="宋体"/>
      <w:color w:val="333333"/>
      <w:kern w:val="0"/>
      <w:szCs w:val="21"/>
    </w:rPr>
  </w:style>
  <w:style w:type="paragraph" w:customStyle="1" w:styleId="26">
    <w:name w:val="报告正文"/>
    <w:basedOn w:val="1"/>
    <w:autoRedefine/>
    <w:qFormat/>
    <w:uiPriority w:val="0"/>
    <w:pPr>
      <w:adjustRightInd w:val="0"/>
      <w:spacing w:line="288" w:lineRule="auto"/>
      <w:ind w:firstLine="472" w:firstLineChars="200"/>
    </w:pPr>
    <w:rPr>
      <w:rFonts w:ascii="仿宋_GB2312" w:eastAsia="仿宋_GB2312"/>
      <w:kern w:val="144"/>
      <w:sz w:val="24"/>
    </w:rPr>
  </w:style>
  <w:style w:type="paragraph" w:customStyle="1" w:styleId="27">
    <w:name w:val="表格"/>
    <w:basedOn w:val="28"/>
    <w:next w:val="1"/>
    <w:autoRedefine/>
    <w:qFormat/>
    <w:uiPriority w:val="0"/>
    <w:pPr>
      <w:adjustRightInd w:val="0"/>
      <w:snapToGrid w:val="0"/>
      <w:spacing w:beforeLines="10" w:afterLines="10" w:line="259" w:lineRule="auto"/>
      <w:jc w:val="center"/>
    </w:pPr>
    <w:rPr>
      <w:rFonts w:ascii="宋体"/>
      <w:kern w:val="0"/>
      <w:sz w:val="20"/>
      <w:szCs w:val="21"/>
    </w:rPr>
  </w:style>
  <w:style w:type="paragraph" w:customStyle="1" w:styleId="28">
    <w:name w:val="表头"/>
    <w:basedOn w:val="29"/>
    <w:next w:val="27"/>
    <w:autoRedefine/>
    <w:qFormat/>
    <w:uiPriority w:val="0"/>
    <w:pPr>
      <w:spacing w:line="240" w:lineRule="auto"/>
      <w:ind w:firstLine="0" w:firstLineChars="0"/>
      <w:jc w:val="center"/>
    </w:pPr>
    <w:rPr>
      <w:b/>
      <w:sz w:val="21"/>
    </w:rPr>
  </w:style>
  <w:style w:type="paragraph" w:customStyle="1" w:styleId="29">
    <w:name w:val="正文文字"/>
    <w:basedOn w:val="1"/>
    <w:autoRedefine/>
    <w:qFormat/>
    <w:uiPriority w:val="0"/>
    <w:pPr>
      <w:ind w:firstLine="480"/>
    </w:pPr>
  </w:style>
  <w:style w:type="paragraph" w:customStyle="1" w:styleId="30">
    <w:name w:val="6正文"/>
    <w:basedOn w:val="1"/>
    <w:autoRedefine/>
    <w:qFormat/>
    <w:uiPriority w:val="0"/>
    <w:pPr>
      <w:adjustRightInd w:val="0"/>
      <w:snapToGrid w:val="0"/>
      <w:spacing w:line="360" w:lineRule="auto"/>
      <w:ind w:firstLine="200" w:firstLineChars="200"/>
    </w:pPr>
    <w:rPr>
      <w:rFonts w:eastAsia="仿宋"/>
    </w:rPr>
  </w:style>
  <w:style w:type="paragraph" w:customStyle="1" w:styleId="31">
    <w:name w:val="方案正文样式"/>
    <w:autoRedefine/>
    <w:qFormat/>
    <w:uiPriority w:val="0"/>
    <w:pPr>
      <w:widowControl w:val="0"/>
      <w:adjustRightInd w:val="0"/>
      <w:snapToGrid w:val="0"/>
      <w:ind w:firstLine="454"/>
      <w:jc w:val="both"/>
      <w:textAlignment w:val="baseline"/>
    </w:pPr>
    <w:rPr>
      <w:rFonts w:ascii="Times New Roman" w:hAnsi="Times New Roman" w:eastAsia="宋体" w:cs="Times New Roman"/>
      <w:kern w:val="2"/>
      <w:sz w:val="21"/>
      <w:szCs w:val="20"/>
      <w:lang w:val="en-US" w:eastAsia="zh-CN" w:bidi="ar-SA"/>
    </w:rPr>
  </w:style>
  <w:style w:type="table" w:customStyle="1" w:styleId="32">
    <w:name w:val="Table Normal"/>
    <w:autoRedefine/>
    <w:unhideWhenUsed/>
    <w:qFormat/>
    <w:uiPriority w:val="0"/>
    <w:tblPr>
      <w:tblCellMar>
        <w:top w:w="0" w:type="dxa"/>
        <w:left w:w="0" w:type="dxa"/>
        <w:bottom w:w="0" w:type="dxa"/>
        <w:right w:w="0" w:type="dxa"/>
      </w:tblCellMar>
    </w:tblPr>
  </w:style>
  <w:style w:type="paragraph" w:customStyle="1" w:styleId="33">
    <w:name w:val="样式 1正文 + (中文) 宋体 小四 黑色 首行缩进:  1.96 字符 行距: 1.5 倍行距"/>
    <w:autoRedefine/>
    <w:qFormat/>
    <w:uiPriority w:val="0"/>
    <w:pPr>
      <w:widowControl w:val="0"/>
      <w:spacing w:line="360" w:lineRule="auto"/>
      <w:ind w:firstLine="196" w:firstLineChars="196"/>
      <w:jc w:val="both"/>
    </w:pPr>
    <w:rPr>
      <w:rFonts w:ascii="Times New Roman" w:hAnsi="Times New Roman" w:eastAsia="宋体" w:cs="宋体"/>
      <w:color w:val="000000"/>
      <w:kern w:val="28"/>
      <w:sz w:val="24"/>
      <w:szCs w:val="20"/>
      <w:lang w:val="en-US" w:eastAsia="zh-CN" w:bidi="ar-SA"/>
    </w:rPr>
  </w:style>
  <w:style w:type="character" w:customStyle="1" w:styleId="34">
    <w:name w:val=" Char Char12"/>
    <w:link w:val="2"/>
    <w:autoRedefine/>
    <w:qFormat/>
    <w:uiPriority w:val="0"/>
    <w:rPr>
      <w:b/>
      <w:bCs/>
      <w:kern w:val="2"/>
      <w:sz w:val="28"/>
      <w:szCs w:val="24"/>
      <w:lang w:val="en-US" w:eastAsia="zh-CN" w:bidi="ar-SA"/>
    </w:rPr>
  </w:style>
  <w:style w:type="paragraph" w:customStyle="1" w:styleId="35">
    <w:name w:val="表格正文居中"/>
    <w:autoRedefine/>
    <w:qFormat/>
    <w:uiPriority w:val="0"/>
    <w:pPr>
      <w:widowControl w:val="0"/>
      <w:spacing w:line="460" w:lineRule="exact"/>
      <w:jc w:val="center"/>
    </w:pPr>
    <w:rPr>
      <w:rFonts w:ascii="Times New Roman" w:hAnsi="Times New Roman" w:eastAsia="宋体" w:cs="Times New Roman"/>
      <w:kern w:val="2"/>
      <w:position w:val="-4"/>
      <w:sz w:val="21"/>
      <w:szCs w:val="21"/>
      <w:lang w:val="en-US" w:eastAsia="zh-CN" w:bidi="ar-SA"/>
    </w:rPr>
  </w:style>
  <w:style w:type="paragraph" w:customStyle="1" w:styleId="36">
    <w:name w:val="正文1"/>
    <w:autoRedefine/>
    <w:qFormat/>
    <w:uiPriority w:val="0"/>
    <w:pPr>
      <w:widowControl w:val="0"/>
      <w:spacing w:line="360" w:lineRule="auto"/>
      <w:jc w:val="both"/>
    </w:pPr>
    <w:rPr>
      <w:rFonts w:ascii="Times New Roman" w:hAnsi="Times New Roman" w:eastAsia="宋体" w:cs="Times New Roman"/>
      <w:snapToGrid w:val="0"/>
      <w:kern w:val="0"/>
      <w:sz w:val="24"/>
      <w:szCs w:val="28"/>
      <w:lang w:val="en-US" w:eastAsia="zh-CN" w:bidi="ar-SA"/>
    </w:rPr>
  </w:style>
  <w:style w:type="paragraph" w:customStyle="1" w:styleId="37">
    <w:name w:val="aa正文"/>
    <w:autoRedefine/>
    <w:qFormat/>
    <w:uiPriority w:val="0"/>
    <w:pPr>
      <w:widowControl w:val="0"/>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38">
    <w:name w:val=" Char Char4"/>
    <w:autoRedefine/>
    <w:qFormat/>
    <w:uiPriority w:val="0"/>
    <w:rPr>
      <w:rFonts w:ascii="Times New Roman" w:hAnsi="Times New Roman" w:eastAsia="宋体" w:cs="Times New Roman"/>
      <w:color w:val="000000"/>
      <w:kern w:val="2"/>
      <w:sz w:val="21"/>
      <w:szCs w:val="24"/>
      <w:lang w:val="en-US" w:eastAsia="zh-CN" w:bidi="ar-SA"/>
    </w:rPr>
  </w:style>
  <w:style w:type="paragraph" w:customStyle="1" w:styleId="39">
    <w:name w:val="样式 标题 1 + 四号 段前: 0 磅 段后: 0 磅 行距: 1.5 倍行距"/>
    <w:next w:val="1"/>
    <w:autoRedefine/>
    <w:qFormat/>
    <w:uiPriority w:val="0"/>
    <w:pPr>
      <w:widowControl w:val="0"/>
      <w:spacing w:line="360" w:lineRule="auto"/>
      <w:ind w:firstLine="588" w:firstLineChars="196"/>
      <w:jc w:val="center"/>
    </w:pPr>
    <w:rPr>
      <w:rFonts w:ascii="Times New Roman" w:hAnsi="Times New Roman" w:eastAsia="宋体" w:cs="Times New Roman"/>
      <w:kern w:val="2"/>
      <w:sz w:val="24"/>
      <w:szCs w:val="30"/>
      <w:lang w:val="en-US" w:eastAsia="zh-CN" w:bidi="ar-SA"/>
    </w:rPr>
  </w:style>
  <w:style w:type="character" w:customStyle="1" w:styleId="40">
    <w:name w:val="正文文本 Char2"/>
    <w:autoRedefine/>
    <w:qFormat/>
    <w:locked/>
    <w:uiPriority w:val="0"/>
    <w:rPr>
      <w:rFonts w:ascii="宋体" w:hAnsi="宋体" w:eastAsia="宋体"/>
      <w:sz w:val="24"/>
      <w:szCs w:val="24"/>
      <w:lang w:val="en-US" w:eastAsia="zh-CN" w:bidi="ar-SA"/>
    </w:rPr>
  </w:style>
  <w:style w:type="paragraph" w:customStyle="1" w:styleId="41">
    <w:name w:val="00表格"/>
    <w:basedOn w:val="1"/>
    <w:autoRedefine/>
    <w:qFormat/>
    <w:uiPriority w:val="0"/>
    <w:pPr>
      <w:adjustRightInd w:val="0"/>
      <w:spacing w:line="0" w:lineRule="atLeast"/>
      <w:ind w:firstLine="0" w:firstLineChars="0"/>
      <w:jc w:val="center"/>
      <w:textAlignment w:val="baseline"/>
    </w:pPr>
    <w:rPr>
      <w:rFonts w:ascii="楷体_GB2312" w:eastAsia="楷体_GB2312"/>
      <w:sz w:val="21"/>
      <w:szCs w:val="24"/>
    </w:rPr>
  </w:style>
  <w:style w:type="paragraph" w:customStyle="1" w:styleId="42">
    <w:name w:val="正文（标准）"/>
    <w:basedOn w:val="1"/>
    <w:next w:val="1"/>
    <w:autoRedefine/>
    <w:semiHidden/>
    <w:qFormat/>
    <w:uiPriority w:val="0"/>
    <w:pPr>
      <w:spacing w:line="360" w:lineRule="auto"/>
      <w:ind w:firstLine="525" w:firstLineChars="200"/>
    </w:pPr>
    <w:rPr>
      <w:rFonts w:ascii="宋体" w:hAnsi="宋体" w:eastAsia="仿宋_GB2312"/>
      <w:sz w:val="28"/>
      <w:szCs w:val="28"/>
    </w:rPr>
  </w:style>
  <w:style w:type="paragraph" w:customStyle="1" w:styleId="43">
    <w:name w:val="WPSOffice手动目录 1"/>
    <w:autoRedefine/>
    <w:qFormat/>
    <w:uiPriority w:val="0"/>
    <w:pPr>
      <w:ind w:leftChars="0"/>
    </w:pPr>
    <w:rPr>
      <w:rFonts w:ascii="Times New Roman" w:hAnsi="Times New Roman" w:eastAsia="宋体" w:cs="Times New Roman"/>
      <w:sz w:val="20"/>
      <w:szCs w:val="20"/>
    </w:rPr>
  </w:style>
  <w:style w:type="paragraph" w:customStyle="1" w:styleId="44">
    <w:name w:val="正文格式"/>
    <w:autoRedefine/>
    <w:qFormat/>
    <w:uiPriority w:val="0"/>
    <w:pPr>
      <w:widowControl w:val="0"/>
      <w:spacing w:line="360" w:lineRule="auto"/>
      <w:ind w:firstLine="480" w:firstLineChars="200"/>
      <w:jc w:val="left"/>
    </w:pPr>
    <w:rPr>
      <w:rFonts w:ascii="Times New Roman" w:hAnsi="Times New Roman" w:eastAsia="仿宋_GB2312" w:cs="Times New Roman"/>
      <w:kern w:val="2"/>
      <w:sz w:val="24"/>
      <w:szCs w:val="22"/>
      <w:lang w:val="en-US" w:eastAsia="zh-CN" w:bidi="ar-SA"/>
    </w:rPr>
  </w:style>
  <w:style w:type="paragraph" w:customStyle="1" w:styleId="45">
    <w:name w:val="Table Text"/>
    <w:basedOn w:val="1"/>
    <w:autoRedefine/>
    <w:semiHidden/>
    <w:qFormat/>
    <w:uiPriority w:val="0"/>
    <w:rPr>
      <w:rFonts w:ascii="仿宋" w:hAnsi="仿宋" w:eastAsia="仿宋" w:cs="仿宋"/>
      <w:sz w:val="20"/>
      <w:szCs w:val="20"/>
      <w:lang w:val="en-US" w:eastAsia="en-US" w:bidi="ar-SA"/>
    </w:rPr>
  </w:style>
  <w:style w:type="character" w:customStyle="1" w:styleId="46">
    <w:name w:val="font11"/>
    <w:basedOn w:val="20"/>
    <w:autoRedefine/>
    <w:qFormat/>
    <w:uiPriority w:val="0"/>
    <w:rPr>
      <w:rFonts w:hint="eastAsia" w:ascii="等线" w:hAnsi="等线" w:eastAsia="等线" w:cs="等线"/>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147</Pages>
  <Words>92708</Words>
  <Characters>106670</Characters>
  <Lines>0</Lines>
  <Paragraphs>0</Paragraphs>
  <TotalTime>11</TotalTime>
  <ScaleCrop>false</ScaleCrop>
  <LinksUpToDate>false</LinksUpToDate>
  <CharactersWithSpaces>107540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2023-12-11T01:14:00Z</dcterms:created>
  <dc:creator>(∗ᵒ̶̶̷̀ω˂̶́∗)੭₎₎</dc:creator>
  <cp:lastModifiedBy>何志超</cp:lastModifiedBy>
  <dcterms:modified xsi:type="dcterms:W3CDTF">2024-03-26T06:52:07Z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A8B333A814544FACBB339DFB2F0ED531_13</vt:lpwstr>
  </property>
</Properties>
</file>